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BC9B0">
      <w:pPr>
        <w:pStyle w:val="2"/>
        <w:pageBreakBefore w:val="0"/>
        <w:kinsoku/>
        <w:wordWrap/>
        <w:overflowPunct/>
        <w:topLinePunct w:val="0"/>
        <w:bidi w:val="0"/>
        <w:spacing w:line="360" w:lineRule="auto"/>
        <w:ind w:firstLine="480"/>
        <w:jc w:val="center"/>
        <w:textAlignment w:val="auto"/>
        <w:rPr>
          <w:rFonts w:hint="eastAsia"/>
          <w:b/>
          <w:bCs/>
          <w:color w:val="000000"/>
          <w:lang w:val="en-US" w:eastAsia="zh-CN"/>
        </w:rPr>
      </w:pPr>
      <w:r>
        <w:rPr>
          <w:rFonts w:hint="eastAsia"/>
          <w:b/>
          <w:bCs/>
          <w:color w:val="000000"/>
          <w:lang w:val="en-US" w:eastAsia="zh-CN"/>
        </w:rPr>
        <w:t>项目</w:t>
      </w:r>
      <w:bookmarkStart w:id="0" w:name="_GoBack"/>
      <w:bookmarkEnd w:id="0"/>
      <w:r>
        <w:rPr>
          <w:rFonts w:hint="eastAsia"/>
          <w:b/>
          <w:bCs/>
          <w:color w:val="000000"/>
          <w:lang w:val="en-US" w:eastAsia="zh-CN"/>
        </w:rPr>
        <w:t>需求书</w:t>
      </w:r>
    </w:p>
    <w:p w14:paraId="1FC656FD">
      <w:pPr>
        <w:pageBreakBefore w:val="0"/>
        <w:kinsoku/>
        <w:wordWrap/>
        <w:overflowPunct/>
        <w:topLinePunct w:val="0"/>
        <w:bidi w:val="0"/>
        <w:spacing w:line="360" w:lineRule="auto"/>
        <w:ind w:firstLine="480"/>
        <w:textAlignment w:val="auto"/>
        <w:rPr>
          <w:rFonts w:hint="eastAsia"/>
          <w:color w:val="000000"/>
          <w:highlight w:val="none"/>
          <w:lang w:val="en-US" w:eastAsia="zh-CN"/>
        </w:rPr>
      </w:pPr>
      <w:r>
        <w:rPr>
          <w:rFonts w:hint="eastAsia"/>
          <w:color w:val="000000"/>
          <w:highlight w:val="none"/>
          <w:lang w:val="en-US" w:eastAsia="zh-CN"/>
        </w:rPr>
        <w:t>1.项目背景</w:t>
      </w:r>
    </w:p>
    <w:p w14:paraId="659CE0B9">
      <w:pPr>
        <w:pageBreakBefore w:val="0"/>
        <w:kinsoku/>
        <w:wordWrap/>
        <w:overflowPunct/>
        <w:topLinePunct w:val="0"/>
        <w:bidi w:val="0"/>
        <w:spacing w:line="360" w:lineRule="auto"/>
        <w:ind w:firstLine="480"/>
        <w:textAlignment w:val="auto"/>
        <w:rPr>
          <w:rFonts w:hint="eastAsia"/>
          <w:color w:val="000000"/>
          <w:highlight w:val="none"/>
          <w:lang w:val="en-US" w:eastAsia="zh-CN"/>
        </w:rPr>
      </w:pPr>
      <w:r>
        <w:rPr>
          <w:rFonts w:hint="eastAsia" w:ascii="宋体" w:hAnsi="宋体" w:eastAsia="宋体" w:cs="Times New Roman"/>
          <w:color w:val="000000"/>
          <w:sz w:val="24"/>
          <w:lang w:val="en-US" w:eastAsia="zh-CN"/>
        </w:rPr>
        <w:t>飞行器数字化制造技术专业群目前核心课程教学仍存在岗位能力标准不清晰、数字化资源不足、虚拟仿真教学缺失、低空方向教学素材匮乏、实训场景难还原等突出问题，直接影响人才培养质量与岗位适配度。一是课程体系与岗位脱节，缺乏系统的岗位能力图谱，课程内容与岗位标准对接不紧密。二是数字化教学资源严重不足，现有微课、动画、虚拟仿真资源数量少、质量低，无统一标准，难以支撑理实一体化教学。三是高危、高成本实操难以开展，飞行器装配、排故、检测等核心技能训练缺乏虚拟仿真资源，真实设备昂贵、风险高，学生动手机会有限。四是低空飞行器方向资源空白，缺少 3D 模型、高清素材、标准题库、任务工单等专项资源，无法满足低空经济产业人才培养需求。为补齐短板、提升教学实效，开展专业群教学资源建设，聚焦飞行器数字化制造技术专业群产教融合开展教学资源建设，包含课程能力图谱1套、微课15个，虚拟仿真资源3</w:t>
      </w:r>
      <w:r>
        <w:rPr>
          <w:rFonts w:hint="eastAsia" w:ascii="宋体" w:hAnsi="宋体" w:cs="Times New Roman"/>
          <w:color w:val="000000"/>
          <w:sz w:val="24"/>
          <w:lang w:val="en-US" w:eastAsia="zh-CN"/>
        </w:rPr>
        <w:t>0</w:t>
      </w:r>
      <w:r>
        <w:rPr>
          <w:rFonts w:hint="eastAsia" w:ascii="宋体" w:hAnsi="宋体" w:eastAsia="宋体" w:cs="Times New Roman"/>
          <w:color w:val="000000"/>
          <w:sz w:val="24"/>
          <w:lang w:val="en-US" w:eastAsia="zh-CN"/>
        </w:rPr>
        <w:t>个；聚焦低空飞行器开发与应用开展教学资源建设，包括：微课32个，微动画30个，微视频40个，虚拟仿真实验视频32个，任务卡32个，文档64个，3D模型</w:t>
      </w:r>
      <w:r>
        <w:rPr>
          <w:rFonts w:hint="eastAsia" w:ascii="宋体" w:hAnsi="宋体" w:cs="Times New Roman"/>
          <w:color w:val="000000"/>
          <w:sz w:val="24"/>
          <w:lang w:val="en-US" w:eastAsia="zh-CN"/>
        </w:rPr>
        <w:t>18</w:t>
      </w:r>
      <w:r>
        <w:rPr>
          <w:rFonts w:hint="eastAsia" w:ascii="宋体" w:hAnsi="宋体" w:eastAsia="宋体" w:cs="Times New Roman"/>
          <w:color w:val="000000"/>
          <w:sz w:val="24"/>
          <w:lang w:val="en-US" w:eastAsia="zh-CN"/>
        </w:rPr>
        <w:t>个，课程能力图谱1套，图片400张，题库400题等数字化教学资源开发。通过项目实施，精准对接岗位标准，解决实训难、风险高、场景缺、素材少等痛点，完善岗课赛证融合体系，保障低空飞行器制造、运维等人才培养质量，支撑专业群高质量发展。</w:t>
      </w:r>
    </w:p>
    <w:p w14:paraId="5C4FB234">
      <w:pPr>
        <w:pageBreakBefore w:val="0"/>
        <w:kinsoku/>
        <w:wordWrap/>
        <w:overflowPunct/>
        <w:topLinePunct w:val="0"/>
        <w:bidi w:val="0"/>
        <w:spacing w:line="360" w:lineRule="auto"/>
        <w:ind w:firstLine="480"/>
        <w:textAlignment w:val="auto"/>
        <w:rPr>
          <w:rFonts w:hint="default"/>
          <w:color w:val="000000"/>
          <w:highlight w:val="none"/>
          <w:lang w:val="en-US" w:eastAsia="zh-CN"/>
        </w:rPr>
      </w:pPr>
      <w:r>
        <w:rPr>
          <w:rFonts w:hint="eastAsia"/>
          <w:color w:val="000000"/>
          <w:highlight w:val="none"/>
          <w:lang w:val="en-US" w:eastAsia="zh-CN"/>
        </w:rPr>
        <w:t>2.服务内容</w:t>
      </w:r>
    </w:p>
    <w:tbl>
      <w:tblPr>
        <w:tblStyle w:val="6"/>
        <w:tblW w:w="8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419"/>
        <w:gridCol w:w="741"/>
        <w:gridCol w:w="826"/>
        <w:gridCol w:w="5054"/>
      </w:tblGrid>
      <w:tr w14:paraId="1395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3" w:type="dxa"/>
            <w:noWrap w:val="0"/>
            <w:vAlign w:val="top"/>
          </w:tcPr>
          <w:p w14:paraId="21EB6E4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序号</w:t>
            </w:r>
          </w:p>
        </w:tc>
        <w:tc>
          <w:tcPr>
            <w:tcW w:w="1419" w:type="dxa"/>
            <w:noWrap w:val="0"/>
            <w:vAlign w:val="top"/>
          </w:tcPr>
          <w:p w14:paraId="2E23BA1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标的名称</w:t>
            </w:r>
          </w:p>
        </w:tc>
        <w:tc>
          <w:tcPr>
            <w:tcW w:w="741" w:type="dxa"/>
            <w:noWrap w:val="0"/>
            <w:vAlign w:val="top"/>
          </w:tcPr>
          <w:p w14:paraId="780AAB1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数量</w:t>
            </w:r>
          </w:p>
        </w:tc>
        <w:tc>
          <w:tcPr>
            <w:tcW w:w="826" w:type="dxa"/>
            <w:noWrap w:val="0"/>
            <w:vAlign w:val="top"/>
          </w:tcPr>
          <w:p w14:paraId="6990728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单位</w:t>
            </w:r>
          </w:p>
        </w:tc>
        <w:tc>
          <w:tcPr>
            <w:tcW w:w="5054" w:type="dxa"/>
            <w:noWrap w:val="0"/>
            <w:vAlign w:val="top"/>
          </w:tcPr>
          <w:p w14:paraId="35C7E07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技术参数</w:t>
            </w:r>
          </w:p>
        </w:tc>
      </w:tr>
      <w:tr w14:paraId="5418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noWrap w:val="0"/>
            <w:vAlign w:val="center"/>
          </w:tcPr>
          <w:p w14:paraId="2C6FB3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1</w:t>
            </w:r>
          </w:p>
        </w:tc>
        <w:tc>
          <w:tcPr>
            <w:tcW w:w="1419" w:type="dxa"/>
            <w:noWrap w:val="0"/>
            <w:vAlign w:val="center"/>
          </w:tcPr>
          <w:p w14:paraId="5A5DFD4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活塞发动机课程资源</w:t>
            </w:r>
          </w:p>
        </w:tc>
        <w:tc>
          <w:tcPr>
            <w:tcW w:w="741" w:type="dxa"/>
            <w:noWrap w:val="0"/>
            <w:vAlign w:val="center"/>
          </w:tcPr>
          <w:p w14:paraId="4C73D71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1</w:t>
            </w:r>
          </w:p>
        </w:tc>
        <w:tc>
          <w:tcPr>
            <w:tcW w:w="826" w:type="dxa"/>
            <w:noWrap w:val="0"/>
            <w:vAlign w:val="center"/>
          </w:tcPr>
          <w:p w14:paraId="1137A93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套</w:t>
            </w:r>
          </w:p>
        </w:tc>
        <w:tc>
          <w:tcPr>
            <w:tcW w:w="5054" w:type="dxa"/>
            <w:noWrap w:val="0"/>
            <w:vAlign w:val="center"/>
          </w:tcPr>
          <w:p w14:paraId="0BDCE284">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整</w:t>
            </w:r>
            <w:r>
              <w:rPr>
                <w:rFonts w:hint="eastAsia" w:ascii="宋体" w:hAnsi="宋体" w:eastAsia="宋体" w:cs="宋体"/>
                <w:b w:val="0"/>
                <w:bCs/>
                <w:color w:val="000000"/>
                <w:sz w:val="24"/>
                <w:szCs w:val="24"/>
              </w:rPr>
              <w:t>体要求：</w:t>
            </w:r>
          </w:p>
          <w:p w14:paraId="4C31443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所有资源必须贴合《职业教育专业教学标准》《飞行器制造类专业人才培养方案》，对接航空航天行业企业现行工艺标准、设备参数、岗位操作规程。所有资源为全新原创制作，无水印、无广告、无版权纠纷，交付后学校拥有永久使用权、本地化部署权、教学二次编辑使用权。</w:t>
            </w:r>
          </w:p>
          <w:p w14:paraId="227CD3EF">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交付要求：</w:t>
            </w:r>
          </w:p>
          <w:p w14:paraId="2A312E4A">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szCs w:val="24"/>
              </w:rPr>
              <w:t>本项目全部成果资源统一采用</w:t>
            </w:r>
            <w:r>
              <w:rPr>
                <w:rStyle w:val="7"/>
                <w:rFonts w:hint="eastAsia" w:ascii="宋体" w:hAnsi="宋体" w:eastAsia="宋体" w:cs="宋体"/>
                <w:b w:val="0"/>
                <w:bCs/>
                <w:color w:val="000000"/>
                <w:sz w:val="24"/>
                <w:szCs w:val="24"/>
              </w:rPr>
              <w:t>移动硬盘</w:t>
            </w:r>
            <w:r>
              <w:rPr>
                <w:rFonts w:hint="eastAsia" w:ascii="宋体" w:hAnsi="宋体" w:eastAsia="宋体" w:cs="宋体"/>
                <w:bCs/>
                <w:color w:val="000000"/>
                <w:sz w:val="24"/>
                <w:szCs w:val="24"/>
              </w:rPr>
              <w:t>作为交付载体，交付硬盘需全新正品</w:t>
            </w:r>
            <w:r>
              <w:rPr>
                <w:rFonts w:hint="eastAsia" w:ascii="宋体" w:hAnsi="宋体" w:eastAsia="宋体" w:cs="宋体"/>
                <w:b w:val="0"/>
                <w:bCs/>
                <w:color w:val="000000"/>
                <w:sz w:val="24"/>
                <w:szCs w:val="24"/>
                <w:lang w:val="en-US" w:eastAsia="zh-CN"/>
              </w:rPr>
              <w:t>，</w:t>
            </w:r>
            <w:r>
              <w:rPr>
                <w:rFonts w:hint="eastAsia" w:ascii="宋体" w:hAnsi="宋体" w:eastAsia="宋体" w:cs="宋体"/>
                <w:bCs/>
                <w:color w:val="000000"/>
                <w:sz w:val="24"/>
                <w:szCs w:val="24"/>
              </w:rPr>
              <w:t>存储容量满足全部资源存储需求</w:t>
            </w:r>
            <w:r>
              <w:rPr>
                <w:rFonts w:hint="eastAsia" w:ascii="宋体" w:hAnsi="宋体" w:eastAsia="宋体" w:cs="宋体"/>
                <w:bCs/>
                <w:color w:val="000000"/>
                <w:sz w:val="24"/>
                <w:szCs w:val="24"/>
                <w:lang w:eastAsia="zh-CN"/>
              </w:rPr>
              <w:t>。</w:t>
            </w:r>
            <w:r>
              <w:rPr>
                <w:rFonts w:hint="eastAsia" w:ascii="宋体" w:hAnsi="宋体" w:eastAsia="宋体" w:cs="宋体"/>
                <w:b w:val="0"/>
                <w:bCs/>
                <w:color w:val="000000"/>
                <w:sz w:val="24"/>
                <w:szCs w:val="24"/>
              </w:rPr>
              <w:t>所有资源分类归档、文件夹层级清晰、命名规范、配套统一资源清单、验收标准、使用说明书。</w:t>
            </w:r>
          </w:p>
          <w:p w14:paraId="0C877885">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一</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课程能力图谱 1套</w:t>
            </w:r>
          </w:p>
          <w:p w14:paraId="5D553F9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1.适配飞行器数字化制造技术专业群整体课程体系，依据专业人才培养方案、国家职教教学标准、行业通用岗位能力标准编制；</w:t>
            </w:r>
          </w:p>
          <w:p w14:paraId="2EF8171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2.清晰梳理专业群基础课程、核心课程的层级逻辑、衔接关系、开课顺序与能力递进培养体系；</w:t>
            </w:r>
          </w:p>
          <w:p w14:paraId="6C99464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3.精准拆解各课程对应知识点、技能点、素养点，明确课程教学目标、重难点、实训要求、岗位能力对应关系；</w:t>
            </w:r>
          </w:p>
          <w:p w14:paraId="31A70B2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4.内容贴合航空数字化制造通用技术标准，可直接指导课程教学设计、实训开展、考核评价、课程改革；</w:t>
            </w:r>
          </w:p>
          <w:p w14:paraId="67D75BB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5.交付格式：可编辑 Word</w:t>
            </w:r>
            <w:r>
              <w:rPr>
                <w:rFonts w:hint="eastAsia" w:ascii="宋体" w:hAnsi="宋体" w:eastAsia="宋体" w:cs="宋体"/>
                <w:bCs/>
                <w:color w:val="000000"/>
                <w:sz w:val="24"/>
                <w:lang w:val="en-US" w:eastAsia="zh-CN"/>
              </w:rPr>
              <w:t>和</w:t>
            </w:r>
            <w:r>
              <w:rPr>
                <w:rFonts w:hint="eastAsia" w:ascii="宋体" w:hAnsi="宋体" w:eastAsia="宋体" w:cs="宋体"/>
                <w:bCs/>
                <w:color w:val="000000"/>
                <w:sz w:val="24"/>
                <w:lang w:eastAsia="zh-CN"/>
              </w:rPr>
              <w:t>PDF格式，版式统一、图文规范、层级清晰。</w:t>
            </w:r>
          </w:p>
          <w:p w14:paraId="74A5206C">
            <w:pPr>
              <w:spacing w:before="0" w:after="0" w:line="240" w:lineRule="auto"/>
              <w:rPr>
                <w:rFonts w:hint="eastAsia" w:ascii="宋体" w:hAnsi="宋体" w:eastAsia="宋体" w:cs="宋体"/>
                <w:bCs/>
                <w:color w:val="000000"/>
                <w:sz w:val="24"/>
                <w:lang w:eastAsia="zh-CN"/>
              </w:rPr>
            </w:pPr>
            <w:r>
              <w:rPr>
                <w:rFonts w:hint="eastAsia" w:ascii="宋体" w:hAnsi="宋体" w:eastAsia="宋体" w:cs="宋体"/>
                <w:b w:val="0"/>
                <w:bCs/>
                <w:color w:val="000000"/>
                <w:sz w:val="24"/>
                <w:lang w:val="en-US" w:eastAsia="zh-CN"/>
              </w:rPr>
              <w:t>6.</w:t>
            </w:r>
            <w:r>
              <w:rPr>
                <w:rFonts w:hint="eastAsia" w:ascii="宋体" w:hAnsi="宋体" w:eastAsia="宋体" w:cs="宋体"/>
                <w:b w:val="0"/>
                <w:bCs/>
                <w:color w:val="000000"/>
                <w:sz w:val="24"/>
                <w:lang w:eastAsia="zh-CN"/>
              </w:rPr>
              <w:t>具体交付内容：</w:t>
            </w:r>
          </w:p>
          <w:p w14:paraId="3F08CA82">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（1）专业群课程体系总览图：以可视化方式呈现基础课程、专业核心课程、实践课程的层级关系与开课顺序；</w:t>
            </w:r>
          </w:p>
          <w:p w14:paraId="78DC4E5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（2）《航空活塞发动机原理与维护》课程能力图谱：明确本课程在专业群中的定位、前导课程与后续课程衔接关系；</w:t>
            </w:r>
          </w:p>
          <w:p w14:paraId="0FC718A0">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rPr>
              <w:t>▲</w:t>
            </w:r>
            <w:r>
              <w:rPr>
                <w:rFonts w:hint="eastAsia" w:ascii="宋体" w:hAnsi="宋体" w:eastAsia="宋体" w:cs="宋体"/>
                <w:bCs/>
                <w:color w:val="000000"/>
                <w:sz w:val="24"/>
                <w:lang w:eastAsia="zh-CN"/>
              </w:rPr>
              <w:t>（3）知识点/技能点/素养点三维映射表：逐章</w:t>
            </w:r>
            <w:r>
              <w:rPr>
                <w:rFonts w:hint="eastAsia" w:ascii="宋体" w:hAnsi="宋体" w:eastAsia="宋体" w:cs="宋体"/>
                <w:b/>
                <w:bCs w:val="0"/>
                <w:color w:val="000000"/>
                <w:sz w:val="24"/>
                <w:lang w:eastAsia="zh-CN"/>
              </w:rPr>
              <w:t>拆解教学目标，标注每个知识点/技能点对应的微课编号和虚拟仿真资源编号；</w:t>
            </w:r>
          </w:p>
          <w:p w14:paraId="70AED92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
                <w:bCs w:val="0"/>
                <w:color w:val="000000"/>
              </w:rPr>
              <w:t>▲</w:t>
            </w:r>
            <w:r>
              <w:rPr>
                <w:rFonts w:hint="eastAsia" w:ascii="宋体" w:hAnsi="宋体" w:eastAsia="宋体" w:cs="宋体"/>
                <w:b/>
                <w:bCs w:val="0"/>
                <w:color w:val="000000"/>
                <w:sz w:val="24"/>
                <w:lang w:eastAsia="zh-CN"/>
              </w:rPr>
              <w:t>（4）岗位能力对照表：将课程能力目标与CCAR-145维修单位机务岗位能力要求逐项对应；</w:t>
            </w:r>
          </w:p>
          <w:p w14:paraId="6014D2C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
                <w:bCs w:val="0"/>
                <w:color w:val="000000"/>
              </w:rPr>
              <w:t>▲</w:t>
            </w:r>
            <w:r>
              <w:rPr>
                <w:rFonts w:hint="eastAsia" w:ascii="宋体" w:hAnsi="宋体" w:eastAsia="宋体" w:cs="宋体"/>
                <w:b/>
                <w:bCs w:val="0"/>
                <w:color w:val="000000"/>
                <w:sz w:val="24"/>
                <w:lang w:eastAsia="zh-CN"/>
              </w:rPr>
              <w:t>（5）资源索引总表：汇总全部微课、虚拟仿真资源与章节的对应关系，含编号、名称、类型、所在章节、时长/格式等信息</w:t>
            </w:r>
            <w:r>
              <w:rPr>
                <w:rFonts w:hint="eastAsia" w:ascii="宋体" w:hAnsi="宋体" w:eastAsia="宋体" w:cs="宋体"/>
                <w:bCs/>
                <w:color w:val="000000"/>
                <w:sz w:val="24"/>
                <w:lang w:eastAsia="zh-CN"/>
              </w:rPr>
              <w:t>。</w:t>
            </w:r>
          </w:p>
          <w:p w14:paraId="27949E92">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二</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专业教学微课</w:t>
            </w:r>
          </w:p>
          <w:p w14:paraId="04FD06D0">
            <w:pPr>
              <w:spacing w:after="0" w:line="240" w:lineRule="auto"/>
              <w:ind w:firstLine="0"/>
              <w:rPr>
                <w:rFonts w:hint="eastAsia" w:ascii="宋体" w:hAnsi="宋体" w:eastAsia="宋体" w:cs="宋体"/>
                <w:bCs/>
                <w:color w:val="000000"/>
                <w:sz w:val="24"/>
                <w:highlight w:val="yellow"/>
                <w:lang w:eastAsia="zh-CN"/>
              </w:rPr>
            </w:pPr>
            <w:r>
              <w:rPr>
                <w:rFonts w:hint="eastAsia" w:ascii="宋体" w:hAnsi="宋体" w:eastAsia="宋体" w:cs="宋体"/>
                <w:bCs/>
                <w:color w:val="000000"/>
                <w:sz w:val="24"/>
                <w:highlight w:val="none"/>
                <w:lang w:eastAsia="zh-CN"/>
              </w:rPr>
              <w:t>1.数量与时长</w:t>
            </w:r>
            <w:r>
              <w:rPr>
                <w:rFonts w:hint="eastAsia" w:ascii="宋体" w:hAnsi="宋体" w:eastAsia="宋体" w:cs="宋体"/>
                <w:bCs/>
                <w:color w:val="000000"/>
                <w:sz w:val="24"/>
                <w:highlight w:val="none"/>
                <w:lang w:val="en-US" w:eastAsia="zh-CN"/>
              </w:rPr>
              <w:t>要求</w:t>
            </w: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不少于</w:t>
            </w:r>
            <w:r>
              <w:rPr>
                <w:rFonts w:hint="eastAsia" w:ascii="宋体" w:hAnsi="宋体" w:eastAsia="宋体" w:cs="宋体"/>
                <w:bCs/>
                <w:color w:val="000000"/>
                <w:sz w:val="24"/>
                <w:highlight w:val="none"/>
                <w:lang w:eastAsia="zh-CN"/>
              </w:rPr>
              <w:t>15 独立微课，单节时长3–5分钟，不短于3分钟、不超5分钟。</w:t>
            </w:r>
          </w:p>
          <w:p w14:paraId="7D153A74">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 内容要求：</w:t>
            </w:r>
          </w:p>
          <w:p w14:paraId="2F6BC609">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w:t>
            </w:r>
            <w:r>
              <w:rPr>
                <w:rFonts w:hint="eastAsia" w:ascii="宋体" w:hAnsi="宋体" w:eastAsia="宋体" w:cs="宋体"/>
                <w:bCs/>
                <w:color w:val="000000"/>
                <w:sz w:val="24"/>
                <w:lang w:eastAsia="zh-CN"/>
              </w:rPr>
              <w:t>）航空活塞发动机总体认知与型号识别；</w:t>
            </w:r>
          </w:p>
          <w:p w14:paraId="3341E9D1">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2</w:t>
            </w:r>
            <w:r>
              <w:rPr>
                <w:rFonts w:hint="eastAsia" w:ascii="宋体" w:hAnsi="宋体" w:eastAsia="宋体" w:cs="宋体"/>
                <w:bCs/>
                <w:color w:val="000000"/>
                <w:sz w:val="24"/>
                <w:lang w:eastAsia="zh-CN"/>
              </w:rPr>
              <w:t>）航空活塞发动机工作循环与做功原理；</w:t>
            </w:r>
          </w:p>
          <w:p w14:paraId="7E4192A7">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3</w:t>
            </w:r>
            <w:r>
              <w:rPr>
                <w:rFonts w:hint="eastAsia" w:ascii="宋体" w:hAnsi="宋体" w:eastAsia="宋体" w:cs="宋体"/>
                <w:bCs/>
                <w:color w:val="000000"/>
                <w:sz w:val="24"/>
                <w:lang w:eastAsia="zh-CN"/>
              </w:rPr>
              <w:t>）气缸与活塞组件结构解析；</w:t>
            </w:r>
          </w:p>
          <w:p w14:paraId="181CB4C6">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4</w:t>
            </w:r>
            <w:r>
              <w:rPr>
                <w:rFonts w:hint="eastAsia" w:ascii="宋体" w:hAnsi="宋体" w:eastAsia="宋体" w:cs="宋体"/>
                <w:bCs/>
                <w:color w:val="000000"/>
                <w:sz w:val="24"/>
                <w:lang w:eastAsia="zh-CN"/>
              </w:rPr>
              <w:t>）连杆机构构造与动力传递分析；</w:t>
            </w:r>
          </w:p>
          <w:p w14:paraId="3A42B876">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5</w:t>
            </w:r>
            <w:r>
              <w:rPr>
                <w:rFonts w:hint="eastAsia" w:ascii="宋体" w:hAnsi="宋体" w:eastAsia="宋体" w:cs="宋体"/>
                <w:bCs/>
                <w:color w:val="000000"/>
                <w:sz w:val="24"/>
                <w:lang w:eastAsia="zh-CN"/>
              </w:rPr>
              <w:t>）曲轴组件构造与运动学原理；</w:t>
            </w:r>
          </w:p>
          <w:p w14:paraId="07F759A3">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6</w:t>
            </w:r>
            <w:r>
              <w:rPr>
                <w:rFonts w:hint="eastAsia" w:ascii="宋体" w:hAnsi="宋体" w:eastAsia="宋体" w:cs="宋体"/>
                <w:bCs/>
                <w:color w:val="000000"/>
                <w:sz w:val="24"/>
                <w:lang w:eastAsia="zh-CN"/>
              </w:rPr>
              <w:t>）气门机构构造与配气正时原理；</w:t>
            </w:r>
          </w:p>
          <w:p w14:paraId="26364A9A">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7</w:t>
            </w:r>
            <w:r>
              <w:rPr>
                <w:rFonts w:hint="eastAsia" w:ascii="宋体" w:hAnsi="宋体" w:eastAsia="宋体" w:cs="宋体"/>
                <w:bCs/>
                <w:color w:val="000000"/>
                <w:sz w:val="24"/>
                <w:lang w:eastAsia="zh-CN"/>
              </w:rPr>
              <w:t>）发动机机匣构造与装配关系；</w:t>
            </w:r>
          </w:p>
          <w:p w14:paraId="12DE3670">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8</w:t>
            </w:r>
            <w:r>
              <w:rPr>
                <w:rFonts w:hint="eastAsia" w:ascii="宋体" w:hAnsi="宋体" w:eastAsia="宋体" w:cs="宋体"/>
                <w:bCs/>
                <w:color w:val="000000"/>
                <w:sz w:val="24"/>
                <w:lang w:eastAsia="zh-CN"/>
              </w:rPr>
              <w:t>）燃油喷射系统组成与供油原理；</w:t>
            </w:r>
          </w:p>
          <w:p w14:paraId="607B350D">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9</w:t>
            </w:r>
            <w:r>
              <w:rPr>
                <w:rFonts w:hint="eastAsia" w:ascii="宋体" w:hAnsi="宋体" w:eastAsia="宋体" w:cs="宋体"/>
                <w:bCs/>
                <w:color w:val="000000"/>
                <w:sz w:val="24"/>
                <w:lang w:eastAsia="zh-CN"/>
              </w:rPr>
              <w:t>）进气系统构造与气流分配原理；</w:t>
            </w:r>
          </w:p>
          <w:p w14:paraId="45B3C57E">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10</w:t>
            </w:r>
            <w:r>
              <w:rPr>
                <w:rFonts w:hint="eastAsia" w:ascii="宋体" w:hAnsi="宋体" w:eastAsia="宋体" w:cs="宋体"/>
                <w:bCs/>
                <w:color w:val="000000"/>
                <w:sz w:val="24"/>
                <w:lang w:eastAsia="zh-CN"/>
              </w:rPr>
              <w:t>）排气系统构造与废气处理机制；</w:t>
            </w:r>
          </w:p>
          <w:p w14:paraId="521D6767">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11</w:t>
            </w:r>
            <w:r>
              <w:rPr>
                <w:rFonts w:hint="eastAsia" w:ascii="宋体" w:hAnsi="宋体" w:eastAsia="宋体" w:cs="宋体"/>
                <w:bCs/>
                <w:color w:val="000000"/>
                <w:sz w:val="24"/>
                <w:lang w:eastAsia="zh-CN"/>
              </w:rPr>
              <w:t>）磁电机点火系统构造与点火原理；</w:t>
            </w:r>
          </w:p>
          <w:p w14:paraId="1785ED2A">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12</w:t>
            </w:r>
            <w:r>
              <w:rPr>
                <w:rFonts w:hint="eastAsia" w:ascii="宋体" w:hAnsi="宋体" w:eastAsia="宋体" w:cs="宋体"/>
                <w:bCs/>
                <w:color w:val="000000"/>
                <w:sz w:val="24"/>
                <w:lang w:eastAsia="zh-CN"/>
              </w:rPr>
              <w:t>）润滑系统组成与循环工作原理；</w:t>
            </w:r>
          </w:p>
          <w:p w14:paraId="1D2F6C6B">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13</w:t>
            </w:r>
            <w:r>
              <w:rPr>
                <w:rFonts w:hint="eastAsia" w:ascii="宋体" w:hAnsi="宋体" w:eastAsia="宋体" w:cs="宋体"/>
                <w:bCs/>
                <w:color w:val="000000"/>
                <w:sz w:val="24"/>
                <w:lang w:eastAsia="zh-CN"/>
              </w:rPr>
              <w:t>）起动系统构造与标准操作程序；</w:t>
            </w:r>
          </w:p>
          <w:p w14:paraId="449CA617">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w:t>
            </w:r>
            <w:r>
              <w:rPr>
                <w:rFonts w:hint="eastAsia" w:ascii="宋体" w:hAnsi="宋体" w:eastAsia="宋体" w:cs="宋体"/>
                <w:bCs/>
                <w:color w:val="000000"/>
                <w:sz w:val="24"/>
                <w:lang w:val="en-US" w:eastAsia="zh-CN"/>
              </w:rPr>
              <w:t>14</w:t>
            </w:r>
            <w:r>
              <w:rPr>
                <w:rFonts w:hint="eastAsia" w:ascii="宋体" w:hAnsi="宋体" w:eastAsia="宋体" w:cs="宋体"/>
                <w:bCs/>
                <w:color w:val="000000"/>
                <w:sz w:val="24"/>
                <w:lang w:eastAsia="zh-CN"/>
              </w:rPr>
              <w:t>）发动机指示仪表与参数监控系统；</w:t>
            </w:r>
          </w:p>
          <w:p w14:paraId="64F7C1E1">
            <w:pPr>
              <w:numPr>
                <w:ilvl w:val="0"/>
                <w:numId w:val="0"/>
              </w:numPr>
              <w:spacing w:after="0" w:line="240" w:lineRule="auto"/>
              <w:ind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val="en-US" w:eastAsia="zh-CN"/>
              </w:rPr>
              <w:t>（15）</w:t>
            </w:r>
            <w:r>
              <w:rPr>
                <w:rFonts w:hint="eastAsia" w:ascii="宋体" w:hAnsi="宋体" w:eastAsia="宋体" w:cs="宋体"/>
                <w:bCs/>
                <w:color w:val="000000"/>
                <w:sz w:val="24"/>
                <w:lang w:eastAsia="zh-CN"/>
              </w:rPr>
              <w:t>航空活塞发动机维护规范与常见故障判别。</w:t>
            </w:r>
          </w:p>
          <w:p w14:paraId="3B745053">
            <w:pPr>
              <w:spacing w:before="0"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3.视频技术参数：</w:t>
            </w:r>
          </w:p>
          <w:p w14:paraId="1F35A41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（1）分辨率：1920×1080P及以上高清；</w:t>
            </w:r>
          </w:p>
          <w:p w14:paraId="030A490E">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（2）画面比例：16:9标准教学画幅；</w:t>
            </w:r>
          </w:p>
          <w:p w14:paraId="43C75B7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（3）帧率：≥30fps，画面流畅无拖影、无卡顿；</w:t>
            </w:r>
          </w:p>
          <w:p w14:paraId="6CF86FB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（4）编码格式：H.264通用编码，MP4格式；</w:t>
            </w:r>
          </w:p>
          <w:p w14:paraId="37F3148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（5）音频：无损立体声、无噪音、无电流声、人声清晰，标准普通话播音，语速平稳；</w:t>
            </w:r>
          </w:p>
          <w:p w14:paraId="42B9FA22">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（6）字幕：全程精准同步字幕，简体中文，字体规范，无错别字；</w:t>
            </w:r>
          </w:p>
          <w:p w14:paraId="0CAB79A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（7）水印：全程无任何水印、无 logo、无广告；</w:t>
            </w:r>
          </w:p>
          <w:p w14:paraId="2066B4C2">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（8）画面：构图整洁、课件素材</w:t>
            </w:r>
            <w:r>
              <w:rPr>
                <w:rFonts w:hint="eastAsia" w:ascii="宋体" w:hAnsi="宋体" w:eastAsia="宋体" w:cs="宋体"/>
                <w:bCs/>
                <w:color w:val="000000"/>
                <w:sz w:val="24"/>
                <w:lang w:val="en-US" w:eastAsia="zh-CN"/>
              </w:rPr>
              <w:t>清晰</w:t>
            </w:r>
            <w:r>
              <w:rPr>
                <w:rFonts w:hint="eastAsia" w:ascii="宋体" w:hAnsi="宋体" w:eastAsia="宋体" w:cs="宋体"/>
                <w:bCs/>
                <w:color w:val="000000"/>
                <w:sz w:val="24"/>
                <w:lang w:eastAsia="zh-CN"/>
              </w:rPr>
              <w:t>、动画演示清晰、实操细节突出。</w:t>
            </w:r>
          </w:p>
          <w:p w14:paraId="74446447">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rPr>
              <w:t>▲</w:t>
            </w:r>
            <w:r>
              <w:rPr>
                <w:rFonts w:hint="eastAsia" w:ascii="宋体" w:hAnsi="宋体" w:eastAsia="宋体" w:cs="宋体"/>
                <w:b/>
                <w:bCs w:val="0"/>
                <w:color w:val="000000"/>
                <w:sz w:val="24"/>
                <w:lang w:eastAsia="zh-CN"/>
              </w:rPr>
              <w:t>4.配套资源：每节微课配套微课教案、知识点讲义、课后习题、教学重难点说明、课程思政融入点说明，实现"一课一资源包"。课程思政融入点说明应明确标注该微课的思政切入角度（如航空报国精神、大国工匠精神、适航安全意识、工程伦理等），并提供1–2个可直接使用的思政教学案例或素材。</w:t>
            </w:r>
          </w:p>
          <w:p w14:paraId="5E469B2D">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三</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虚拟仿真教学资源</w:t>
            </w:r>
          </w:p>
          <w:p w14:paraId="0A4B48A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1.数量规格：</w:t>
            </w:r>
            <w:r>
              <w:rPr>
                <w:rFonts w:hint="eastAsia" w:ascii="宋体" w:hAnsi="宋体" w:eastAsia="宋体" w:cs="宋体"/>
                <w:bCs/>
                <w:color w:val="000000"/>
                <w:sz w:val="24"/>
                <w:lang w:val="en-US" w:eastAsia="zh-CN"/>
              </w:rPr>
              <w:t>不少于</w:t>
            </w:r>
            <w:r>
              <w:rPr>
                <w:rFonts w:hint="eastAsia" w:ascii="宋体" w:hAnsi="宋体" w:eastAsia="宋体" w:cs="宋体"/>
                <w:bCs/>
                <w:color w:val="000000"/>
                <w:sz w:val="24"/>
                <w:lang w:eastAsia="zh-CN"/>
              </w:rPr>
              <w:t>3</w:t>
            </w:r>
            <w:r>
              <w:rPr>
                <w:rFonts w:hint="eastAsia" w:ascii="宋体" w:hAnsi="宋体" w:eastAsia="宋体" w:cs="宋体"/>
                <w:bCs/>
                <w:color w:val="000000"/>
                <w:sz w:val="24"/>
                <w:lang w:val="en-US" w:eastAsia="zh-CN"/>
              </w:rPr>
              <w:t>0</w:t>
            </w:r>
            <w:r>
              <w:rPr>
                <w:rFonts w:hint="eastAsia" w:ascii="宋体" w:hAnsi="宋体" w:eastAsia="宋体" w:cs="宋体"/>
                <w:bCs/>
                <w:color w:val="000000"/>
                <w:sz w:val="24"/>
                <w:lang w:eastAsia="zh-CN"/>
              </w:rPr>
              <w:t>个独立交互式虚拟仿真教学资源，轻量级的可交互知识点资源，每个资源聚焦一个独立的知识点或操作技能点，不可合并、不可拆分。</w:t>
            </w:r>
          </w:p>
          <w:p w14:paraId="372E844B">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2.内容覆盖要求：</w:t>
            </w:r>
          </w:p>
          <w:p w14:paraId="50CFC72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资源内容覆盖航空活塞发动机构造认知、工作原理演示、系统运行仿真、部件识别训练、维护操作模拟等维度，与教材内容紧密对应，支撑重难点知识的可视化与交互式学习。具体分布如下：</w:t>
            </w:r>
          </w:p>
          <w:p w14:paraId="7DE93C27">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(1)IO-360-L2A发动机整机三维交互模型；</w:t>
            </w:r>
          </w:p>
          <w:p w14:paraId="06C1CB41">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需包含</w:t>
            </w:r>
            <w:r>
              <w:rPr>
                <w:rFonts w:hint="eastAsia" w:ascii="宋体" w:hAnsi="宋体" w:eastAsia="宋体" w:cs="宋体"/>
                <w:b/>
                <w:bCs w:val="0"/>
                <w:strike w:val="0"/>
                <w:dstrike w:val="0"/>
                <w:color w:val="000000"/>
                <w:sz w:val="24"/>
                <w:lang w:eastAsia="zh-CN"/>
              </w:rPr>
              <w:t>莱康明IO-360-L2A</w:t>
            </w:r>
            <w:r>
              <w:rPr>
                <w:rFonts w:hint="eastAsia" w:ascii="宋体" w:hAnsi="宋体" w:eastAsia="宋体" w:cs="宋体"/>
                <w:b/>
                <w:bCs w:val="0"/>
                <w:color w:val="000000"/>
                <w:sz w:val="24"/>
                <w:lang w:eastAsia="zh-CN"/>
              </w:rPr>
              <w:t xml:space="preserve"> 发动机整机三维模型，支持旋转、缩放、拖拽交互操作。（</w:t>
            </w:r>
            <w:r>
              <w:rPr>
                <w:rFonts w:hint="eastAsia" w:ascii="宋体" w:hAnsi="宋体" w:eastAsia="宋体" w:cs="宋体"/>
                <w:b/>
                <w:bCs w:val="0"/>
                <w:color w:val="000000"/>
                <w:sz w:val="24"/>
                <w:lang w:val="en-US" w:eastAsia="zh-CN"/>
              </w:rPr>
              <w:t>提供现场演示</w:t>
            </w:r>
            <w:r>
              <w:rPr>
                <w:rFonts w:hint="eastAsia" w:ascii="宋体" w:hAnsi="宋体" w:eastAsia="宋体" w:cs="宋体"/>
                <w:b/>
                <w:bCs w:val="0"/>
                <w:color w:val="000000"/>
                <w:sz w:val="24"/>
                <w:lang w:eastAsia="zh-CN"/>
              </w:rPr>
              <w:t>）</w:t>
            </w:r>
          </w:p>
          <w:p w14:paraId="14CE128F">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(2) 发动机型号命名规则交互解读</w:t>
            </w:r>
          </w:p>
          <w:p w14:paraId="56FBFCCB">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需包含莱康明系列发动机型号编码规则交互展示，支持逐段点击各编码位（动力类型、气缸排列方式、排量、改型代号等），系统实时显示各段含义及对应机型特征。（</w:t>
            </w:r>
            <w:r>
              <w:rPr>
                <w:rFonts w:hint="eastAsia" w:ascii="宋体" w:hAnsi="宋体" w:eastAsia="宋体" w:cs="宋体"/>
                <w:b/>
                <w:bCs w:val="0"/>
                <w:color w:val="000000"/>
                <w:sz w:val="24"/>
                <w:lang w:val="en-US" w:eastAsia="zh-CN"/>
              </w:rPr>
              <w:t>提供现场演示</w:t>
            </w:r>
            <w:r>
              <w:rPr>
                <w:rFonts w:hint="eastAsia" w:ascii="宋体" w:hAnsi="宋体" w:eastAsia="宋体" w:cs="宋体"/>
                <w:b/>
                <w:bCs w:val="0"/>
                <w:color w:val="000000"/>
                <w:sz w:val="24"/>
                <w:lang w:eastAsia="zh-CN"/>
              </w:rPr>
              <w:t>）</w:t>
            </w:r>
          </w:p>
          <w:p w14:paraId="43CA96BA">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(3) 四冲程工作循环三维动态交互</w:t>
            </w:r>
          </w:p>
          <w:p w14:paraId="64A9EEF4">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需以三维动画形式完整演示进气—压缩—做功—排气四冲程工作过程，同步呈现活塞运动、气门开闭及点火时序，支持播放速度调节和逐步暂停观察。（</w:t>
            </w:r>
            <w:r>
              <w:rPr>
                <w:rFonts w:hint="eastAsia" w:ascii="宋体" w:hAnsi="宋体" w:eastAsia="宋体" w:cs="宋体"/>
                <w:b/>
                <w:bCs w:val="0"/>
                <w:color w:val="000000"/>
                <w:sz w:val="24"/>
                <w:lang w:val="en-US" w:eastAsia="zh-CN"/>
              </w:rPr>
              <w:t>提供现场演示</w:t>
            </w:r>
            <w:r>
              <w:rPr>
                <w:rFonts w:hint="eastAsia" w:ascii="宋体" w:hAnsi="宋体" w:eastAsia="宋体" w:cs="宋体"/>
                <w:b/>
                <w:bCs w:val="0"/>
                <w:color w:val="000000"/>
                <w:sz w:val="24"/>
                <w:lang w:eastAsia="zh-CN"/>
              </w:rPr>
              <w:t>）</w:t>
            </w:r>
          </w:p>
          <w:p w14:paraId="0672909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 活塞发动机专有术语与部件对照认知</w:t>
            </w:r>
          </w:p>
          <w:p w14:paraId="59108E4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需包含活塞发动机专有部件与术语的三维可交互呈现，支持点击术语在三维模型上高亮对应部位并显示术语含义说明，建立术语与实物部件的直观对应关系。</w:t>
            </w:r>
          </w:p>
          <w:p w14:paraId="0AEA9B8E">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 点火提前角原理与调节交互</w:t>
            </w:r>
          </w:p>
          <w:p w14:paraId="572C025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需包含点火提前角原理的交互式展示，支持播放暂停，直观呈现点火时刻与活塞位置的对应关系。</w:t>
            </w:r>
          </w:p>
          <w:p w14:paraId="0A580F47">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(6) 发动机机匣三维结构交互认知</w:t>
            </w:r>
          </w:p>
          <w:p w14:paraId="5862C73F">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需包含 IO-360-L2A 发动机机匣（曲轴箱）三维交互模型，支持整体查看模式，支持爆炸分解组装，可识别主轴承座、气缸安装法兰、油道接口等关键结构部位，显示结构名称及对应 IPC 件号。（</w:t>
            </w:r>
            <w:r>
              <w:rPr>
                <w:rFonts w:hint="eastAsia" w:ascii="宋体" w:hAnsi="宋体" w:eastAsia="宋体" w:cs="宋体"/>
                <w:b/>
                <w:bCs w:val="0"/>
                <w:color w:val="000000"/>
                <w:sz w:val="24"/>
                <w:lang w:val="en-US" w:eastAsia="zh-CN"/>
              </w:rPr>
              <w:t>提供现场演示</w:t>
            </w:r>
            <w:r>
              <w:rPr>
                <w:rFonts w:hint="eastAsia" w:ascii="宋体" w:hAnsi="宋体" w:eastAsia="宋体" w:cs="宋体"/>
                <w:b/>
                <w:bCs w:val="0"/>
                <w:color w:val="000000"/>
                <w:sz w:val="24"/>
                <w:lang w:eastAsia="zh-CN"/>
              </w:rPr>
              <w:t>）</w:t>
            </w:r>
          </w:p>
          <w:p w14:paraId="15FCD1BF">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(7) 气缸组件三维结构交互认知</w:t>
            </w:r>
          </w:p>
          <w:p w14:paraId="1B8EA5B7">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sz w:val="24"/>
                <w:lang w:eastAsia="zh-CN"/>
              </w:rPr>
              <w:t>需包含 IO-360-L2A 发动机的气缸体、气缸头、散热片、气门座等部件的三维模型交互展示，支持部件点击高亮、分层拆解查看各部件细节结构，支持三维零件模型与 IPC 图纸对照及零件编号关联查看。（</w:t>
            </w:r>
            <w:r>
              <w:rPr>
                <w:rFonts w:hint="eastAsia" w:ascii="宋体" w:hAnsi="宋体" w:eastAsia="宋体" w:cs="宋体"/>
                <w:b/>
                <w:bCs w:val="0"/>
                <w:color w:val="000000"/>
                <w:sz w:val="24"/>
                <w:lang w:val="en-US" w:eastAsia="zh-CN"/>
              </w:rPr>
              <w:t>提供现场演示</w:t>
            </w:r>
            <w:r>
              <w:rPr>
                <w:rFonts w:hint="eastAsia" w:ascii="宋体" w:hAnsi="宋体" w:eastAsia="宋体" w:cs="宋体"/>
                <w:b/>
                <w:bCs w:val="0"/>
                <w:color w:val="000000"/>
                <w:sz w:val="24"/>
                <w:lang w:eastAsia="zh-CN"/>
              </w:rPr>
              <w:t>）</w:t>
            </w:r>
          </w:p>
          <w:p w14:paraId="7204C1C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(8) 活塞组件三维结构交互认知</w:t>
            </w:r>
          </w:p>
          <w:p w14:paraId="109EF32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需包含活塞本体、活塞环（压缩环和油环）、活塞销等部件的三维模型交互展示，支持识别各部件及对应IPC件号。</w:t>
            </w:r>
          </w:p>
          <w:p w14:paraId="2E1A8D0B">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(9) 连杆机构构造与运动仿真</w:t>
            </w:r>
          </w:p>
          <w:p w14:paraId="7837EC22">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需包含连杆大端、小端、连杆螺栓等部件的三维模型交互展示，支持点击识别各结构部位及IPC件号。</w:t>
            </w:r>
          </w:p>
          <w:p w14:paraId="5DDB612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(10) 曲轴组件三维结构交互认知</w:t>
            </w:r>
          </w:p>
          <w:p w14:paraId="69811CA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需包含主轴颈、连杆轴颈、配重块、法兰端等关键部位的三维模型交互展示，支持点击识别及对应IPC件号。</w:t>
            </w:r>
          </w:p>
          <w:p w14:paraId="3DB90C9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(11) 气门机构三维结构交互认知</w:t>
            </w:r>
          </w:p>
          <w:p w14:paraId="6A3ABE7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需包含进气门、排气门、气门弹簧、摇臂、推杆等部件的三维模型交互展示，支持爆炸查看各部件结构细节，可对应IPC件号。</w:t>
            </w:r>
          </w:p>
          <w:p w14:paraId="5209CA47">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(12) 配气正时原理与气门定时交互图</w:t>
            </w:r>
          </w:p>
          <w:p w14:paraId="45AB6025">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需包含配气正时原理的交互式展示，直观呈现气门重叠角、开闭时刻等关键概念。</w:t>
            </w:r>
          </w:p>
          <w:p w14:paraId="690F38D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(13) 气缸组件爆炸图</w:t>
            </w:r>
          </w:p>
          <w:p w14:paraId="6B42220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需包含发动机气缸组件的爆炸展示与拖拽、旋转、缩放交互操作。</w:t>
            </w:r>
          </w:p>
          <w:p w14:paraId="7BE14C55">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(14) 油门操纵杆、混合比操纵杆与混合比调节装置的关系</w:t>
            </w:r>
          </w:p>
          <w:p w14:paraId="6BFF6EB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需油门操纵杆原理图、部件剖面图及介绍说明，直观展示与混合比调节装置的控制关系。</w:t>
            </w:r>
          </w:p>
          <w:p w14:paraId="4CC706B9">
            <w:pPr>
              <w:numPr>
                <w:ilvl w:val="0"/>
                <w:numId w:val="1"/>
              </w:num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RSA型燃油喷射器工作原理交互</w:t>
            </w:r>
          </w:p>
          <w:p w14:paraId="02BDABAB">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需包含RSA型燃油喷射器的工作原理交互展示，支持点击查看高清详细原理图。</w:t>
            </w:r>
          </w:p>
          <w:p w14:paraId="12947AAA">
            <w:pPr>
              <w:numPr>
                <w:ilvl w:val="0"/>
                <w:numId w:val="2"/>
              </w:num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进气管路组件三维结构与装配关系</w:t>
            </w:r>
          </w:p>
          <w:p w14:paraId="0DBB18B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需包含进气管路各组件的三维模型与装配关系展示，支持点击识别部件及IPC件号，理解进气系统的装配关系。</w:t>
            </w:r>
          </w:p>
          <w:p w14:paraId="3FC9CBEA">
            <w:pPr>
              <w:numPr>
                <w:ilvl w:val="0"/>
                <w:numId w:val="2"/>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油门操纵杆与混合比操纵联动机构三维交互</w:t>
            </w:r>
          </w:p>
          <w:p w14:paraId="2100A9B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需包含油门操纵杆、混合比操纵杆、驾驶舱的三维交互模型，支持操纵杆联动操作演示，观察座舱中操纵杆的位置及操作方式。</w:t>
            </w:r>
          </w:p>
          <w:p w14:paraId="4357A0CE">
            <w:pPr>
              <w:numPr>
                <w:ilvl w:val="0"/>
                <w:numId w:val="2"/>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飞机进气口排气口位置识别训练</w:t>
            </w:r>
          </w:p>
          <w:p w14:paraId="68483755">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需包含飞机发动机进气口和排气口位置的三维交互展示，支持在整机模型上点击识别进排气口位置，显示结构名称、功用说明及检查要点，训练学生对进排气口外观特征与位置关系的识别能力。</w:t>
            </w:r>
          </w:p>
          <w:p w14:paraId="338603B2">
            <w:pPr>
              <w:numPr>
                <w:ilvl w:val="0"/>
                <w:numId w:val="3"/>
              </w:num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排气系统IPC部件识别训练</w:t>
            </w:r>
          </w:p>
          <w:p w14:paraId="26786D4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需包含排气管路、消音器、排气加热套等部件的详细介绍。</w:t>
            </w:r>
          </w:p>
          <w:p w14:paraId="12310119">
            <w:pPr>
              <w:numPr>
                <w:ilvl w:val="0"/>
                <w:numId w:val="3"/>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燃油系统IPC部件识别训练</w:t>
            </w:r>
          </w:p>
          <w:p w14:paraId="6D450DB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需包含燃油管路、燃油泵、燃油分配器等部件的三维模型与IPC目录。</w:t>
            </w:r>
          </w:p>
          <w:p w14:paraId="497C1A56">
            <w:pPr>
              <w:numPr>
                <w:ilvl w:val="0"/>
                <w:numId w:val="3"/>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磁电机发电原理与内部组件交互</w:t>
            </w:r>
          </w:p>
          <w:p w14:paraId="633144B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需包含磁电机供电示意图，可以帮助学生将抽象的供电逻辑直观的展示出来。</w:t>
            </w:r>
          </w:p>
          <w:p w14:paraId="0168D110">
            <w:pPr>
              <w:numPr>
                <w:ilvl w:val="0"/>
                <w:numId w:val="3"/>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磁电机定时</w:t>
            </w:r>
          </w:p>
          <w:p w14:paraId="1A5E5585">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需包含磁电机定时概念、内定时、外定时这三个在磁电机定时中的重要知识点图文讲解。</w:t>
            </w:r>
          </w:p>
          <w:p w14:paraId="5E373907">
            <w:pPr>
              <w:numPr>
                <w:ilvl w:val="0"/>
                <w:numId w:val="3"/>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火花塞构造与放电原理三维交互</w:t>
            </w:r>
          </w:p>
          <w:p w14:paraId="65DD951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需包含火花塞的中心电极、侧电极、绝缘体、壳体等部件的三维交互模型，支持点击识别各部件并显示结构名称，动画演示火花塞放电过程。</w:t>
            </w:r>
          </w:p>
          <w:p w14:paraId="6932CAC1">
            <w:pPr>
              <w:numPr>
                <w:ilvl w:val="0"/>
                <w:numId w:val="3"/>
              </w:numPr>
              <w:spacing w:after="0" w:line="240" w:lineRule="auto"/>
              <w:ind w:left="0" w:leftChars="0" w:firstLine="480" w:firstLineChars="20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起动机与曲轴联动起动仿真</w:t>
            </w:r>
          </w:p>
          <w:p w14:paraId="6FDD169B">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需包含起动机与曲轴联动起动的三维动画展示，可观察起动机齿轮啮合曲轴、发动机着车的完整联动过程，错误操作时给出提示。</w:t>
            </w:r>
          </w:p>
          <w:p w14:paraId="22CA160E">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(25) 滑油系统循环路径动态可视化</w:t>
            </w:r>
          </w:p>
          <w:p w14:paraId="506F1BA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需包含滑油系统循环路径的动态可视化展示，以粒子流动画模拟滑油从油泵经滤清器、主油道、轴承到回流的完整循环路径，支持播放控制和关键部件标注显示。</w:t>
            </w:r>
          </w:p>
          <w:p w14:paraId="28C8229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(26) 滑油系统介绍</w:t>
            </w:r>
          </w:p>
          <w:p w14:paraId="5C20262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三维展示发动机上滑油系统相关组件的位置，并高亮展示。</w:t>
            </w:r>
          </w:p>
          <w:p w14:paraId="551160A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(27) 发动机仪表盘指示交互模拟</w:t>
            </w:r>
          </w:p>
          <w:p w14:paraId="4ACFEFE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需包含发动机仪表面板的三维介绍，涵盖转速表、滑油压力表、滑油温度表、燃油压力表、气缸头温度表等指示仪表。</w:t>
            </w:r>
          </w:p>
          <w:p w14:paraId="628CACA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(28) 滑油系统油底壳与吸油网介绍</w:t>
            </w:r>
          </w:p>
          <w:p w14:paraId="59BBD73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包含发动机滑油系统的油底壳与吸油网图文及 IPC 介绍，可点击查看高清图片。</w:t>
            </w:r>
          </w:p>
          <w:p w14:paraId="60C20847">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(29) 滑油系统滑油泵、滑油滤、滑油加注口认知</w:t>
            </w:r>
          </w:p>
          <w:p w14:paraId="374C7AA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需包含滑油泵、滑油滤、滑油加注口附件的三维交互展示。</w:t>
            </w:r>
          </w:p>
          <w:p w14:paraId="09751F9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(30) 发动机启动机介绍</w:t>
            </w:r>
          </w:p>
          <w:p w14:paraId="7C240CD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包含发动机启动机的图文介绍，详细展示启动机在飞机的相对位置、在发动机的相对位置及主要零件展示。</w:t>
            </w:r>
          </w:p>
          <w:p w14:paraId="6AA04196">
            <w:pPr>
              <w:spacing w:before="0"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3.交互功能参数：</w:t>
            </w:r>
          </w:p>
          <w:p w14:paraId="5BFACB8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（1）支持基础交互操作：三维模型旋转、缩放、拖拽、部件点击识别、参数调节、动画播放控制等；</w:t>
            </w:r>
          </w:p>
          <w:p w14:paraId="1A7DD49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（2）支持知识点关联：交互操作过程中同步展示部件名称、功用说明、IPC 件号等关联信息；</w:t>
            </w:r>
          </w:p>
          <w:p w14:paraId="37855C1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（3）具备引导提示功能：关键交互节点提供操作引导和知识点提示，帮助学生自主完成探索学习；</w:t>
            </w:r>
          </w:p>
          <w:p w14:paraId="0F21917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（4）部分资源支持流程模拟：如装配顺序交互、起动流程操作、气门间隙调整操作等，错误操作时给出提示和正确引导；</w:t>
            </w:r>
          </w:p>
          <w:p w14:paraId="7F6DE2B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（5）支持学习行为数据采集：记录每个资源的访问时长、交互次数、操作完成状态等数据，提供标准化数据接口，可对接教学平台进行学情分析。</w:t>
            </w:r>
          </w:p>
          <w:p w14:paraId="230CF394">
            <w:pPr>
              <w:spacing w:before="0"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4.技术实现要求：</w:t>
            </w:r>
          </w:p>
          <w:p w14:paraId="309420CA">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（1）基于 WebGL</w:t>
            </w:r>
            <w:r>
              <w:rPr>
                <w:rFonts w:hint="eastAsia" w:ascii="宋体" w:hAnsi="宋体" w:eastAsia="宋体" w:cs="宋体"/>
                <w:bCs/>
                <w:color w:val="000000"/>
                <w:sz w:val="24"/>
                <w:lang w:val="en-US" w:eastAsia="zh-CN"/>
              </w:rPr>
              <w:t xml:space="preserve"> </w:t>
            </w:r>
            <w:r>
              <w:rPr>
                <w:rFonts w:hint="eastAsia" w:ascii="宋体" w:hAnsi="宋体" w:eastAsia="宋体" w:cs="宋体"/>
                <w:bCs/>
                <w:color w:val="000000"/>
                <w:sz w:val="24"/>
                <w:lang w:eastAsia="zh-CN"/>
              </w:rPr>
              <w:t>2.0或 WebGPU 标准实现三维渲染，兼容Three.js、Babylon.js 等主流三维引擎，支持在现代浏览器中直接运行，无需安装额外插件；</w:t>
            </w:r>
          </w:p>
          <w:p w14:paraId="7089655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（2）三维模型精度满足教学展示需要，部件结构清晰、材质纹理可辨、动画帧率不低于30fps；</w:t>
            </w:r>
          </w:p>
          <w:p w14:paraId="648E44F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（3）适配主流屏幕分辨率（1920×1080 及以上），整体设计风格统一；</w:t>
            </w:r>
          </w:p>
          <w:p w14:paraId="79F9915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（4）单个资源首次加载时间不超过5秒（4G网络环境），本地部署环境首次加载不超过2秒，交互响应延迟不超过200毫秒；</w:t>
            </w:r>
          </w:p>
          <w:p w14:paraId="014BA1A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（5）支持响应式布局，适配 16:9和 16:10等常见屏幕比例。</w:t>
            </w:r>
          </w:p>
          <w:p w14:paraId="0E5D2D5A">
            <w:pPr>
              <w:spacing w:after="0" w:line="240" w:lineRule="auto"/>
              <w:ind w:firstLine="0"/>
              <w:rPr>
                <w:rFonts w:hint="eastAsia" w:ascii="宋体" w:hAnsi="宋体" w:eastAsia="宋体" w:cs="宋体"/>
                <w:color w:val="000000"/>
                <w:szCs w:val="24"/>
                <w:highlight w:val="none"/>
                <w:vertAlign w:val="baseline"/>
                <w:lang w:val="en-US" w:eastAsia="zh-CN"/>
              </w:rPr>
            </w:pPr>
            <w:r>
              <w:rPr>
                <w:rFonts w:hint="eastAsia" w:ascii="宋体" w:hAnsi="宋体" w:eastAsia="宋体" w:cs="宋体"/>
                <w:bCs/>
                <w:color w:val="000000"/>
                <w:sz w:val="24"/>
                <w:lang w:eastAsia="zh-CN"/>
              </w:rPr>
              <w:t>5.运行与兼容要求：支持主流浏览器（Chrome 90+、Edge 90+、Firefox 90+）直接运行，支持嵌入教学平台网页端使用，运行稳定无闪退、无黑屏、无卡顿、无崩溃。</w:t>
            </w:r>
          </w:p>
        </w:tc>
      </w:tr>
      <w:tr w14:paraId="572B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noWrap w:val="0"/>
            <w:vAlign w:val="center"/>
          </w:tcPr>
          <w:p w14:paraId="37E5B07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2</w:t>
            </w:r>
          </w:p>
        </w:tc>
        <w:tc>
          <w:tcPr>
            <w:tcW w:w="1419" w:type="dxa"/>
            <w:noWrap w:val="0"/>
            <w:vAlign w:val="center"/>
          </w:tcPr>
          <w:p w14:paraId="76FFE97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低空飞行器原理与构造课程资源</w:t>
            </w:r>
          </w:p>
        </w:tc>
        <w:tc>
          <w:tcPr>
            <w:tcW w:w="741" w:type="dxa"/>
            <w:noWrap w:val="0"/>
            <w:vAlign w:val="center"/>
          </w:tcPr>
          <w:p w14:paraId="3F9877B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1</w:t>
            </w:r>
          </w:p>
        </w:tc>
        <w:tc>
          <w:tcPr>
            <w:tcW w:w="826" w:type="dxa"/>
            <w:noWrap w:val="0"/>
            <w:vAlign w:val="center"/>
          </w:tcPr>
          <w:p w14:paraId="75D2E47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000000"/>
                <w:szCs w:val="24"/>
                <w:highlight w:val="none"/>
                <w:vertAlign w:val="baseline"/>
                <w:lang w:val="en-US" w:eastAsia="zh-CN"/>
              </w:rPr>
            </w:pPr>
            <w:r>
              <w:rPr>
                <w:rFonts w:hint="eastAsia" w:ascii="宋体" w:hAnsi="宋体" w:eastAsia="宋体" w:cs="宋体"/>
                <w:color w:val="000000"/>
                <w:szCs w:val="24"/>
                <w:highlight w:val="none"/>
                <w:vertAlign w:val="baseline"/>
                <w:lang w:val="en-US" w:eastAsia="zh-CN"/>
              </w:rPr>
              <w:t>套</w:t>
            </w:r>
          </w:p>
        </w:tc>
        <w:tc>
          <w:tcPr>
            <w:tcW w:w="5054" w:type="dxa"/>
            <w:noWrap w:val="0"/>
            <w:vAlign w:val="center"/>
          </w:tcPr>
          <w:p w14:paraId="674BD13C">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整</w:t>
            </w:r>
            <w:r>
              <w:rPr>
                <w:rFonts w:hint="eastAsia" w:ascii="宋体" w:hAnsi="宋体" w:eastAsia="宋体" w:cs="宋体"/>
                <w:b w:val="0"/>
                <w:bCs/>
                <w:color w:val="000000"/>
                <w:sz w:val="24"/>
                <w:szCs w:val="24"/>
              </w:rPr>
              <w:t>体要求：</w:t>
            </w:r>
          </w:p>
          <w:p w14:paraId="55C78E9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所有资源必须贴合《职业教育专业教学标准》《飞行器制造类专业人才培养方案》，对接</w:t>
            </w:r>
            <w:r>
              <w:rPr>
                <w:rFonts w:hint="eastAsia" w:ascii="宋体" w:hAnsi="宋体" w:eastAsia="宋体" w:cs="宋体"/>
                <w:b w:val="0"/>
                <w:bCs/>
                <w:color w:val="000000"/>
                <w:sz w:val="24"/>
                <w:szCs w:val="24"/>
                <w:lang w:val="en-US" w:eastAsia="zh-CN"/>
              </w:rPr>
              <w:t>低空</w:t>
            </w:r>
            <w:r>
              <w:rPr>
                <w:rFonts w:hint="eastAsia" w:ascii="宋体" w:hAnsi="宋体" w:eastAsia="宋体" w:cs="宋体"/>
                <w:b w:val="0"/>
                <w:bCs/>
                <w:color w:val="000000"/>
                <w:sz w:val="24"/>
                <w:szCs w:val="24"/>
              </w:rPr>
              <w:t>业企业现行工艺标准、设备参数、岗位操作规程。所有资源为全新原创制作，无水印、无广告、无版权纠纷，交付后学校拥有永久使用权、本地化部署权、教学二次编辑使用权。</w:t>
            </w:r>
          </w:p>
          <w:p w14:paraId="76797CC2">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交付要求：</w:t>
            </w:r>
          </w:p>
          <w:p w14:paraId="369D40E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szCs w:val="24"/>
              </w:rPr>
              <w:t>本项目全部成果资源统一采用</w:t>
            </w:r>
            <w:r>
              <w:rPr>
                <w:rFonts w:hint="eastAsia" w:ascii="宋体" w:hAnsi="宋体" w:eastAsia="宋体" w:cs="宋体"/>
                <w:b w:val="0"/>
                <w:bCs/>
                <w:color w:val="000000"/>
                <w:sz w:val="24"/>
                <w:szCs w:val="24"/>
              </w:rPr>
              <w:t>移动硬盘</w:t>
            </w:r>
            <w:r>
              <w:rPr>
                <w:rFonts w:hint="eastAsia" w:ascii="宋体" w:hAnsi="宋体" w:eastAsia="宋体" w:cs="宋体"/>
                <w:bCs/>
                <w:color w:val="000000"/>
                <w:sz w:val="24"/>
                <w:szCs w:val="24"/>
              </w:rPr>
              <w:t>作为交付载体，交付硬盘需</w:t>
            </w:r>
            <w:r>
              <w:rPr>
                <w:rFonts w:hint="eastAsia" w:ascii="宋体" w:hAnsi="宋体" w:eastAsia="宋体" w:cs="宋体"/>
                <w:bCs/>
                <w:color w:val="000000"/>
                <w:sz w:val="24"/>
                <w:szCs w:val="24"/>
                <w:lang w:val="en-US" w:eastAsia="zh-CN"/>
              </w:rPr>
              <w:t>为</w:t>
            </w:r>
            <w:r>
              <w:rPr>
                <w:rFonts w:hint="eastAsia" w:ascii="宋体" w:hAnsi="宋体" w:eastAsia="宋体" w:cs="宋体"/>
                <w:bCs/>
                <w:color w:val="000000"/>
                <w:sz w:val="24"/>
                <w:szCs w:val="24"/>
              </w:rPr>
              <w:t>全新正品</w:t>
            </w:r>
            <w:r>
              <w:rPr>
                <w:rFonts w:hint="eastAsia" w:ascii="宋体" w:hAnsi="宋体" w:eastAsia="宋体" w:cs="宋体"/>
                <w:b w:val="0"/>
                <w:bCs/>
                <w:color w:val="000000"/>
                <w:sz w:val="24"/>
                <w:szCs w:val="24"/>
                <w:lang w:val="en-US" w:eastAsia="zh-CN"/>
              </w:rPr>
              <w:t>，</w:t>
            </w:r>
            <w:r>
              <w:rPr>
                <w:rFonts w:hint="eastAsia" w:ascii="宋体" w:hAnsi="宋体" w:eastAsia="宋体" w:cs="宋体"/>
                <w:bCs/>
                <w:color w:val="000000"/>
                <w:sz w:val="24"/>
                <w:szCs w:val="24"/>
              </w:rPr>
              <w:t>存储容量满足全部资源存储需求</w:t>
            </w:r>
            <w:r>
              <w:rPr>
                <w:rFonts w:hint="eastAsia" w:ascii="宋体" w:hAnsi="宋体" w:eastAsia="宋体" w:cs="宋体"/>
                <w:bCs/>
                <w:color w:val="000000"/>
                <w:sz w:val="24"/>
                <w:szCs w:val="24"/>
                <w:lang w:eastAsia="zh-CN"/>
              </w:rPr>
              <w:t>。</w:t>
            </w:r>
            <w:r>
              <w:rPr>
                <w:rFonts w:hint="eastAsia" w:ascii="宋体" w:hAnsi="宋体" w:eastAsia="宋体" w:cs="宋体"/>
                <w:b w:val="0"/>
                <w:bCs/>
                <w:color w:val="000000"/>
                <w:sz w:val="24"/>
                <w:szCs w:val="24"/>
              </w:rPr>
              <w:t>所有资源分类归档、文件夹层级清晰、命名规范、配套统一资源清单、验收标准、使用说明书。</w:t>
            </w:r>
          </w:p>
          <w:p w14:paraId="34F522FE">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一</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课程能力图谱</w:t>
            </w:r>
            <w:r>
              <w:rPr>
                <w:rFonts w:hint="eastAsia" w:ascii="宋体" w:hAnsi="宋体" w:eastAsia="宋体" w:cs="宋体"/>
                <w:b w:val="0"/>
                <w:bCs/>
                <w:color w:val="000000"/>
                <w:sz w:val="24"/>
                <w:szCs w:val="24"/>
                <w:lang w:val="en-US" w:eastAsia="zh-CN"/>
              </w:rPr>
              <w:t>1套</w:t>
            </w:r>
          </w:p>
          <w:p w14:paraId="70837D0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1.适配</w:t>
            </w:r>
            <w:r>
              <w:rPr>
                <w:rFonts w:hint="eastAsia" w:ascii="宋体" w:hAnsi="宋体" w:eastAsia="宋体" w:cs="宋体"/>
                <w:bCs/>
                <w:color w:val="000000"/>
                <w:sz w:val="24"/>
                <w:szCs w:val="24"/>
                <w:lang w:val="en-US" w:eastAsia="zh-CN"/>
              </w:rPr>
              <w:t>低空飞行器原理与构造</w:t>
            </w:r>
            <w:r>
              <w:rPr>
                <w:rFonts w:hint="eastAsia" w:ascii="宋体" w:hAnsi="宋体" w:eastAsia="宋体" w:cs="宋体"/>
                <w:bCs/>
                <w:color w:val="000000"/>
                <w:sz w:val="24"/>
                <w:lang w:eastAsia="zh-CN"/>
              </w:rPr>
              <w:t>整体课程体系，依据专业人才培养方案、国家职教教学标准、行业通用岗位能力标准编制；</w:t>
            </w:r>
          </w:p>
          <w:p w14:paraId="527E4AF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2.清晰梳理专业群基础课程、核心课程的层级逻辑、衔接关系、开课顺序与能力递进培养体系；</w:t>
            </w:r>
          </w:p>
          <w:p w14:paraId="4729625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3.精准拆解各课程对应知识点、技能点、素养点，明确课程教学目标、重难点、实训要求、岗位能力对应关系；</w:t>
            </w:r>
          </w:p>
          <w:p w14:paraId="5D5FDD8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4.内容贴合</w:t>
            </w:r>
            <w:r>
              <w:rPr>
                <w:rFonts w:hint="eastAsia" w:ascii="宋体" w:hAnsi="宋体" w:eastAsia="宋体" w:cs="宋体"/>
                <w:bCs/>
                <w:color w:val="000000"/>
                <w:sz w:val="24"/>
                <w:szCs w:val="24"/>
                <w:lang w:val="en-US" w:eastAsia="zh-CN"/>
              </w:rPr>
              <w:t>低空飞行器原理与构造</w:t>
            </w:r>
            <w:r>
              <w:rPr>
                <w:rFonts w:hint="eastAsia" w:ascii="宋体" w:hAnsi="宋体" w:eastAsia="宋体" w:cs="宋体"/>
                <w:bCs/>
                <w:color w:val="000000"/>
                <w:sz w:val="24"/>
                <w:lang w:eastAsia="zh-CN"/>
              </w:rPr>
              <w:t>通用技术标准，可直接指导课程教学设计、实训开展、考核评价、课程改革；</w:t>
            </w:r>
          </w:p>
          <w:p w14:paraId="272CF9AE">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5.交付格式：可编辑 Word</w:t>
            </w:r>
            <w:r>
              <w:rPr>
                <w:rFonts w:hint="eastAsia" w:ascii="宋体" w:hAnsi="宋体" w:eastAsia="宋体" w:cs="宋体"/>
                <w:bCs/>
                <w:color w:val="000000"/>
                <w:sz w:val="24"/>
                <w:lang w:val="en-US" w:eastAsia="zh-CN"/>
              </w:rPr>
              <w:t>和</w:t>
            </w:r>
            <w:r>
              <w:rPr>
                <w:rFonts w:hint="eastAsia" w:ascii="宋体" w:hAnsi="宋体" w:eastAsia="宋体" w:cs="宋体"/>
                <w:bCs/>
                <w:color w:val="000000"/>
                <w:sz w:val="24"/>
                <w:lang w:eastAsia="zh-CN"/>
              </w:rPr>
              <w:t>PDF格式，版式统一、图文规范、层级清晰。</w:t>
            </w:r>
          </w:p>
          <w:p w14:paraId="2E299AEA">
            <w:pPr>
              <w:spacing w:before="0" w:after="0" w:line="240" w:lineRule="auto"/>
              <w:rPr>
                <w:rFonts w:hint="eastAsia" w:ascii="宋体" w:hAnsi="宋体" w:eastAsia="宋体" w:cs="宋体"/>
                <w:bCs/>
                <w:color w:val="000000"/>
                <w:sz w:val="24"/>
                <w:lang w:eastAsia="zh-CN"/>
              </w:rPr>
            </w:pPr>
            <w:r>
              <w:rPr>
                <w:rFonts w:hint="eastAsia" w:ascii="宋体" w:hAnsi="宋体" w:eastAsia="宋体" w:cs="宋体"/>
                <w:b w:val="0"/>
                <w:bCs/>
                <w:color w:val="000000"/>
                <w:sz w:val="24"/>
                <w:lang w:val="en-US" w:eastAsia="zh-CN"/>
              </w:rPr>
              <w:t>6.</w:t>
            </w:r>
            <w:r>
              <w:rPr>
                <w:rFonts w:hint="eastAsia" w:ascii="宋体" w:hAnsi="宋体" w:eastAsia="宋体" w:cs="宋体"/>
                <w:b w:val="0"/>
                <w:bCs/>
                <w:color w:val="000000"/>
                <w:sz w:val="24"/>
                <w:lang w:eastAsia="zh-CN"/>
              </w:rPr>
              <w:t>具体交付内容：</w:t>
            </w:r>
          </w:p>
          <w:p w14:paraId="1E694772">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（1）专业群课程体系总览图：以可视化方式呈现基础课程、专业核心课程、实践课程的层级关系与开课顺序；</w:t>
            </w:r>
          </w:p>
          <w:p w14:paraId="1292194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w:t>
            </w:r>
            <w:r>
              <w:rPr>
                <w:rFonts w:hint="eastAsia" w:ascii="宋体" w:hAnsi="宋体" w:eastAsia="宋体" w:cs="宋体"/>
                <w:bCs/>
                <w:color w:val="000000"/>
                <w:sz w:val="24"/>
                <w:szCs w:val="24"/>
                <w:lang w:val="en-US" w:eastAsia="zh-CN"/>
              </w:rPr>
              <w:t>低空飞行器原理与构造</w:t>
            </w:r>
            <w:r>
              <w:rPr>
                <w:rFonts w:hint="eastAsia" w:ascii="宋体" w:hAnsi="宋体" w:eastAsia="宋体" w:cs="宋体"/>
                <w:bCs/>
                <w:color w:val="000000"/>
                <w:sz w:val="24"/>
                <w:lang w:eastAsia="zh-CN"/>
              </w:rPr>
              <w:t>》课程能力图谱：明确本课程在专业群中的定位、前导课程与后续课程衔接关系；</w:t>
            </w:r>
          </w:p>
          <w:p w14:paraId="391AF310">
            <w:pPr>
              <w:spacing w:after="0" w:line="240" w:lineRule="auto"/>
              <w:ind w:firstLine="0"/>
              <w:rPr>
                <w:rFonts w:hint="eastAsia" w:ascii="宋体" w:hAnsi="宋体" w:eastAsia="宋体" w:cs="宋体"/>
                <w:b/>
                <w:bCs w:val="0"/>
                <w:color w:val="000000"/>
                <w:sz w:val="24"/>
                <w:lang w:eastAsia="zh-CN"/>
              </w:rPr>
            </w:pPr>
            <w:r>
              <w:rPr>
                <w:rFonts w:hint="eastAsia" w:ascii="宋体" w:hAnsi="宋体" w:eastAsia="宋体" w:cs="宋体"/>
                <w:b/>
                <w:bCs w:val="0"/>
                <w:color w:val="000000"/>
              </w:rPr>
              <w:t>▲</w:t>
            </w:r>
            <w:r>
              <w:rPr>
                <w:rFonts w:hint="eastAsia" w:ascii="宋体" w:hAnsi="宋体" w:eastAsia="宋体" w:cs="宋体"/>
                <w:b/>
                <w:bCs w:val="0"/>
                <w:color w:val="000000"/>
                <w:sz w:val="24"/>
                <w:lang w:eastAsia="zh-CN"/>
              </w:rPr>
              <w:t>（3）知识点/技能点/素养点三维映射表：逐章拆解教学目标，标注每个知识点/技能点对应的微课编号和虚拟仿真资源编号；</w:t>
            </w:r>
          </w:p>
          <w:p w14:paraId="7E3E359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
                <w:bCs w:val="0"/>
                <w:color w:val="000000"/>
              </w:rPr>
              <w:t>▲</w:t>
            </w:r>
            <w:r>
              <w:rPr>
                <w:rFonts w:hint="eastAsia" w:ascii="宋体" w:hAnsi="宋体" w:eastAsia="宋体" w:cs="宋体"/>
                <w:b/>
                <w:bCs w:val="0"/>
                <w:color w:val="000000"/>
                <w:sz w:val="24"/>
                <w:lang w:eastAsia="zh-CN"/>
              </w:rPr>
              <w:t>（</w:t>
            </w:r>
            <w:r>
              <w:rPr>
                <w:rFonts w:hint="eastAsia" w:ascii="宋体" w:hAnsi="宋体" w:eastAsia="宋体" w:cs="宋体"/>
                <w:b/>
                <w:bCs w:val="0"/>
                <w:color w:val="000000"/>
                <w:sz w:val="24"/>
                <w:lang w:val="en-US" w:eastAsia="zh-CN"/>
              </w:rPr>
              <w:t>4</w:t>
            </w:r>
            <w:r>
              <w:rPr>
                <w:rFonts w:hint="eastAsia" w:ascii="宋体" w:hAnsi="宋体" w:eastAsia="宋体" w:cs="宋体"/>
                <w:b/>
                <w:bCs w:val="0"/>
                <w:color w:val="000000"/>
                <w:sz w:val="24"/>
                <w:lang w:eastAsia="zh-CN"/>
              </w:rPr>
              <w:t>）资源索引总表：汇总全部微课、虚拟仿真</w:t>
            </w:r>
            <w:r>
              <w:rPr>
                <w:rFonts w:hint="eastAsia" w:ascii="宋体" w:hAnsi="宋体" w:eastAsia="宋体" w:cs="宋体"/>
                <w:b/>
                <w:bCs w:val="0"/>
                <w:color w:val="000000"/>
                <w:sz w:val="24"/>
                <w:lang w:val="en-US" w:eastAsia="zh-CN"/>
              </w:rPr>
              <w:t>视频</w:t>
            </w:r>
            <w:r>
              <w:rPr>
                <w:rFonts w:hint="eastAsia" w:ascii="宋体" w:hAnsi="宋体" w:eastAsia="宋体" w:cs="宋体"/>
                <w:b/>
                <w:bCs w:val="0"/>
                <w:color w:val="000000"/>
                <w:sz w:val="24"/>
                <w:lang w:eastAsia="zh-CN"/>
              </w:rPr>
              <w:t>资源与章节的对应关系，含编号、名称、类型、所在章节、时长/格式等信息。</w:t>
            </w:r>
          </w:p>
          <w:p w14:paraId="72838862">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二</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微课</w:t>
            </w:r>
          </w:p>
          <w:p w14:paraId="5E908227">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w:t>
            </w:r>
            <w:r>
              <w:rPr>
                <w:rFonts w:hint="eastAsia" w:ascii="宋体" w:hAnsi="宋体" w:eastAsia="宋体" w:cs="宋体"/>
                <w:b w:val="0"/>
                <w:bCs/>
                <w:color w:val="000000"/>
                <w:sz w:val="24"/>
                <w:szCs w:val="24"/>
                <w:lang w:val="en-US" w:eastAsia="zh-CN"/>
              </w:rPr>
              <w:t>数量及</w:t>
            </w:r>
            <w:r>
              <w:rPr>
                <w:rFonts w:hint="eastAsia" w:ascii="宋体" w:hAnsi="宋体" w:eastAsia="宋体" w:cs="宋体"/>
                <w:b w:val="0"/>
                <w:bCs/>
                <w:color w:val="000000"/>
                <w:sz w:val="24"/>
                <w:szCs w:val="24"/>
              </w:rPr>
              <w:t>时长标准：</w:t>
            </w:r>
            <w:r>
              <w:rPr>
                <w:rFonts w:hint="eastAsia" w:ascii="宋体" w:hAnsi="宋体" w:eastAsia="宋体" w:cs="宋体"/>
                <w:b w:val="0"/>
                <w:bCs/>
                <w:color w:val="000000"/>
                <w:sz w:val="24"/>
                <w:szCs w:val="24"/>
                <w:lang w:val="en-US" w:eastAsia="zh-CN"/>
              </w:rPr>
              <w:t>不少于32个微课，</w:t>
            </w:r>
            <w:r>
              <w:rPr>
                <w:rFonts w:hint="eastAsia" w:ascii="宋体" w:hAnsi="宋体" w:eastAsia="宋体" w:cs="宋体"/>
                <w:b w:val="0"/>
                <w:bCs/>
                <w:color w:val="000000"/>
                <w:sz w:val="24"/>
                <w:szCs w:val="24"/>
              </w:rPr>
              <w:t>单节</w:t>
            </w:r>
            <w:r>
              <w:rPr>
                <w:rFonts w:hint="eastAsia" w:ascii="宋体" w:hAnsi="宋体" w:eastAsia="宋体" w:cs="宋体"/>
                <w:b w:val="0"/>
                <w:bCs/>
                <w:color w:val="000000"/>
                <w:sz w:val="24"/>
                <w:szCs w:val="24"/>
                <w:lang w:val="en-US" w:eastAsia="zh-CN"/>
              </w:rPr>
              <w:t>不少于2</w:t>
            </w:r>
            <w:r>
              <w:rPr>
                <w:rFonts w:hint="eastAsia" w:ascii="宋体" w:hAnsi="宋体" w:eastAsia="宋体" w:cs="宋体"/>
                <w:b w:val="0"/>
                <w:bCs/>
                <w:color w:val="000000"/>
                <w:sz w:val="24"/>
                <w:szCs w:val="24"/>
              </w:rPr>
              <w:t>分钟，长短结合，知识点碎片化切割，适配课前预习、课中精讲、课后复盘。</w:t>
            </w:r>
          </w:p>
          <w:p w14:paraId="50B2AF7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 内容</w:t>
            </w:r>
            <w:r>
              <w:rPr>
                <w:rFonts w:hint="eastAsia" w:ascii="宋体" w:hAnsi="宋体" w:eastAsia="宋体" w:cs="宋体"/>
                <w:b w:val="0"/>
                <w:bCs/>
                <w:color w:val="000000"/>
                <w:sz w:val="24"/>
                <w:szCs w:val="24"/>
                <w:lang w:val="en-US" w:eastAsia="zh-CN"/>
              </w:rPr>
              <w:t>要求</w:t>
            </w:r>
            <w:r>
              <w:rPr>
                <w:rFonts w:hint="eastAsia" w:ascii="宋体" w:hAnsi="宋体" w:eastAsia="宋体" w:cs="宋体"/>
                <w:b w:val="0"/>
                <w:bCs/>
                <w:color w:val="000000"/>
                <w:sz w:val="24"/>
                <w:szCs w:val="24"/>
              </w:rPr>
              <w:t>：</w:t>
            </w:r>
          </w:p>
          <w:p w14:paraId="6EB8192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（1）低空飞行器行业发展与应用场景介绍</w:t>
            </w:r>
          </w:p>
          <w:p w14:paraId="1982577A">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（2）低空域飞行相关法规与安全规范认知</w:t>
            </w:r>
          </w:p>
          <w:p w14:paraId="47600FE8">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（3）大气环境参数对低空飞行的影响分析</w:t>
            </w:r>
          </w:p>
          <w:p w14:paraId="18DE3A1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（4）空气动力学基础流动现象讲解</w:t>
            </w:r>
          </w:p>
          <w:p w14:paraId="7613935D">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（5）升力、阻力、重力、推力四大飞行力解析</w:t>
            </w:r>
          </w:p>
          <w:p w14:paraId="5F0677FB">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（6）标准翼型种类与气动性能差异</w:t>
            </w:r>
          </w:p>
          <w:p w14:paraId="78B5C803">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（7）机翼外形参数对升阻特性的影响</w:t>
            </w:r>
          </w:p>
          <w:p w14:paraId="7DFBD426">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（8）螺旋桨产生拉力的气动工作原理</w:t>
            </w:r>
          </w:p>
          <w:p w14:paraId="5A1A8BEB">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（9）正反螺旋桨区分与安装使用要求</w:t>
            </w:r>
          </w:p>
          <w:p w14:paraId="79FC4610">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（10）飞行器三轴姿态：俯仰滚转偏航认知</w:t>
            </w:r>
          </w:p>
          <w:p w14:paraId="17BF72C1">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（11）升降舵控制俯仰运动工作原理</w:t>
            </w:r>
          </w:p>
          <w:p w14:paraId="349548E3">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（12）副翼控制滚转姿态操作机理</w:t>
            </w:r>
          </w:p>
          <w:p w14:paraId="6D02D0B7">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（13）方向舵实现偏航转向控制逻辑</w:t>
            </w:r>
          </w:p>
          <w:p w14:paraId="6E2355F2">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（14）低空飞行器静安定性基本原理</w:t>
            </w:r>
          </w:p>
          <w:p w14:paraId="42C3396B">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（15）飞行器操纵性与安定性平衡关系</w:t>
            </w:r>
          </w:p>
          <w:p w14:paraId="05E64C9A">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（16）飞行器机身结构形式与承载特点</w:t>
            </w:r>
          </w:p>
          <w:p w14:paraId="5E111011">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（17）机身轻量化复合材料识别与特性</w:t>
            </w:r>
          </w:p>
          <w:p w14:paraId="772D822E">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（18）机翼内部梁、肋、蒙皮结构组成</w:t>
            </w:r>
          </w:p>
          <w:p w14:paraId="0C872DD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（19）机翼加强件与接头连接结构认知</w:t>
            </w:r>
          </w:p>
          <w:p w14:paraId="39B83EF0">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（20）水平尾翼结构与配平稳定功能</w:t>
            </w:r>
          </w:p>
          <w:p w14:paraId="27FA804E">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（21）垂直尾翼构造与航向稳定作用</w:t>
            </w:r>
          </w:p>
          <w:p w14:paraId="39B0EBB1">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（22）固定式与可收放起落架结构对比</w:t>
            </w:r>
          </w:p>
          <w:p w14:paraId="6186394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（23）起落架缓冲减震装置工作原理</w:t>
            </w:r>
          </w:p>
          <w:p w14:paraId="24384040">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（24）电动无刷电机结构与驱动原理</w:t>
            </w:r>
          </w:p>
          <w:p w14:paraId="4418AC21">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（25）油动活塞发动机内部基本构造</w:t>
            </w:r>
          </w:p>
          <w:p w14:paraId="4CA528D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（26）动力装置冷却与供油供气系统</w:t>
            </w:r>
          </w:p>
          <w:p w14:paraId="5D84BF4C">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（27）减速器传动结构动力传递过程</w:t>
            </w:r>
          </w:p>
          <w:p w14:paraId="3EBE8F85">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（28）舵机内部结构与信号控制原理</w:t>
            </w:r>
          </w:p>
          <w:p w14:paraId="21892558">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（29）连杆摇臂操纵传动机构装配认知</w:t>
            </w:r>
          </w:p>
          <w:p w14:paraId="5CABF6B6">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（30）飞行器机载供电线路基础构造</w:t>
            </w:r>
          </w:p>
          <w:p w14:paraId="1E2EB085">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（31）整机零部件识别与拆装操作流程</w:t>
            </w:r>
          </w:p>
          <w:p w14:paraId="50251D11">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80"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（32）低空飞行器常见结构故障判别方法</w:t>
            </w:r>
          </w:p>
          <w:p w14:paraId="7718D593">
            <w:pPr>
              <w:spacing w:before="0"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3.视频技术参数：</w:t>
            </w:r>
          </w:p>
          <w:p w14:paraId="583AF76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（1）分辨率：1920×1080P及以上高清；</w:t>
            </w:r>
          </w:p>
          <w:p w14:paraId="0AE59BA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（2）画面比例：16:9标准教学画幅；</w:t>
            </w:r>
          </w:p>
          <w:p w14:paraId="5AEA8914">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（3）帧率：≥30fps，画面流畅无拖影、无卡顿；</w:t>
            </w:r>
          </w:p>
          <w:p w14:paraId="07A4F54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（4）编码格式：H.264通用编码，MP4格式；</w:t>
            </w:r>
          </w:p>
          <w:p w14:paraId="0CD0EF8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（5）音频：无损立体声、无噪音、无电流声、人声清晰，标准普通话播音，语速平稳；</w:t>
            </w:r>
          </w:p>
          <w:p w14:paraId="05FBAC27">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（6）字幕：全程精准同步字幕，简体中文，字体规范，无错别字；</w:t>
            </w:r>
          </w:p>
          <w:p w14:paraId="040A178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（7）水印：全程无任何水印、无logo、无广告；</w:t>
            </w:r>
          </w:p>
          <w:p w14:paraId="055A7BF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lang w:eastAsia="zh-CN"/>
              </w:rPr>
              <w:t>（8）画面：构图整洁、课件素材</w:t>
            </w:r>
            <w:r>
              <w:rPr>
                <w:rFonts w:hint="eastAsia" w:ascii="宋体" w:hAnsi="宋体" w:eastAsia="宋体" w:cs="宋体"/>
                <w:bCs/>
                <w:color w:val="000000"/>
                <w:sz w:val="24"/>
                <w:lang w:val="en-US" w:eastAsia="zh-CN"/>
              </w:rPr>
              <w:t>清晰</w:t>
            </w:r>
            <w:r>
              <w:rPr>
                <w:rFonts w:hint="eastAsia" w:ascii="宋体" w:hAnsi="宋体" w:eastAsia="宋体" w:cs="宋体"/>
                <w:bCs/>
                <w:color w:val="000000"/>
                <w:sz w:val="24"/>
                <w:lang w:eastAsia="zh-CN"/>
              </w:rPr>
              <w:t>、动画演示清晰、实操细节突出。</w:t>
            </w:r>
          </w:p>
          <w:p w14:paraId="4CC59CEB">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eastAsia="zh-CN"/>
              </w:rPr>
              <w:t>（</w:t>
            </w:r>
            <w:r>
              <w:rPr>
                <w:rFonts w:hint="eastAsia" w:ascii="宋体" w:hAnsi="宋体" w:eastAsia="宋体" w:cs="宋体"/>
                <w:b w:val="0"/>
                <w:bCs/>
                <w:color w:val="000000"/>
                <w:sz w:val="24"/>
                <w:szCs w:val="24"/>
                <w:highlight w:val="none"/>
                <w:lang w:val="en-US" w:eastAsia="zh-CN"/>
              </w:rPr>
              <w:t>三</w:t>
            </w:r>
            <w:r>
              <w:rPr>
                <w:rFonts w:hint="eastAsia" w:ascii="宋体" w:hAnsi="宋体" w:eastAsia="宋体" w:cs="宋体"/>
                <w:b w:val="0"/>
                <w:bCs/>
                <w:color w:val="000000"/>
                <w:sz w:val="24"/>
                <w:szCs w:val="24"/>
                <w:highlight w:val="none"/>
                <w:lang w:eastAsia="zh-CN"/>
              </w:rPr>
              <w:t>）</w:t>
            </w:r>
            <w:r>
              <w:rPr>
                <w:rFonts w:hint="eastAsia" w:ascii="宋体" w:hAnsi="宋体" w:eastAsia="宋体" w:cs="宋体"/>
                <w:b w:val="0"/>
                <w:bCs/>
                <w:color w:val="000000"/>
                <w:sz w:val="24"/>
                <w:szCs w:val="24"/>
                <w:highlight w:val="none"/>
              </w:rPr>
              <w:t>微动画</w:t>
            </w:r>
          </w:p>
          <w:p w14:paraId="5DADEC7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1.数量时长：</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30个独立二维/三维动画，单条</w:t>
            </w:r>
            <w:r>
              <w:rPr>
                <w:rFonts w:hint="eastAsia" w:ascii="宋体" w:hAnsi="宋体" w:eastAsia="宋体" w:cs="宋体"/>
                <w:b w:val="0"/>
                <w:bCs/>
                <w:color w:val="000000"/>
                <w:sz w:val="24"/>
                <w:szCs w:val="24"/>
                <w:lang w:val="en-US" w:eastAsia="zh-CN"/>
              </w:rPr>
              <w:t>不少于30秒</w:t>
            </w:r>
            <w:r>
              <w:rPr>
                <w:rFonts w:hint="eastAsia" w:ascii="宋体" w:hAnsi="宋体" w:eastAsia="宋体" w:cs="宋体"/>
                <w:b w:val="0"/>
                <w:bCs/>
                <w:color w:val="000000"/>
                <w:sz w:val="24"/>
                <w:szCs w:val="24"/>
              </w:rPr>
              <w:t>，专门解决抽象原理、动态结构、看不见的工作过程。</w:t>
            </w:r>
          </w:p>
          <w:p w14:paraId="1018D028">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2.动画内容要求</w:t>
            </w:r>
          </w:p>
          <w:p w14:paraId="3E044991">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动态演示：气流流动原理、升力产生原理、姿态偏转原理、电机转速匹配、飞控姿态修正、陀螺仪工作逻辑、罗盘校准原理、飞行器平衡原理、故障震动原理、动力传动原理等抽象难点。</w:t>
            </w:r>
            <w:r>
              <w:rPr>
                <w:rFonts w:hint="eastAsia" w:ascii="宋体" w:hAnsi="宋体" w:eastAsia="宋体" w:cs="宋体"/>
                <w:b w:val="0"/>
                <w:bCs/>
                <w:color w:val="000000"/>
                <w:sz w:val="24"/>
                <w:szCs w:val="24"/>
                <w:lang w:val="en-US" w:eastAsia="zh-CN"/>
              </w:rPr>
              <w:t>具体内容如下：</w:t>
            </w:r>
          </w:p>
          <w:p w14:paraId="0DB3785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1）机翼截面气流绕流动态演示；</w:t>
            </w:r>
          </w:p>
          <w:p w14:paraId="4F36E91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（2）伯努利效应与升力生成全过程；</w:t>
            </w:r>
          </w:p>
          <w:p w14:paraId="1FC0CA8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（3）迎角变化对升阻比影响仿真；</w:t>
            </w:r>
          </w:p>
          <w:p w14:paraId="08200F7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（4）低空紊流环境下气流扰动演示；</w:t>
            </w:r>
          </w:p>
          <w:p w14:paraId="4B1379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（5）翼尖涡流产生与气流扩散动画；</w:t>
            </w:r>
          </w:p>
          <w:p w14:paraId="15FAAC7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（6）压差作用下升力分层可视化；</w:t>
            </w:r>
          </w:p>
          <w:p w14:paraId="0362DAD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（7）四轴飞行器俯仰姿态偏转原理；</w:t>
            </w:r>
          </w:p>
          <w:p w14:paraId="09F867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（8）横滚侧倾动作动力分配演示；</w:t>
            </w:r>
          </w:p>
          <w:p w14:paraId="5BD9A2D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（9）偏航转向反扭矩抵消动态过程；</w:t>
            </w:r>
          </w:p>
          <w:p w14:paraId="29891DC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（10）复合姿态联动偏转同步仿真；</w:t>
            </w:r>
          </w:p>
          <w:p w14:paraId="293A5F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（11）低空风扰下机身姿态偏移过程；</w:t>
            </w:r>
          </w:p>
          <w:p w14:paraId="08023C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（12）舵面调节改变飞行姿态动画；</w:t>
            </w:r>
          </w:p>
          <w:p w14:paraId="6DE2F0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（13）多旋翼电机差速转速匹配逻辑；</w:t>
            </w:r>
          </w:p>
          <w:p w14:paraId="07F182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（14）高低负载下电机功率动态调节；</w:t>
            </w:r>
          </w:p>
          <w:p w14:paraId="082016E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（15）无刷电机动力传动内部运转演示；</w:t>
            </w:r>
          </w:p>
          <w:p w14:paraId="09C691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（16）减速齿轮组动力传递仿真动画；</w:t>
            </w:r>
          </w:p>
          <w:p w14:paraId="147C20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（17）三轴陀螺仪姿态感知工作逻辑；</w:t>
            </w:r>
          </w:p>
          <w:p w14:paraId="73E769E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（18）飞控主板实时姿态修正全过程；</w:t>
            </w:r>
          </w:p>
          <w:p w14:paraId="20DBA1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（19）地磁罗盘磁场感应校准原理；</w:t>
            </w:r>
          </w:p>
          <w:p w14:paraId="0CCDC46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（20）罗盘磁场干扰与消磁校准演示；</w:t>
            </w:r>
          </w:p>
          <w:p w14:paraId="7B5AF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（21）传感器数据传输至飞控数据流动画；</w:t>
            </w:r>
          </w:p>
          <w:p w14:paraId="48720A0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（22）陀螺仪零漂误差实时补偿仿真；</w:t>
            </w:r>
          </w:p>
          <w:p w14:paraId="064DA2A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（23）飞行器重心配平平衡动态演示；</w:t>
            </w:r>
          </w:p>
          <w:p w14:paraId="01783D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（24）飞控自动校正失衡机身全过程；</w:t>
            </w:r>
          </w:p>
          <w:p w14:paraId="2C61CE4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（25）载荷偏移引发机身失衡可视化；</w:t>
            </w:r>
          </w:p>
          <w:p w14:paraId="3A128AB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（26）自稳模式下飞行器平衡恢复动画；</w:t>
            </w:r>
          </w:p>
          <w:p w14:paraId="57FDEB1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（27）电机动平衡失效机身震动成因；</w:t>
            </w:r>
          </w:p>
          <w:p w14:paraId="1E4AE4E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（28）桨叶破损引发高频震动仿真；</w:t>
            </w:r>
          </w:p>
          <w:p w14:paraId="347C05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（29）动力输出不一致整机抖动演示；</w:t>
            </w:r>
          </w:p>
          <w:p w14:paraId="62D99B0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（30）传动部件磨损故障震动传导动画。</w:t>
            </w:r>
          </w:p>
          <w:p w14:paraId="04F07FC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w:t>
            </w:r>
            <w:r>
              <w:rPr>
                <w:rFonts w:hint="eastAsia" w:ascii="宋体" w:hAnsi="宋体" w:eastAsia="宋体" w:cs="宋体"/>
                <w:b w:val="0"/>
                <w:bCs/>
                <w:color w:val="000000"/>
                <w:sz w:val="24"/>
                <w:szCs w:val="24"/>
                <w:lang w:val="en-US" w:eastAsia="zh-CN"/>
              </w:rPr>
              <w:t>微</w:t>
            </w:r>
            <w:r>
              <w:rPr>
                <w:rFonts w:hint="eastAsia" w:ascii="宋体" w:hAnsi="宋体" w:eastAsia="宋体" w:cs="宋体"/>
                <w:b w:val="0"/>
                <w:bCs/>
                <w:color w:val="000000"/>
                <w:sz w:val="24"/>
                <w:szCs w:val="24"/>
              </w:rPr>
              <w:t>动画技术参数</w:t>
            </w:r>
          </w:p>
          <w:p w14:paraId="0B60E64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（1）分辨率：1920×1080P及以上高清；</w:t>
            </w:r>
          </w:p>
          <w:p w14:paraId="5A5265B8">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（2）画面比例：16:9标准教学画幅；</w:t>
            </w:r>
          </w:p>
          <w:p w14:paraId="192E7A9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（3）帧率：≥30fps，画面流畅无拖影、无卡顿；</w:t>
            </w:r>
          </w:p>
          <w:p w14:paraId="2F07A8B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（4）编码格式：H.264通用编码，MP4格式；</w:t>
            </w:r>
          </w:p>
          <w:p w14:paraId="69B27720">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（5）音频：无损立体声、无噪音、无电流声、人声清晰，标准普通话播音，语速平稳；</w:t>
            </w:r>
          </w:p>
          <w:p w14:paraId="32D34E41">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（6）字幕：全程精准同步字幕，简体中文，字体规范，无错别字；</w:t>
            </w:r>
          </w:p>
          <w:p w14:paraId="434CD01B">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（7）水印：全程无任何水印、无logo、无广告；</w:t>
            </w:r>
          </w:p>
          <w:p w14:paraId="443A4E29">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lang w:eastAsia="zh-CN"/>
              </w:rPr>
              <w:t>（8）画面：构图整洁、课件素材</w:t>
            </w:r>
            <w:r>
              <w:rPr>
                <w:rFonts w:hint="eastAsia" w:ascii="宋体" w:hAnsi="宋体" w:eastAsia="宋体" w:cs="宋体"/>
                <w:bCs/>
                <w:color w:val="000000"/>
                <w:sz w:val="24"/>
                <w:lang w:val="en-US" w:eastAsia="zh-CN"/>
              </w:rPr>
              <w:t>清晰</w:t>
            </w:r>
            <w:r>
              <w:rPr>
                <w:rFonts w:hint="eastAsia" w:ascii="宋体" w:hAnsi="宋体" w:eastAsia="宋体" w:cs="宋体"/>
                <w:bCs/>
                <w:color w:val="000000"/>
                <w:sz w:val="24"/>
                <w:lang w:eastAsia="zh-CN"/>
              </w:rPr>
              <w:t>、动画演示清晰、实操细节突出。</w:t>
            </w:r>
          </w:p>
          <w:p w14:paraId="585FEC3D">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四</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微视频</w:t>
            </w:r>
          </w:p>
          <w:p w14:paraId="47F13CB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1.</w:t>
            </w:r>
            <w:r>
              <w:rPr>
                <w:rFonts w:hint="eastAsia" w:ascii="宋体" w:hAnsi="宋体" w:eastAsia="宋体" w:cs="宋体"/>
                <w:b w:val="0"/>
                <w:bCs/>
                <w:color w:val="000000"/>
                <w:sz w:val="24"/>
                <w:szCs w:val="24"/>
                <w:lang w:val="en-US" w:eastAsia="zh-CN"/>
              </w:rPr>
              <w:t>数量及时长要求</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不少于40个微视频，单个视频时长不少于1分钟，40个微视频总时长不少于100分钟</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微视频需为</w:t>
            </w:r>
            <w:r>
              <w:rPr>
                <w:rFonts w:hint="eastAsia" w:ascii="宋体" w:hAnsi="宋体" w:eastAsia="宋体" w:cs="宋体"/>
                <w:b w:val="0"/>
                <w:bCs/>
                <w:color w:val="000000"/>
                <w:sz w:val="24"/>
                <w:szCs w:val="24"/>
              </w:rPr>
              <w:t>实景实操教学视频，全部为岗位真实操作流程，替代传统口头讲解</w:t>
            </w:r>
            <w:r>
              <w:rPr>
                <w:rFonts w:hint="eastAsia" w:ascii="宋体" w:hAnsi="宋体" w:eastAsia="宋体" w:cs="宋体"/>
                <w:b w:val="0"/>
                <w:bCs/>
                <w:color w:val="000000"/>
                <w:sz w:val="24"/>
                <w:szCs w:val="24"/>
                <w:lang w:eastAsia="zh-CN"/>
              </w:rPr>
              <w:t>。</w:t>
            </w:r>
          </w:p>
          <w:p w14:paraId="72C5EA1A">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2.内容清单覆盖：零部件识别、整机装配、螺丝紧固标准、线材插接规范、飞控接线、参数初始化、校准调试、摇杆操作、起降操作、悬停调试、航线飞行、日常保养、清洁维护、电池充放电规范、常见故障排查、户外应用实操等。</w:t>
            </w:r>
            <w:r>
              <w:rPr>
                <w:rFonts w:hint="eastAsia" w:ascii="宋体" w:hAnsi="宋体" w:eastAsia="宋体" w:cs="宋体"/>
                <w:b w:val="0"/>
                <w:bCs/>
                <w:color w:val="000000"/>
                <w:sz w:val="24"/>
                <w:szCs w:val="24"/>
                <w:lang w:val="en-US" w:eastAsia="zh-CN"/>
              </w:rPr>
              <w:t>具体内容如下：</w:t>
            </w:r>
          </w:p>
          <w:p w14:paraId="639C01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w:t>
            </w:r>
            <w:r>
              <w:rPr>
                <w:rFonts w:hint="eastAsia" w:ascii="宋体" w:hAnsi="宋体" w:eastAsia="宋体" w:cs="宋体"/>
                <w:bCs/>
                <w:color w:val="000000"/>
                <w:sz w:val="24"/>
                <w:szCs w:val="24"/>
                <w:lang w:eastAsia="zh-CN"/>
              </w:rPr>
              <w:t>）多旋翼飞行器动力系统零部件实景识别；</w:t>
            </w:r>
          </w:p>
          <w:p w14:paraId="65050E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lang w:eastAsia="zh-CN"/>
              </w:rPr>
              <w:t>）飞控、电调、GPS、陀螺仪传感件区分辨识；</w:t>
            </w:r>
          </w:p>
          <w:p w14:paraId="414F0DD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）机架、机臂、桨夹、减震组件外观识别；</w:t>
            </w:r>
          </w:p>
          <w:p w14:paraId="006BA0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lang w:eastAsia="zh-CN"/>
              </w:rPr>
              <w:t>）锂电池、电源线、信号线分类辨别实操；</w:t>
            </w:r>
          </w:p>
          <w:p w14:paraId="4701641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lang w:eastAsia="zh-CN"/>
              </w:rPr>
              <w:t>）起落架、云台、机载外设配件识别教学；</w:t>
            </w:r>
          </w:p>
          <w:p w14:paraId="2E9C1F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6</w:t>
            </w:r>
            <w:r>
              <w:rPr>
                <w:rFonts w:hint="eastAsia" w:ascii="宋体" w:hAnsi="宋体" w:eastAsia="宋体" w:cs="宋体"/>
                <w:bCs/>
                <w:color w:val="000000"/>
                <w:sz w:val="24"/>
                <w:szCs w:val="24"/>
                <w:lang w:eastAsia="zh-CN"/>
              </w:rPr>
              <w:t>）标准紧固件、垫片、卡扣配件区分实操；</w:t>
            </w:r>
          </w:p>
          <w:p w14:paraId="6EF081B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7</w:t>
            </w:r>
            <w:r>
              <w:rPr>
                <w:rFonts w:hint="eastAsia" w:ascii="宋体" w:hAnsi="宋体" w:eastAsia="宋体" w:cs="宋体"/>
                <w:bCs/>
                <w:color w:val="000000"/>
                <w:sz w:val="24"/>
                <w:szCs w:val="24"/>
                <w:lang w:eastAsia="zh-CN"/>
              </w:rPr>
              <w:t>）飞行器机架主体拼接标准装配实操；</w:t>
            </w:r>
          </w:p>
          <w:p w14:paraId="1E7DD8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8</w:t>
            </w:r>
            <w:r>
              <w:rPr>
                <w:rFonts w:hint="eastAsia" w:ascii="宋体" w:hAnsi="宋体" w:eastAsia="宋体" w:cs="宋体"/>
                <w:bCs/>
                <w:color w:val="000000"/>
                <w:sz w:val="24"/>
                <w:szCs w:val="24"/>
                <w:lang w:eastAsia="zh-CN"/>
              </w:rPr>
              <w:t>）机臂安装与螺丝对角紧固规范操作；</w:t>
            </w:r>
          </w:p>
          <w:p w14:paraId="230D012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9</w:t>
            </w:r>
            <w:r>
              <w:rPr>
                <w:rFonts w:hint="eastAsia" w:ascii="宋体" w:hAnsi="宋体" w:eastAsia="宋体" w:cs="宋体"/>
                <w:bCs/>
                <w:color w:val="000000"/>
                <w:sz w:val="24"/>
                <w:szCs w:val="24"/>
                <w:lang w:eastAsia="zh-CN"/>
              </w:rPr>
              <w:t>）桨座、电机安装扭矩紧固实景教学；</w:t>
            </w:r>
          </w:p>
          <w:p w14:paraId="43E596B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10</w:t>
            </w:r>
            <w:r>
              <w:rPr>
                <w:rFonts w:hint="eastAsia" w:ascii="宋体" w:hAnsi="宋体" w:eastAsia="宋体" w:cs="宋体"/>
                <w:bCs/>
                <w:color w:val="000000"/>
                <w:sz w:val="24"/>
                <w:szCs w:val="24"/>
                <w:lang w:eastAsia="zh-CN"/>
              </w:rPr>
              <w:t>）减震垫、减震球标准化装配流程；</w:t>
            </w:r>
          </w:p>
          <w:p w14:paraId="4ECEE26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11</w:t>
            </w:r>
            <w:r>
              <w:rPr>
                <w:rFonts w:hint="eastAsia" w:ascii="宋体" w:hAnsi="宋体" w:eastAsia="宋体" w:cs="宋体"/>
                <w:bCs/>
                <w:color w:val="000000"/>
                <w:sz w:val="24"/>
                <w:szCs w:val="24"/>
                <w:lang w:eastAsia="zh-CN"/>
              </w:rPr>
              <w:t>）整机装配间隙检查与二次复紧实操；</w:t>
            </w:r>
          </w:p>
          <w:p w14:paraId="021176B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12)</w:t>
            </w:r>
            <w:r>
              <w:rPr>
                <w:rFonts w:hint="eastAsia" w:ascii="宋体" w:hAnsi="宋体" w:eastAsia="宋体" w:cs="宋体"/>
                <w:bCs/>
                <w:color w:val="000000"/>
                <w:sz w:val="24"/>
                <w:szCs w:val="24"/>
                <w:lang w:eastAsia="zh-CN"/>
              </w:rPr>
              <w:t>不同规格螺丝分类取用防错装配规范；</w:t>
            </w:r>
          </w:p>
          <w:p w14:paraId="7A9A93F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13)</w:t>
            </w:r>
            <w:r>
              <w:rPr>
                <w:rFonts w:hint="eastAsia" w:ascii="宋体" w:hAnsi="宋体" w:eastAsia="宋体" w:cs="宋体"/>
                <w:bCs/>
                <w:color w:val="000000"/>
                <w:sz w:val="24"/>
                <w:szCs w:val="24"/>
                <w:lang w:eastAsia="zh-CN"/>
              </w:rPr>
              <w:t>动力电源线正负极插接标准实操；</w:t>
            </w:r>
          </w:p>
          <w:p w14:paraId="203B531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14)</w:t>
            </w:r>
            <w:r>
              <w:rPr>
                <w:rFonts w:hint="eastAsia" w:ascii="宋体" w:hAnsi="宋体" w:eastAsia="宋体" w:cs="宋体"/>
                <w:bCs/>
                <w:color w:val="000000"/>
                <w:sz w:val="24"/>
                <w:szCs w:val="24"/>
                <w:lang w:eastAsia="zh-CN"/>
              </w:rPr>
              <w:t>飞控与电调信号线防反插连接流程；</w:t>
            </w:r>
          </w:p>
          <w:p w14:paraId="201852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15)</w:t>
            </w:r>
            <w:r>
              <w:rPr>
                <w:rFonts w:hint="eastAsia" w:ascii="宋体" w:hAnsi="宋体" w:eastAsia="宋体" w:cs="宋体"/>
                <w:bCs/>
                <w:color w:val="000000"/>
                <w:sz w:val="24"/>
                <w:szCs w:val="24"/>
                <w:lang w:eastAsia="zh-CN"/>
              </w:rPr>
              <w:t>GPS、罗盘传感器线材布线固定规范；</w:t>
            </w:r>
          </w:p>
          <w:p w14:paraId="2DC0AEF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16)</w:t>
            </w:r>
            <w:r>
              <w:rPr>
                <w:rFonts w:hint="eastAsia" w:ascii="宋体" w:hAnsi="宋体" w:eastAsia="宋体" w:cs="宋体"/>
                <w:bCs/>
                <w:color w:val="000000"/>
                <w:sz w:val="24"/>
                <w:szCs w:val="24"/>
                <w:lang w:eastAsia="zh-CN"/>
              </w:rPr>
              <w:t>机载外设控制线束整理捆扎实景教学；</w:t>
            </w:r>
          </w:p>
          <w:p w14:paraId="54B3FA3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17)</w:t>
            </w:r>
            <w:r>
              <w:rPr>
                <w:rFonts w:hint="eastAsia" w:ascii="宋体" w:hAnsi="宋体" w:eastAsia="宋体" w:cs="宋体"/>
                <w:bCs/>
                <w:color w:val="000000"/>
                <w:sz w:val="24"/>
                <w:szCs w:val="24"/>
                <w:lang w:eastAsia="zh-CN"/>
              </w:rPr>
              <w:t>整机线路防拉扯、防磨损防护操作；</w:t>
            </w:r>
          </w:p>
          <w:p w14:paraId="03BE7FA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18)</w:t>
            </w:r>
            <w:r>
              <w:rPr>
                <w:rFonts w:hint="eastAsia" w:ascii="宋体" w:hAnsi="宋体" w:eastAsia="宋体" w:cs="宋体"/>
                <w:bCs/>
                <w:color w:val="000000"/>
                <w:sz w:val="24"/>
                <w:szCs w:val="24"/>
                <w:lang w:eastAsia="zh-CN"/>
              </w:rPr>
              <w:t>飞控设备上电前安全检查标准流程；</w:t>
            </w:r>
          </w:p>
          <w:p w14:paraId="77A0F0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19)</w:t>
            </w:r>
            <w:r>
              <w:rPr>
                <w:rFonts w:hint="eastAsia" w:ascii="宋体" w:hAnsi="宋体" w:eastAsia="宋体" w:cs="宋体"/>
                <w:bCs/>
                <w:color w:val="000000"/>
                <w:sz w:val="24"/>
                <w:szCs w:val="24"/>
                <w:lang w:eastAsia="zh-CN"/>
              </w:rPr>
              <w:t>飞控地面站软件设备连接初始化实操；</w:t>
            </w:r>
          </w:p>
          <w:p w14:paraId="0D867D8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20</w:t>
            </w:r>
            <w:r>
              <w:rPr>
                <w:rFonts w:hint="eastAsia" w:ascii="宋体" w:hAnsi="宋体" w:eastAsia="宋体" w:cs="宋体"/>
                <w:bCs/>
                <w:color w:val="000000"/>
                <w:sz w:val="24"/>
                <w:szCs w:val="24"/>
                <w:lang w:eastAsia="zh-CN"/>
              </w:rPr>
              <w:t>）三轴陀螺仪水平校准完整操作步骤；</w:t>
            </w:r>
          </w:p>
          <w:p w14:paraId="430B20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21</w:t>
            </w:r>
            <w:r>
              <w:rPr>
                <w:rFonts w:hint="eastAsia" w:ascii="宋体" w:hAnsi="宋体" w:eastAsia="宋体" w:cs="宋体"/>
                <w:bCs/>
                <w:color w:val="000000"/>
                <w:sz w:val="24"/>
                <w:szCs w:val="24"/>
                <w:lang w:eastAsia="zh-CN"/>
              </w:rPr>
              <w:t>）地磁罗盘户外避干扰校准规范教学；</w:t>
            </w:r>
          </w:p>
          <w:p w14:paraId="41563A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480" w:leftChars="200" w:right="0" w:rightChars="0" w:firstLine="0" w:firstLineChars="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22</w:t>
            </w:r>
            <w:r>
              <w:rPr>
                <w:rFonts w:hint="eastAsia" w:ascii="宋体" w:hAnsi="宋体" w:eastAsia="宋体" w:cs="宋体"/>
                <w:bCs/>
                <w:color w:val="000000"/>
                <w:sz w:val="24"/>
                <w:szCs w:val="24"/>
                <w:lang w:eastAsia="zh-CN"/>
              </w:rPr>
              <w:t>）电调油门行程同步校准实景操作；（</w:t>
            </w:r>
            <w:r>
              <w:rPr>
                <w:rFonts w:hint="eastAsia" w:ascii="宋体" w:hAnsi="宋体" w:eastAsia="宋体" w:cs="宋体"/>
                <w:bCs/>
                <w:color w:val="000000"/>
                <w:sz w:val="24"/>
                <w:szCs w:val="24"/>
                <w:lang w:val="en-US" w:eastAsia="zh-CN"/>
              </w:rPr>
              <w:t>23</w:t>
            </w:r>
            <w:r>
              <w:rPr>
                <w:rFonts w:hint="eastAsia" w:ascii="宋体" w:hAnsi="宋体" w:eastAsia="宋体" w:cs="宋体"/>
                <w:bCs/>
                <w:color w:val="000000"/>
                <w:sz w:val="24"/>
                <w:szCs w:val="24"/>
                <w:lang w:eastAsia="zh-CN"/>
              </w:rPr>
              <w:t>）飞行器重心配平调试标准实操流程；</w:t>
            </w:r>
          </w:p>
          <w:p w14:paraId="4E1541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24</w:t>
            </w:r>
            <w:r>
              <w:rPr>
                <w:rFonts w:hint="eastAsia" w:ascii="宋体" w:hAnsi="宋体" w:eastAsia="宋体" w:cs="宋体"/>
                <w:bCs/>
                <w:color w:val="000000"/>
                <w:sz w:val="24"/>
                <w:szCs w:val="24"/>
                <w:lang w:eastAsia="zh-CN"/>
              </w:rPr>
              <w:t>）遥控器摇杆通道功能辨识实操教学；</w:t>
            </w:r>
          </w:p>
          <w:p w14:paraId="48B118A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25</w:t>
            </w:r>
            <w:r>
              <w:rPr>
                <w:rFonts w:hint="eastAsia" w:ascii="宋体" w:hAnsi="宋体" w:eastAsia="宋体" w:cs="宋体"/>
                <w:bCs/>
                <w:color w:val="000000"/>
                <w:sz w:val="24"/>
                <w:szCs w:val="24"/>
                <w:lang w:eastAsia="zh-CN"/>
              </w:rPr>
              <w:t>）内八、外八电机启停标准摇杆操作；</w:t>
            </w:r>
          </w:p>
          <w:p w14:paraId="2214D2F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26</w:t>
            </w:r>
            <w:r>
              <w:rPr>
                <w:rFonts w:hint="eastAsia" w:ascii="宋体" w:hAnsi="宋体" w:eastAsia="宋体" w:cs="宋体"/>
                <w:bCs/>
                <w:color w:val="000000"/>
                <w:sz w:val="24"/>
                <w:szCs w:val="24"/>
                <w:lang w:eastAsia="zh-CN"/>
              </w:rPr>
              <w:t>）低空定点稳定悬停精细化调试实操；</w:t>
            </w:r>
          </w:p>
          <w:p w14:paraId="6FADB63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27</w:t>
            </w:r>
            <w:r>
              <w:rPr>
                <w:rFonts w:hint="eastAsia" w:ascii="宋体" w:hAnsi="宋体" w:eastAsia="宋体" w:cs="宋体"/>
                <w:bCs/>
                <w:color w:val="000000"/>
                <w:sz w:val="24"/>
                <w:szCs w:val="24"/>
                <w:lang w:eastAsia="zh-CN"/>
              </w:rPr>
              <w:t>）摇杆俯仰、横滚姿态微调标准手法；</w:t>
            </w:r>
          </w:p>
          <w:p w14:paraId="0B75650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480" w:leftChars="200" w:right="0" w:rightChars="0" w:firstLine="0" w:firstLineChars="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28</w:t>
            </w:r>
            <w:r>
              <w:rPr>
                <w:rFonts w:hint="eastAsia" w:ascii="宋体" w:hAnsi="宋体" w:eastAsia="宋体" w:cs="宋体"/>
                <w:bCs/>
                <w:color w:val="000000"/>
                <w:sz w:val="24"/>
                <w:szCs w:val="24"/>
                <w:lang w:eastAsia="zh-CN"/>
              </w:rPr>
              <w:t>）原地偏航转向匀速操控实景演示；（</w:t>
            </w:r>
            <w:r>
              <w:rPr>
                <w:rFonts w:hint="eastAsia" w:ascii="宋体" w:hAnsi="宋体" w:eastAsia="宋体" w:cs="宋体"/>
                <w:bCs/>
                <w:color w:val="000000"/>
                <w:sz w:val="24"/>
                <w:szCs w:val="24"/>
                <w:lang w:val="en-US" w:eastAsia="zh-CN"/>
              </w:rPr>
              <w:t>29</w:t>
            </w:r>
            <w:r>
              <w:rPr>
                <w:rFonts w:hint="eastAsia" w:ascii="宋体" w:hAnsi="宋体" w:eastAsia="宋体" w:cs="宋体"/>
                <w:bCs/>
                <w:color w:val="000000"/>
                <w:sz w:val="24"/>
                <w:szCs w:val="24"/>
                <w:lang w:eastAsia="zh-CN"/>
              </w:rPr>
              <w:t>）低速直线往返航线基础飞行操作；</w:t>
            </w:r>
          </w:p>
          <w:p w14:paraId="50C5040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30</w:t>
            </w:r>
            <w:r>
              <w:rPr>
                <w:rFonts w:hint="eastAsia" w:ascii="宋体" w:hAnsi="宋体" w:eastAsia="宋体" w:cs="宋体"/>
                <w:bCs/>
                <w:color w:val="000000"/>
                <w:sz w:val="24"/>
                <w:szCs w:val="24"/>
                <w:lang w:eastAsia="zh-CN"/>
              </w:rPr>
              <w:t>）锂电池存放、充电环境安全检查实操；</w:t>
            </w:r>
          </w:p>
          <w:p w14:paraId="28C3FE7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31</w:t>
            </w:r>
            <w:r>
              <w:rPr>
                <w:rFonts w:hint="eastAsia" w:ascii="宋体" w:hAnsi="宋体" w:eastAsia="宋体" w:cs="宋体"/>
                <w:bCs/>
                <w:color w:val="000000"/>
                <w:sz w:val="24"/>
                <w:szCs w:val="24"/>
                <w:lang w:eastAsia="zh-CN"/>
              </w:rPr>
              <w:t>）锂电池平衡充标准接线充放电流程；</w:t>
            </w:r>
          </w:p>
          <w:p w14:paraId="2B9136C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32</w:t>
            </w:r>
            <w:r>
              <w:rPr>
                <w:rFonts w:hint="eastAsia" w:ascii="宋体" w:hAnsi="宋体" w:eastAsia="宋体" w:cs="宋体"/>
                <w:bCs/>
                <w:color w:val="000000"/>
                <w:sz w:val="24"/>
                <w:szCs w:val="24"/>
                <w:lang w:eastAsia="zh-CN"/>
              </w:rPr>
              <w:t>）飞行器整机清洁除尘无损保养操作；</w:t>
            </w:r>
          </w:p>
          <w:p w14:paraId="7F62DF1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33</w:t>
            </w:r>
            <w:r>
              <w:rPr>
                <w:rFonts w:hint="eastAsia" w:ascii="宋体" w:hAnsi="宋体" w:eastAsia="宋体" w:cs="宋体"/>
                <w:bCs/>
                <w:color w:val="000000"/>
                <w:sz w:val="24"/>
                <w:szCs w:val="24"/>
                <w:lang w:eastAsia="zh-CN"/>
              </w:rPr>
              <w:t>）电机、桨叶油污污渍清理维护教学；</w:t>
            </w:r>
          </w:p>
          <w:p w14:paraId="3169FF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34</w:t>
            </w:r>
            <w:r>
              <w:rPr>
                <w:rFonts w:hint="eastAsia" w:ascii="宋体" w:hAnsi="宋体" w:eastAsia="宋体" w:cs="宋体"/>
                <w:bCs/>
                <w:color w:val="000000"/>
                <w:sz w:val="24"/>
                <w:szCs w:val="24"/>
                <w:lang w:eastAsia="zh-CN"/>
              </w:rPr>
              <w:t>）整机线束、接头定期检查保养规范；</w:t>
            </w:r>
          </w:p>
          <w:p w14:paraId="4F219B9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35</w:t>
            </w:r>
            <w:r>
              <w:rPr>
                <w:rFonts w:hint="eastAsia" w:ascii="宋体" w:hAnsi="宋体" w:eastAsia="宋体" w:cs="宋体"/>
                <w:bCs/>
                <w:color w:val="000000"/>
                <w:sz w:val="24"/>
                <w:szCs w:val="24"/>
                <w:lang w:eastAsia="zh-CN"/>
              </w:rPr>
              <w:t>）户外起降场地安全勘察与起飞准备；</w:t>
            </w:r>
          </w:p>
          <w:p w14:paraId="42B43A0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36</w:t>
            </w:r>
            <w:r>
              <w:rPr>
                <w:rFonts w:hint="eastAsia" w:ascii="宋体" w:hAnsi="宋体" w:eastAsia="宋体" w:cs="宋体"/>
                <w:bCs/>
                <w:color w:val="000000"/>
                <w:sz w:val="24"/>
                <w:szCs w:val="24"/>
                <w:lang w:eastAsia="zh-CN"/>
              </w:rPr>
              <w:t>）户外定高定距自主航线飞行实操；</w:t>
            </w:r>
          </w:p>
          <w:p w14:paraId="3F6A29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37</w:t>
            </w:r>
            <w:r>
              <w:rPr>
                <w:rFonts w:hint="eastAsia" w:ascii="宋体" w:hAnsi="宋体" w:eastAsia="宋体" w:cs="宋体"/>
                <w:bCs/>
                <w:color w:val="000000"/>
                <w:sz w:val="24"/>
                <w:szCs w:val="24"/>
                <w:lang w:eastAsia="zh-CN"/>
              </w:rPr>
              <w:t>）桨叶破损、动平衡异常故障排查；</w:t>
            </w:r>
          </w:p>
          <w:p w14:paraId="4A0EBC2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38</w:t>
            </w:r>
            <w:r>
              <w:rPr>
                <w:rFonts w:hint="eastAsia" w:ascii="宋体" w:hAnsi="宋体" w:eastAsia="宋体" w:cs="宋体"/>
                <w:bCs/>
                <w:color w:val="000000"/>
                <w:sz w:val="24"/>
                <w:szCs w:val="24"/>
                <w:lang w:eastAsia="zh-CN"/>
              </w:rPr>
              <w:t>）电机异响、动力输出不均检修流程；</w:t>
            </w:r>
          </w:p>
          <w:p w14:paraId="0EAB939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39</w:t>
            </w:r>
            <w:r>
              <w:rPr>
                <w:rFonts w:hint="eastAsia" w:ascii="宋体" w:hAnsi="宋体" w:eastAsia="宋体" w:cs="宋体"/>
                <w:bCs/>
                <w:color w:val="000000"/>
                <w:sz w:val="24"/>
                <w:szCs w:val="24"/>
                <w:lang w:eastAsia="zh-CN"/>
              </w:rPr>
              <w:t>）飞控信号丢失、罗盘干扰故障处理；</w:t>
            </w:r>
          </w:p>
          <w:p w14:paraId="4F2A4A2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40</w:t>
            </w:r>
            <w:r>
              <w:rPr>
                <w:rFonts w:hint="eastAsia" w:ascii="宋体" w:hAnsi="宋体" w:eastAsia="宋体" w:cs="宋体"/>
                <w:bCs/>
                <w:color w:val="000000"/>
                <w:sz w:val="24"/>
                <w:szCs w:val="24"/>
                <w:lang w:eastAsia="zh-CN"/>
              </w:rPr>
              <w:t>）整机震动超标综合故障诊断实操；</w:t>
            </w:r>
          </w:p>
          <w:p w14:paraId="632115D6">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3.视频质量：实景高清拍摄、细节特写、步骤镜头完整、讲解口令清晰、操作手势标准，符合企业SOP操作规范。</w:t>
            </w:r>
          </w:p>
          <w:p w14:paraId="05FDE86E">
            <w:pPr>
              <w:spacing w:after="0" w:line="240" w:lineRule="auto"/>
              <w:ind w:firstLine="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4.</w:t>
            </w:r>
            <w:r>
              <w:rPr>
                <w:rFonts w:hint="eastAsia" w:ascii="宋体" w:hAnsi="宋体" w:eastAsia="宋体" w:cs="宋体"/>
                <w:b w:val="0"/>
                <w:bCs/>
                <w:color w:val="000000"/>
                <w:sz w:val="24"/>
                <w:szCs w:val="24"/>
                <w:lang w:val="en-US" w:eastAsia="zh-CN"/>
              </w:rPr>
              <w:t>微视频技术参数:</w:t>
            </w:r>
          </w:p>
          <w:p w14:paraId="1CF6EAD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（1）分辨率：1920×1080P 及以上高清；</w:t>
            </w:r>
          </w:p>
          <w:p w14:paraId="28C6A86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（2）画面比例：16:9 标准教学画幅；</w:t>
            </w:r>
          </w:p>
          <w:p w14:paraId="34C6DED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（3）帧率：≥30fps，画面流畅无拖影、无卡顿；</w:t>
            </w:r>
          </w:p>
          <w:p w14:paraId="342CDF3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（4）编码格式：H.264 通用编码，MP4 格式；</w:t>
            </w:r>
          </w:p>
          <w:p w14:paraId="3A5A825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（5）音频：无损立体声、无噪音、无电流声、人声清晰，标准普通话播音，语速平稳；</w:t>
            </w:r>
          </w:p>
          <w:p w14:paraId="39CC5F8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（6）字幕：全程精准同步字幕，简体中文，字体规范，无错别字；</w:t>
            </w:r>
          </w:p>
          <w:p w14:paraId="59902C0F">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（7）水印：全程无任何水印、无 logo、无广告；</w:t>
            </w:r>
          </w:p>
          <w:p w14:paraId="656D3944">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lang w:eastAsia="zh-CN"/>
              </w:rPr>
              <w:t>（8）画面：构图整洁、课件素材</w:t>
            </w:r>
            <w:r>
              <w:rPr>
                <w:rFonts w:hint="eastAsia" w:ascii="宋体" w:hAnsi="宋体" w:eastAsia="宋体" w:cs="宋体"/>
                <w:bCs/>
                <w:color w:val="000000"/>
                <w:sz w:val="24"/>
                <w:lang w:val="en-US" w:eastAsia="zh-CN"/>
              </w:rPr>
              <w:t>清晰</w:t>
            </w:r>
            <w:r>
              <w:rPr>
                <w:rFonts w:hint="eastAsia" w:ascii="宋体" w:hAnsi="宋体" w:eastAsia="宋体" w:cs="宋体"/>
                <w:bCs/>
                <w:color w:val="000000"/>
                <w:sz w:val="24"/>
                <w:lang w:eastAsia="zh-CN"/>
              </w:rPr>
              <w:t>、动画演示清晰、实操细节突出。</w:t>
            </w:r>
          </w:p>
          <w:p w14:paraId="289210F0">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五</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虚拟仿真实验视频</w:t>
            </w:r>
          </w:p>
          <w:p w14:paraId="5B400D9F">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val="en-US"/>
              </w:rPr>
            </w:pPr>
            <w:r>
              <w:rPr>
                <w:rFonts w:hint="eastAsia" w:ascii="宋体" w:hAnsi="宋体" w:eastAsia="宋体" w:cs="宋体"/>
                <w:b w:val="0"/>
                <w:bCs/>
                <w:color w:val="000000"/>
                <w:sz w:val="24"/>
                <w:szCs w:val="24"/>
              </w:rPr>
              <w:t>1.</w:t>
            </w:r>
            <w:r>
              <w:rPr>
                <w:rFonts w:hint="eastAsia" w:ascii="宋体" w:hAnsi="宋体" w:eastAsia="宋体" w:cs="宋体"/>
                <w:b w:val="0"/>
                <w:bCs/>
                <w:color w:val="000000"/>
                <w:sz w:val="24"/>
                <w:szCs w:val="24"/>
                <w:lang w:val="en-US" w:eastAsia="zh-CN"/>
              </w:rPr>
              <w:t>数量要求</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32个</w:t>
            </w:r>
            <w:r>
              <w:rPr>
                <w:rFonts w:hint="eastAsia" w:ascii="宋体" w:hAnsi="宋体" w:eastAsia="宋体" w:cs="宋体"/>
                <w:b w:val="0"/>
                <w:bCs/>
                <w:color w:val="000000"/>
                <w:sz w:val="24"/>
                <w:szCs w:val="24"/>
                <w:lang w:val="en-US" w:eastAsia="zh-CN"/>
              </w:rPr>
              <w:t>虚拟仿真实验</w:t>
            </w:r>
            <w:r>
              <w:rPr>
                <w:rFonts w:hint="eastAsia" w:ascii="宋体" w:hAnsi="宋体" w:eastAsia="宋体" w:cs="宋体"/>
                <w:b w:val="0"/>
                <w:bCs/>
                <w:color w:val="000000"/>
                <w:sz w:val="24"/>
                <w:szCs w:val="24"/>
              </w:rPr>
              <w:t>视频</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单个视频时长不少于1分钟，32个</w:t>
            </w:r>
            <w:r>
              <w:rPr>
                <w:rFonts w:hint="eastAsia" w:ascii="宋体" w:hAnsi="宋体" w:eastAsia="宋体" w:cs="宋体"/>
                <w:b w:val="0"/>
                <w:bCs/>
                <w:color w:val="000000"/>
                <w:sz w:val="24"/>
                <w:szCs w:val="24"/>
              </w:rPr>
              <w:t>虚拟仿真实验</w:t>
            </w:r>
            <w:r>
              <w:rPr>
                <w:rFonts w:hint="eastAsia" w:ascii="宋体" w:hAnsi="宋体" w:eastAsia="宋体" w:cs="宋体"/>
                <w:b w:val="0"/>
                <w:bCs/>
                <w:color w:val="000000"/>
                <w:sz w:val="24"/>
                <w:szCs w:val="24"/>
                <w:lang w:val="en-US" w:eastAsia="zh-CN"/>
              </w:rPr>
              <w:t>视频总时长不少于96分钟。</w:t>
            </w:r>
          </w:p>
          <w:p w14:paraId="384B04F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内容</w:t>
            </w:r>
            <w:r>
              <w:rPr>
                <w:rFonts w:hint="eastAsia" w:ascii="宋体" w:hAnsi="宋体" w:eastAsia="宋体" w:cs="宋体"/>
                <w:b w:val="0"/>
                <w:bCs/>
                <w:color w:val="000000"/>
                <w:sz w:val="24"/>
                <w:szCs w:val="24"/>
                <w:lang w:val="en-US" w:eastAsia="zh-CN"/>
              </w:rPr>
              <w:t>包括</w:t>
            </w:r>
            <w:r>
              <w:rPr>
                <w:rFonts w:hint="eastAsia" w:ascii="宋体" w:hAnsi="宋体" w:eastAsia="宋体" w:cs="宋体"/>
                <w:b w:val="0"/>
                <w:bCs/>
                <w:color w:val="000000"/>
                <w:sz w:val="24"/>
                <w:szCs w:val="24"/>
              </w:rPr>
              <w:t>：</w:t>
            </w:r>
          </w:p>
          <w:p w14:paraId="2A383C4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1）低空多类飞行器实景作业场景模拟仿真演示；</w:t>
            </w:r>
          </w:p>
          <w:p w14:paraId="72FAD24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低空空域飞行合规流程与风险规避仿真演练；</w:t>
            </w:r>
          </w:p>
          <w:p w14:paraId="53D6697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温湿度气压风场变化下飞行状态仿真测试；</w:t>
            </w:r>
          </w:p>
          <w:p w14:paraId="6F4FB3C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机翼表面气流分离、附面层流动可视化仿真；</w:t>
            </w:r>
          </w:p>
          <w:p w14:paraId="1AC95F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飞行四力动态平衡与变速飞行耦合仿真分析；</w:t>
            </w:r>
          </w:p>
          <w:p w14:paraId="10303E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6</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不同标准翼型风洞气动数据对比仿真实验；</w:t>
            </w:r>
          </w:p>
          <w:p w14:paraId="4EF9E50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7</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展弦比 / 后掠角等机翼参数升阻特性仿真调校；</w:t>
            </w:r>
          </w:p>
          <w:p w14:paraId="219CD71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8</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螺旋桨叶面气流分布与拉力生成仿真观测；</w:t>
            </w:r>
          </w:p>
          <w:p w14:paraId="7FEDD5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9</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正反桨气流转向区分与装机匹配仿真实操；</w:t>
            </w:r>
          </w:p>
          <w:p w14:paraId="2F022CF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10</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飞行器三轴姿态独立联动变化动态仿真模拟；</w:t>
            </w:r>
          </w:p>
          <w:p w14:paraId="2804AE8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11</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升降舵偏转量对应机身俯仰变化仿真验证；</w:t>
            </w:r>
          </w:p>
          <w:p w14:paraId="4CE1381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12</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双侧副翼差动偏转控制滚转全过程仿真演示；</w:t>
            </w:r>
          </w:p>
          <w:p w14:paraId="5A962C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13</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方向舵偏转诱发航向偏航响应仿真观测；</w:t>
            </w:r>
          </w:p>
          <w:p w14:paraId="0A8C35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14</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飞行器受扰后自动回正静稳定特性仿真实验；</w:t>
            </w:r>
          </w:p>
          <w:p w14:paraId="71507BA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15</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安定度调节下飞行器操纵手感匹配仿真调试；</w:t>
            </w:r>
          </w:p>
          <w:p w14:paraId="70BCCE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16</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筒式 / 桁架式机身载荷受力分布仿真对比；</w:t>
            </w:r>
          </w:p>
          <w:p w14:paraId="341DCA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17</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各类轻量化复合材料力学性能仿真测试；</w:t>
            </w:r>
          </w:p>
          <w:p w14:paraId="1A6B4F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18</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机翼内部承力骨架三维拆解与受力仿真展示；</w:t>
            </w:r>
          </w:p>
          <w:p w14:paraId="413614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19）机翼接头、加强件受力载荷仿真分析实训；</w:t>
            </w:r>
          </w:p>
          <w:p w14:paraId="2A1F15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（20）平尾配平偏转与纵向稳定效果仿真实验；</w:t>
            </w:r>
          </w:p>
          <w:p w14:paraId="70D5B6D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（21）垂尾抗侧风干扰航向稳定性能仿真测试；</w:t>
            </w:r>
          </w:p>
          <w:p w14:paraId="1FDF9C5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（22）收放式、固定起落架起降受力仿真对比实验；</w:t>
            </w:r>
          </w:p>
          <w:p w14:paraId="149CC4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（23）起落架减震支柱压缩缓冲全过程仿真演示；</w:t>
            </w:r>
          </w:p>
          <w:p w14:paraId="7FB4032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（24）无刷电机磁场变换与动力输出仿真拆解；</w:t>
            </w:r>
          </w:p>
          <w:p w14:paraId="3C77B31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（25）活塞发动机进气燃烧做功三维动态仿真演示；</w:t>
            </w:r>
          </w:p>
          <w:p w14:paraId="1CDA553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（26）动力系统散热、油路气路工作循环仿真实训；</w:t>
            </w:r>
          </w:p>
          <w:p w14:paraId="70F6297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（27）减速器齿轮啮合动力传递损耗仿真观测；</w:t>
            </w:r>
          </w:p>
          <w:p w14:paraId="475575B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（28）舵机内部齿轮组与 PWM 信号控制仿真实验；</w:t>
            </w:r>
          </w:p>
          <w:p w14:paraId="597F80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（29）连杆摇臂传动间隙对操纵精度影响仿真实操；</w:t>
            </w:r>
          </w:p>
          <w:p w14:paraId="20BE94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（30）机载配电线路通断、负载工况仿真排查实训；</w:t>
            </w:r>
          </w:p>
          <w:p w14:paraId="6472BDC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（31）整机零部件分步拆解复原标准化仿真实操；</w:t>
            </w:r>
          </w:p>
          <w:p w14:paraId="3DEA520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val="en-US" w:eastAsia="zh-CN"/>
              </w:rPr>
              <w:t>（32）飞行器结构裂纹、松动类故障仿真检测实训。</w:t>
            </w:r>
          </w:p>
          <w:p w14:paraId="3BDB0700">
            <w:pPr>
              <w:spacing w:after="0" w:line="240" w:lineRule="auto"/>
              <w:ind w:firstLine="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虚拟仿真实验视频技术</w:t>
            </w:r>
            <w:r>
              <w:rPr>
                <w:rFonts w:hint="eastAsia" w:ascii="宋体" w:hAnsi="宋体" w:eastAsia="宋体" w:cs="宋体"/>
                <w:b w:val="0"/>
                <w:bCs/>
                <w:color w:val="000000"/>
                <w:sz w:val="24"/>
                <w:szCs w:val="24"/>
                <w:lang w:val="en-US" w:eastAsia="zh-CN"/>
              </w:rPr>
              <w:t>参数</w:t>
            </w:r>
            <w:r>
              <w:rPr>
                <w:rFonts w:hint="eastAsia" w:ascii="宋体" w:hAnsi="宋体" w:eastAsia="宋体" w:cs="宋体"/>
                <w:b w:val="0"/>
                <w:bCs/>
                <w:color w:val="000000"/>
                <w:sz w:val="24"/>
                <w:szCs w:val="24"/>
              </w:rPr>
              <w:t>：</w:t>
            </w:r>
          </w:p>
          <w:p w14:paraId="734BD2FC">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（1）分辨率：1920×1080P 及以上高清；</w:t>
            </w:r>
          </w:p>
          <w:p w14:paraId="23DD3CC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（2）画面比例：16:9 标准教学画幅；</w:t>
            </w:r>
          </w:p>
          <w:p w14:paraId="05C8351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（3）帧率：≥30fps，画面流畅无拖影、无卡顿；</w:t>
            </w:r>
          </w:p>
          <w:p w14:paraId="709A75CD">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（4）编码格式：H.264 通用编码，MP4 格式；</w:t>
            </w:r>
          </w:p>
          <w:p w14:paraId="44866806">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（5）音频：无损立体声、无噪音、无电流声、人声清晰，标准普通话播音，语速平稳；</w:t>
            </w:r>
          </w:p>
          <w:p w14:paraId="7CF3F699">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（6）字幕：全程精准同步字幕，简体中文，字体规范，无错别字；</w:t>
            </w:r>
          </w:p>
          <w:p w14:paraId="0D6C5003">
            <w:pPr>
              <w:spacing w:after="0" w:line="240" w:lineRule="auto"/>
              <w:ind w:firstLine="0"/>
              <w:rPr>
                <w:rFonts w:hint="eastAsia" w:ascii="宋体" w:hAnsi="宋体" w:eastAsia="宋体" w:cs="宋体"/>
                <w:bCs/>
                <w:color w:val="000000"/>
                <w:sz w:val="24"/>
                <w:lang w:eastAsia="zh-CN"/>
              </w:rPr>
            </w:pPr>
            <w:r>
              <w:rPr>
                <w:rFonts w:hint="eastAsia" w:ascii="宋体" w:hAnsi="宋体" w:eastAsia="宋体" w:cs="宋体"/>
                <w:bCs/>
                <w:color w:val="000000"/>
                <w:sz w:val="24"/>
                <w:lang w:eastAsia="zh-CN"/>
              </w:rPr>
              <w:t>（7）水印：全程无任何水印、无 logo、无广告；</w:t>
            </w:r>
          </w:p>
          <w:p w14:paraId="21276D98">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Cs/>
                <w:color w:val="000000"/>
                <w:sz w:val="24"/>
                <w:lang w:eastAsia="zh-CN"/>
              </w:rPr>
              <w:t>（8）画面：构图整洁、课件素材</w:t>
            </w:r>
            <w:r>
              <w:rPr>
                <w:rFonts w:hint="eastAsia" w:ascii="宋体" w:hAnsi="宋体" w:eastAsia="宋体" w:cs="宋体"/>
                <w:bCs/>
                <w:color w:val="000000"/>
                <w:sz w:val="24"/>
                <w:lang w:val="en-US" w:eastAsia="zh-CN"/>
              </w:rPr>
              <w:t>清晰</w:t>
            </w:r>
            <w:r>
              <w:rPr>
                <w:rFonts w:hint="eastAsia" w:ascii="宋体" w:hAnsi="宋体" w:eastAsia="宋体" w:cs="宋体"/>
                <w:bCs/>
                <w:color w:val="000000"/>
                <w:sz w:val="24"/>
                <w:lang w:eastAsia="zh-CN"/>
              </w:rPr>
              <w:t>、动画演示清晰、实操细节突出。</w:t>
            </w:r>
          </w:p>
          <w:p w14:paraId="2DA1A075">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六</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任务卡</w:t>
            </w:r>
          </w:p>
          <w:p w14:paraId="50337B6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1.数量匹配：</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32张任务卡</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任务卡与（五）中要求的虚拟仿真实验视频</w:t>
            </w:r>
            <w:r>
              <w:rPr>
                <w:rFonts w:hint="eastAsia" w:ascii="宋体" w:hAnsi="宋体" w:eastAsia="宋体" w:cs="宋体"/>
                <w:b w:val="0"/>
                <w:bCs/>
                <w:color w:val="000000"/>
                <w:sz w:val="24"/>
                <w:szCs w:val="24"/>
              </w:rPr>
              <w:t>一一对应。</w:t>
            </w:r>
          </w:p>
          <w:p w14:paraId="5808964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2.固定标准化模块</w:t>
            </w:r>
            <w:r>
              <w:rPr>
                <w:rFonts w:hint="eastAsia" w:ascii="宋体" w:hAnsi="宋体" w:eastAsia="宋体" w:cs="宋体"/>
                <w:b w:val="0"/>
                <w:bCs/>
                <w:color w:val="000000"/>
                <w:sz w:val="24"/>
                <w:szCs w:val="24"/>
                <w:lang w:val="en-US" w:eastAsia="zh-CN"/>
              </w:rPr>
              <w:t>要求：</w:t>
            </w:r>
          </w:p>
          <w:p w14:paraId="5B543FBF">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需包含：</w:t>
            </w:r>
            <w:r>
              <w:rPr>
                <w:rFonts w:hint="eastAsia" w:ascii="宋体" w:hAnsi="宋体" w:eastAsia="宋体" w:cs="宋体"/>
                <w:b w:val="0"/>
                <w:bCs/>
                <w:color w:val="000000"/>
                <w:sz w:val="24"/>
                <w:szCs w:val="24"/>
              </w:rPr>
              <w:t>任务名称、实训学时、实训对象、能力目标、知识目标、素养目标、实训设备与工具、实训前置准备、详细操作步骤、实训重难点、安全操作规程、常见问题、拓展思考、实训成果提交要求。</w:t>
            </w:r>
          </w:p>
          <w:p w14:paraId="3D6019F2">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3.格式交付：可编辑Word原版 + 高清PDF版，版式统一、可直接打印成册、可直接线上发布。</w:t>
            </w:r>
          </w:p>
          <w:p w14:paraId="2D2DA9BB">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七</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教学文档</w:t>
            </w:r>
          </w:p>
          <w:p w14:paraId="655B51C0">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 文档总量：</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64份，不合并、不拆分、不重复。</w:t>
            </w:r>
          </w:p>
          <w:p w14:paraId="38073E9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 文档分类构成</w:t>
            </w:r>
          </w:p>
          <w:p w14:paraId="0BF6E256">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（1）课程教案、教学设计；（2）PPT教学课件；（3）实训指导书；（4）知识点讲义；（5）行业标准与规范文档；（6）典型故障案例库；（7）项目化教学方案；（8）技能竞赛指导文档。</w:t>
            </w:r>
          </w:p>
          <w:p w14:paraId="00BE5D9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3.质量要求：内容准确、无知识性错误、贴合最新低空行业技术、图文并茂、排版规范、适配高职教学，可直接用于备课与课程建设归档。</w:t>
            </w:r>
          </w:p>
          <w:p w14:paraId="050A7FF8">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w:t>
            </w:r>
            <w:r>
              <w:rPr>
                <w:rFonts w:hint="eastAsia" w:ascii="宋体" w:hAnsi="宋体" w:eastAsia="宋体" w:cs="宋体"/>
                <w:b w:val="0"/>
                <w:bCs/>
                <w:color w:val="000000"/>
                <w:sz w:val="24"/>
                <w:szCs w:val="24"/>
                <w:lang w:val="en-US" w:eastAsia="zh-CN"/>
              </w:rPr>
              <w:t>交付</w:t>
            </w:r>
            <w:r>
              <w:rPr>
                <w:rFonts w:hint="eastAsia" w:ascii="宋体" w:hAnsi="宋体" w:eastAsia="宋体" w:cs="宋体"/>
                <w:b w:val="0"/>
                <w:bCs/>
                <w:color w:val="000000"/>
                <w:sz w:val="24"/>
                <w:szCs w:val="24"/>
              </w:rPr>
              <w:t>格式：Word、PPT、PDF可编辑通用格式。</w:t>
            </w:r>
          </w:p>
          <w:p w14:paraId="5093DE07">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八</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3D模型</w:t>
            </w:r>
          </w:p>
          <w:p w14:paraId="7762A0A1">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1.数量：</w:t>
            </w:r>
            <w:r>
              <w:rPr>
                <w:rFonts w:hint="eastAsia" w:ascii="宋体" w:hAnsi="宋体" w:eastAsia="宋体" w:cs="宋体"/>
                <w:b w:val="0"/>
                <w:bCs/>
                <w:color w:val="000000"/>
                <w:sz w:val="24"/>
                <w:szCs w:val="24"/>
                <w:lang w:val="en-US" w:eastAsia="zh-CN"/>
              </w:rPr>
              <w:t>不少于18</w:t>
            </w:r>
            <w:r>
              <w:rPr>
                <w:rFonts w:hint="eastAsia" w:ascii="宋体" w:hAnsi="宋体" w:eastAsia="宋体" w:cs="宋体"/>
                <w:b w:val="0"/>
                <w:bCs/>
                <w:color w:val="000000"/>
                <w:sz w:val="24"/>
                <w:szCs w:val="24"/>
              </w:rPr>
              <w:t>个低空飞行器整机及零部件3D模型。</w:t>
            </w:r>
          </w:p>
          <w:p w14:paraId="567614BD">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2.包含类型：整机模型、机身框架、机翼结构、动力电机、螺旋桨、飞控主板、电池模块等核心结构。</w:t>
            </w:r>
            <w:r>
              <w:rPr>
                <w:rFonts w:hint="eastAsia" w:ascii="宋体" w:hAnsi="宋体" w:eastAsia="宋体" w:cs="宋体"/>
                <w:b w:val="0"/>
                <w:bCs/>
                <w:color w:val="000000"/>
                <w:sz w:val="24"/>
                <w:szCs w:val="24"/>
                <w:lang w:val="en-US" w:eastAsia="zh-CN"/>
              </w:rPr>
              <w:t>具体内容如下：</w:t>
            </w:r>
          </w:p>
          <w:p w14:paraId="789CCD8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1）四旋翼低空航拍无人机整机 3D 模型；</w:t>
            </w:r>
          </w:p>
          <w:p w14:paraId="2E2A3DB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2）固定翼低空侦察飞行器整机 3D 模型；</w:t>
            </w:r>
          </w:p>
          <w:p w14:paraId="74F336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firstLine="480" w:firstLineChars="20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3）六旋翼重载作业飞行器整机 3D 模型；</w:t>
            </w:r>
          </w:p>
          <w:p w14:paraId="7A8AC42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4）碳纤维分体式多旋翼机架 3D 模型；</w:t>
            </w:r>
          </w:p>
          <w:p w14:paraId="4CB53C0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5）固定翼机身分段框架内部结构模型；</w:t>
            </w:r>
          </w:p>
          <w:p w14:paraId="1AF1C84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6）飞行器减震机臂一体化结构模型；</w:t>
            </w:r>
          </w:p>
          <w:p w14:paraId="3199CF5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7）固定翼标准机翼剖面分层3D模型；</w:t>
            </w:r>
          </w:p>
          <w:p w14:paraId="69EE98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8）正反桨螺旋桨完整结构拆分模型；</w:t>
            </w:r>
          </w:p>
          <w:p w14:paraId="7FCCE8B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9）翼尖涡流导流辅助翼结构模型；</w:t>
            </w:r>
          </w:p>
          <w:p w14:paraId="1A4B76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10）无刷直流电机内部剖视3D模型；</w:t>
            </w:r>
          </w:p>
          <w:p w14:paraId="4D96F16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11）电调电子调速器内部电路板模型；</w:t>
            </w:r>
          </w:p>
          <w:p w14:paraId="39FFF3D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12）桨夹、锁紧垫片全套紧固组件模型；</w:t>
            </w:r>
          </w:p>
          <w:p w14:paraId="35F5CB6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13）集成式飞行控制主板剖视 3D 模型；</w:t>
            </w:r>
          </w:p>
          <w:p w14:paraId="5B24A5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14）GPS 地磁罗盘一体化传感模块模型；</w:t>
            </w:r>
          </w:p>
          <w:p w14:paraId="491B19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15）三轴陀螺仪内部精密结构拆分模型；</w:t>
            </w:r>
          </w:p>
          <w:p w14:paraId="2EA22F5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16）无人机锂电池电芯封装剖视模型；</w:t>
            </w:r>
          </w:p>
          <w:p w14:paraId="101E5E3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17）机载电源分配模块 PDU 结构模型；</w:t>
            </w:r>
          </w:p>
          <w:p w14:paraId="513863D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Chars="200" w:right="0" w:rightChars="0"/>
              <w:jc w:val="left"/>
              <w:rPr>
                <w:rFonts w:hint="eastAsia" w:ascii="宋体" w:hAnsi="宋体" w:eastAsia="宋体" w:cs="宋体"/>
                <w:bCs/>
                <w:color w:val="000000"/>
                <w:sz w:val="24"/>
                <w:szCs w:val="24"/>
                <w:lang w:val="en-US" w:eastAsia="zh-CN"/>
              </w:rPr>
            </w:pP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18）机载云台减震挂载组件 3D 模型。</w:t>
            </w:r>
          </w:p>
          <w:p w14:paraId="1C68900C">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3.模型技术参数</w:t>
            </w:r>
          </w:p>
          <w:p w14:paraId="1EA7ABA1">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（1）几何比例误差≤±</w:t>
            </w:r>
            <w:r>
              <w:rPr>
                <w:rFonts w:hint="eastAsia" w:ascii="宋体" w:hAnsi="宋体" w:eastAsia="宋体" w:cs="宋体"/>
                <w:bCs/>
                <w:color w:val="000000"/>
                <w:sz w:val="24"/>
                <w:szCs w:val="24"/>
                <w:lang w:eastAsia="zh-CN"/>
              </w:rPr>
              <w:t>5</w:t>
            </w:r>
            <w:r>
              <w:rPr>
                <w:rFonts w:hint="eastAsia" w:ascii="宋体" w:hAnsi="宋体" w:eastAsia="宋体" w:cs="宋体"/>
                <w:bCs/>
                <w:color w:val="000000"/>
                <w:sz w:val="24"/>
                <w:szCs w:val="24"/>
              </w:rPr>
              <w:t>%，关键零部件细节完整复刻，无简化缺失；</w:t>
            </w:r>
          </w:p>
          <w:p w14:paraId="77041AEC">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 xml:space="preserve">（2）支持360°水平旋转查看，整机具备三级分层拆解、单部件分离展示功能； </w:t>
            </w:r>
          </w:p>
          <w:p w14:paraId="38614C1C">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（3）所有拆分部件独立标注规范名称</w:t>
            </w:r>
          </w:p>
          <w:p w14:paraId="7DDC9C00">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（4）交付GLB/FBX/OBJ通用格式，单模型加载时长≤3s。</w:t>
            </w:r>
          </w:p>
          <w:p w14:paraId="3BAFFEE7">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九</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高清教学图片</w:t>
            </w:r>
          </w:p>
          <w:p w14:paraId="06C65129">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 xml:space="preserve">1. </w:t>
            </w:r>
            <w:r>
              <w:rPr>
                <w:rFonts w:hint="eastAsia" w:ascii="宋体" w:hAnsi="宋体" w:eastAsia="宋体" w:cs="宋体"/>
                <w:b w:val="0"/>
                <w:bCs/>
                <w:color w:val="000000"/>
                <w:sz w:val="24"/>
                <w:szCs w:val="24"/>
                <w:lang w:val="en-US" w:eastAsia="zh-CN"/>
              </w:rPr>
              <w:t>数</w:t>
            </w:r>
            <w:r>
              <w:rPr>
                <w:rFonts w:hint="eastAsia" w:ascii="宋体" w:hAnsi="宋体" w:eastAsia="宋体" w:cs="宋体"/>
                <w:b w:val="0"/>
                <w:bCs/>
                <w:color w:val="000000"/>
                <w:sz w:val="24"/>
                <w:szCs w:val="24"/>
              </w:rPr>
              <w:t>量要求：</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400张，无重复、无模糊、无拉伸、无水印。</w:t>
            </w:r>
          </w:p>
          <w:p w14:paraId="73AD3BEA">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 分辨率标准：单张图片分辨率不低于1920×1080，高清原图。</w:t>
            </w:r>
          </w:p>
          <w:p w14:paraId="34916E5A">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 图片类型配比</w:t>
            </w:r>
          </w:p>
          <w:p w14:paraId="02DF5CA6">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零部件细节图、整机结构图、设备实操图、实训场景图、原理示意图、电路结构图、故障对比图、行业应用场景图、安全规范示意图。</w:t>
            </w:r>
          </w:p>
          <w:p w14:paraId="3F66DB8E">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4.格式：JPG/PNG通用格式，可直接用于课件、教材、展板、资源库建设。</w:t>
            </w:r>
          </w:p>
          <w:p w14:paraId="1A333D87">
            <w:pPr>
              <w:keepNext w:val="0"/>
              <w:keepLines w:val="0"/>
              <w:pageBreakBefore w:val="0"/>
              <w:widowControl/>
              <w:kinsoku/>
              <w:wordWrap/>
              <w:overflowPunct/>
              <w:topLinePunct w:val="0"/>
              <w:autoSpaceDE/>
              <w:autoSpaceDN/>
              <w:bidi w:val="0"/>
              <w:adjustRightInd/>
              <w:snapToGrid/>
              <w:spacing w:line="240" w:lineRule="auto"/>
              <w:ind w:left="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十</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题库</w:t>
            </w:r>
          </w:p>
          <w:p w14:paraId="1E9F55A3">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 总题量：</w:t>
            </w:r>
            <w:r>
              <w:rPr>
                <w:rFonts w:hint="eastAsia" w:ascii="宋体" w:hAnsi="宋体" w:eastAsia="宋体" w:cs="宋体"/>
                <w:b w:val="0"/>
                <w:bCs/>
                <w:color w:val="000000"/>
                <w:sz w:val="24"/>
                <w:szCs w:val="24"/>
                <w:lang w:val="en-US" w:eastAsia="zh-CN"/>
              </w:rPr>
              <w:t>不少于</w:t>
            </w:r>
            <w:r>
              <w:rPr>
                <w:rFonts w:hint="eastAsia" w:ascii="宋体" w:hAnsi="宋体" w:eastAsia="宋体" w:cs="宋体"/>
                <w:b w:val="0"/>
                <w:bCs/>
                <w:color w:val="000000"/>
                <w:sz w:val="24"/>
                <w:szCs w:val="24"/>
              </w:rPr>
              <w:t>400道，不拆分、不合并、不含重复试题。</w:t>
            </w:r>
          </w:p>
          <w:p w14:paraId="7C82AE6A">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2.题型配比要求</w:t>
            </w:r>
          </w:p>
          <w:p w14:paraId="10AC83C8">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包含单选题</w:t>
            </w:r>
            <w:r>
              <w:rPr>
                <w:rFonts w:hint="eastAsia" w:ascii="宋体" w:hAnsi="宋体" w:eastAsia="宋体" w:cs="宋体"/>
                <w:b w:val="0"/>
                <w:bCs/>
                <w:color w:val="000000"/>
                <w:sz w:val="24"/>
                <w:szCs w:val="24"/>
                <w:lang w:val="en-US" w:eastAsia="zh-CN"/>
              </w:rPr>
              <w:t>不少于总题量30%</w:t>
            </w:r>
            <w:r>
              <w:rPr>
                <w:rFonts w:hint="eastAsia" w:ascii="宋体" w:hAnsi="宋体" w:eastAsia="宋体" w:cs="宋体"/>
                <w:b w:val="0"/>
                <w:bCs/>
                <w:color w:val="000000"/>
                <w:sz w:val="24"/>
                <w:szCs w:val="24"/>
              </w:rPr>
              <w:t>、多选题</w:t>
            </w:r>
            <w:r>
              <w:rPr>
                <w:rFonts w:hint="eastAsia" w:ascii="宋体" w:hAnsi="宋体" w:eastAsia="宋体" w:cs="宋体"/>
                <w:b w:val="0"/>
                <w:bCs/>
                <w:color w:val="000000"/>
                <w:sz w:val="24"/>
                <w:szCs w:val="24"/>
                <w:lang w:val="en-US" w:eastAsia="zh-CN"/>
              </w:rPr>
              <w:t>不少于总题量15%</w:t>
            </w:r>
            <w:r>
              <w:rPr>
                <w:rFonts w:hint="eastAsia" w:ascii="宋体" w:hAnsi="宋体" w:eastAsia="宋体" w:cs="宋体"/>
                <w:b w:val="0"/>
                <w:bCs/>
                <w:color w:val="000000"/>
                <w:sz w:val="24"/>
                <w:szCs w:val="24"/>
              </w:rPr>
              <w:t>、判断题</w:t>
            </w:r>
            <w:r>
              <w:rPr>
                <w:rFonts w:hint="eastAsia" w:ascii="宋体" w:hAnsi="宋体" w:eastAsia="宋体" w:cs="宋体"/>
                <w:b w:val="0"/>
                <w:bCs/>
                <w:color w:val="000000"/>
                <w:sz w:val="24"/>
                <w:szCs w:val="24"/>
                <w:lang w:val="en-US" w:eastAsia="zh-CN"/>
              </w:rPr>
              <w:t>不少于总题量15%</w:t>
            </w:r>
            <w:r>
              <w:rPr>
                <w:rFonts w:hint="eastAsia" w:ascii="宋体" w:hAnsi="宋体" w:eastAsia="宋体" w:cs="宋体"/>
                <w:b w:val="0"/>
                <w:bCs/>
                <w:color w:val="000000"/>
                <w:sz w:val="24"/>
                <w:szCs w:val="24"/>
              </w:rPr>
              <w:t>、简答题</w:t>
            </w:r>
            <w:r>
              <w:rPr>
                <w:rFonts w:hint="eastAsia" w:ascii="宋体" w:hAnsi="宋体" w:eastAsia="宋体" w:cs="宋体"/>
                <w:b w:val="0"/>
                <w:bCs/>
                <w:color w:val="000000"/>
                <w:sz w:val="24"/>
                <w:szCs w:val="24"/>
                <w:lang w:val="en-US" w:eastAsia="zh-CN"/>
              </w:rPr>
              <w:t>不少于总题量15%</w:t>
            </w:r>
            <w:r>
              <w:rPr>
                <w:rFonts w:hint="eastAsia" w:ascii="宋体" w:hAnsi="宋体" w:eastAsia="宋体" w:cs="宋体"/>
                <w:b w:val="0"/>
                <w:bCs/>
                <w:color w:val="000000"/>
                <w:sz w:val="24"/>
                <w:szCs w:val="24"/>
              </w:rPr>
              <w:t>、实操问答题</w:t>
            </w:r>
            <w:r>
              <w:rPr>
                <w:rFonts w:hint="eastAsia" w:ascii="宋体" w:hAnsi="宋体" w:eastAsia="宋体" w:cs="宋体"/>
                <w:b w:val="0"/>
                <w:bCs/>
                <w:color w:val="000000"/>
                <w:sz w:val="24"/>
                <w:szCs w:val="24"/>
                <w:lang w:val="en-US" w:eastAsia="zh-CN"/>
              </w:rPr>
              <w:t>不少于总题量15%</w:t>
            </w:r>
            <w:r>
              <w:rPr>
                <w:rFonts w:hint="eastAsia" w:ascii="宋体" w:hAnsi="宋体" w:eastAsia="宋体" w:cs="宋体"/>
                <w:b w:val="0"/>
                <w:bCs/>
                <w:color w:val="000000"/>
                <w:sz w:val="24"/>
                <w:szCs w:val="24"/>
              </w:rPr>
              <w:t>、案例分析题</w:t>
            </w:r>
            <w:r>
              <w:rPr>
                <w:rFonts w:hint="eastAsia" w:ascii="宋体" w:hAnsi="宋体" w:eastAsia="宋体" w:cs="宋体"/>
                <w:b w:val="0"/>
                <w:bCs/>
                <w:color w:val="000000"/>
                <w:sz w:val="24"/>
                <w:szCs w:val="24"/>
                <w:lang w:val="en-US" w:eastAsia="zh-CN"/>
              </w:rPr>
              <w:t>不少于总题量10%</w:t>
            </w:r>
            <w:r>
              <w:rPr>
                <w:rFonts w:hint="eastAsia" w:ascii="宋体" w:hAnsi="宋体" w:eastAsia="宋体" w:cs="宋体"/>
                <w:b w:val="0"/>
                <w:bCs/>
                <w:color w:val="000000"/>
                <w:sz w:val="24"/>
                <w:szCs w:val="24"/>
              </w:rPr>
              <w:t>，题型结构合理，适配过程性考核、期末考核、技能理论考核。</w:t>
            </w:r>
          </w:p>
          <w:p w14:paraId="66917DE7">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3.难度梯度：基础题60%、中档题30%、拔高应用题10%，完全适配高职学生学情。</w:t>
            </w:r>
          </w:p>
          <w:p w14:paraId="10314416">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4.配套要求</w:t>
            </w:r>
          </w:p>
          <w:p w14:paraId="41B0D7C6">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每题含标准答案+详细解析+对应知识点+对应能力点。</w:t>
            </w:r>
          </w:p>
          <w:p w14:paraId="26E31C41">
            <w:pPr>
              <w:rPr>
                <w:rFonts w:hint="eastAsia" w:ascii="宋体" w:hAnsi="宋体" w:eastAsia="宋体" w:cs="宋体"/>
                <w:color w:val="000000"/>
                <w:szCs w:val="24"/>
                <w:highlight w:val="none"/>
                <w:vertAlign w:val="baseline"/>
                <w:lang w:val="en-US" w:eastAsia="zh-CN"/>
              </w:rPr>
            </w:pPr>
            <w:r>
              <w:rPr>
                <w:rFonts w:hint="eastAsia" w:ascii="宋体" w:hAnsi="宋体" w:eastAsia="宋体" w:cs="宋体"/>
                <w:b w:val="0"/>
                <w:bCs/>
                <w:color w:val="000000"/>
                <w:sz w:val="24"/>
                <w:szCs w:val="24"/>
              </w:rPr>
              <w:t>5.交付格式：可编辑Word题库完整版</w:t>
            </w:r>
            <w:r>
              <w:rPr>
                <w:rFonts w:hint="eastAsia" w:ascii="宋体" w:hAnsi="宋体" w:eastAsia="宋体" w:cs="宋体"/>
                <w:b w:val="0"/>
                <w:bCs/>
                <w:color w:val="000000"/>
                <w:sz w:val="24"/>
                <w:szCs w:val="24"/>
                <w:lang w:eastAsia="zh-CN"/>
              </w:rPr>
              <w:t>。</w:t>
            </w:r>
          </w:p>
        </w:tc>
      </w:tr>
    </w:tbl>
    <w:p w14:paraId="22F102FC">
      <w:pPr>
        <w:pStyle w:val="4"/>
        <w:rPr>
          <w:rFonts w:hint="eastAsia"/>
          <w:b/>
          <w:bCs/>
          <w:color w:val="000000"/>
          <w:lang w:val="en-US" w:eastAsia="zh-CN"/>
        </w:rPr>
      </w:pPr>
    </w:p>
    <w:p w14:paraId="562758B7">
      <w:pPr>
        <w:pStyle w:val="4"/>
        <w:rPr>
          <w:rFonts w:hint="default"/>
          <w:b/>
          <w:bCs/>
          <w:color w:val="000000"/>
          <w:lang w:val="en-US" w:eastAsia="zh-CN"/>
        </w:rPr>
      </w:pPr>
    </w:p>
    <w:p w14:paraId="59D7BBD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328"/>
    <w:multiLevelType w:val="singleLevel"/>
    <w:tmpl w:val="8BF4F328"/>
    <w:lvl w:ilvl="0" w:tentative="0">
      <w:start w:val="15"/>
      <w:numFmt w:val="decimal"/>
      <w:suff w:val="space"/>
      <w:lvlText w:val="(%1)"/>
      <w:lvlJc w:val="left"/>
    </w:lvl>
  </w:abstractNum>
  <w:abstractNum w:abstractNumId="1">
    <w:nsid w:val="ADCE2FD2"/>
    <w:multiLevelType w:val="singleLevel"/>
    <w:tmpl w:val="ADCE2FD2"/>
    <w:lvl w:ilvl="0" w:tentative="0">
      <w:start w:val="16"/>
      <w:numFmt w:val="decimal"/>
      <w:suff w:val="space"/>
      <w:lvlText w:val="(%1)"/>
      <w:lvlJc w:val="left"/>
    </w:lvl>
  </w:abstractNum>
  <w:abstractNum w:abstractNumId="2">
    <w:nsid w:val="0E3466ED"/>
    <w:multiLevelType w:val="singleLevel"/>
    <w:tmpl w:val="0E3466ED"/>
    <w:lvl w:ilvl="0" w:tentative="0">
      <w:start w:val="19"/>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369D3"/>
    <w:rsid w:val="007E7989"/>
    <w:rsid w:val="04E86445"/>
    <w:rsid w:val="19231FC9"/>
    <w:rsid w:val="386369D3"/>
    <w:rsid w:val="628E0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648" w:firstLineChars="200"/>
      <w:jc w:val="both"/>
    </w:pPr>
    <w:rPr>
      <w:rFonts w:ascii="Times New Roman" w:hAnsi="Times New Roman" w:eastAsia="宋体" w:cs="Times New Roman"/>
      <w:kern w:val="2"/>
      <w:sz w:val="24"/>
      <w:lang w:val="en-US" w:eastAsia="zh-CN" w:bidi="ar-SA"/>
    </w:rPr>
  </w:style>
  <w:style w:type="paragraph" w:styleId="2">
    <w:name w:val="heading 2"/>
    <w:basedOn w:val="1"/>
    <w:next w:val="3"/>
    <w:qFormat/>
    <w:uiPriority w:val="9"/>
    <w:pPr>
      <w:keepNext/>
      <w:keepLines/>
      <w:spacing w:before="0" w:beforeLines="0" w:beforeAutospacing="0" w:after="0" w:afterLines="0" w:afterAutospacing="0" w:line="293" w:lineRule="auto"/>
      <w:jc w:val="left"/>
      <w:outlineLvl w:val="1"/>
    </w:pPr>
    <w:rPr>
      <w:rFonts w:ascii="Arial" w:hAnsi="Arial"/>
      <w:kern w:val="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3">
    <w:name w:val="正文 A"/>
    <w:basedOn w:val="1"/>
    <w:qFormat/>
    <w:uiPriority w:val="0"/>
    <w:pPr>
      <w:keepNext w:val="0"/>
      <w:keepLines w:val="0"/>
      <w:widowControl w:val="0"/>
      <w:suppressLineNumbers w:val="0"/>
      <w:spacing w:before="0" w:beforeAutospacing="0" w:after="0" w:afterAutospacing="0" w:line="360" w:lineRule="auto"/>
      <w:ind w:left="0" w:right="0" w:firstLine="1440"/>
      <w:jc w:val="both"/>
    </w:pPr>
    <w:rPr>
      <w:rFonts w:hint="default" w:ascii="Times New Roman" w:hAnsi="Times New Roman" w:eastAsia="Arial Unicode MS" w:cs="Arial Unicode MS"/>
      <w:color w:val="000000"/>
      <w:kern w:val="2"/>
      <w:sz w:val="24"/>
      <w:szCs w:val="24"/>
      <w:lang w:val="en-US" w:eastAsia="zh-CN" w:bidi="ar"/>
    </w:rPr>
  </w:style>
  <w:style w:type="paragraph" w:styleId="4">
    <w:name w:val="Normal Indent"/>
    <w:basedOn w:val="1"/>
    <w:qFormat/>
    <w:uiPriority w:val="0"/>
    <w:pPr>
      <w:spacing w:line="240" w:lineRule="auto"/>
      <w:ind w:firstLine="420"/>
    </w:pPr>
    <w:rPr>
      <w:rFonts w:ascii="Times New Roman" w:hAnsi="Times New Roman" w:eastAsia="宋体" w:cs="Times New Roman"/>
      <w:sz w:val="21"/>
      <w:szCs w:val="24"/>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10443</Words>
  <Characters>11052</Characters>
  <Lines>0</Lines>
  <Paragraphs>0</Paragraphs>
  <TotalTime>0</TotalTime>
  <ScaleCrop>false</ScaleCrop>
  <LinksUpToDate>false</LinksUpToDate>
  <CharactersWithSpaces>11143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2026-07-29T08:34:00Z</dcterms:created>
  <dc:creator>工作人员</dc:creator>
  <cp:lastModifiedBy>工作人员</cp:lastModifiedBy>
  <dcterms:modified xsi:type="dcterms:W3CDTF">2026-07-29T09:13:35Z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142BDD6DE420452FB2EB5373A14EDA77_13</vt:lpwstr>
  </property>
  <property fmtid="{D5CDD505-2E9C-101B-9397-08002B2CF9AE}" pid="4" name="KSOTemplateDocerSaveRecord">
    <vt:lpwstr>eyJoZGlkIjoiNmUwMDhiODBhNTMxNTY2MjJlMDc0YjI3MjU3ZTIzNWEiLCJ1c2VySWQiOiIzNDcwNzMzMjIifQ==</vt:lpwstr>
  </property>
</Properties>
</file>