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F03DC0">
      <w:pPr>
        <w:pStyle w:val="38"/>
        <w:spacing w:line="0" w:lineRule="atLeast"/>
        <w:jc w:val="center"/>
        <w:rPr>
          <w:rFonts w:ascii="宋体" w:hAnsi="宋体" w:cs="宋体"/>
          <w:b/>
          <w:sz w:val="32"/>
          <w:szCs w:val="32"/>
          <w:highlight w:val="none"/>
        </w:rPr>
      </w:pPr>
      <w:bookmarkStart w:id="0" w:name="_Toc98580390"/>
    </w:p>
    <w:p w14:paraId="4365BE73">
      <w:pPr>
        <w:pStyle w:val="38"/>
        <w:spacing w:line="0" w:lineRule="atLeast"/>
        <w:jc w:val="center"/>
        <w:rPr>
          <w:rFonts w:ascii="宋体" w:hAnsi="宋体" w:cs="宋体"/>
          <w:b/>
          <w:sz w:val="32"/>
          <w:szCs w:val="32"/>
          <w:highlight w:val="none"/>
        </w:rPr>
      </w:pPr>
    </w:p>
    <w:p w14:paraId="2878D37F">
      <w:pPr>
        <w:pStyle w:val="38"/>
        <w:spacing w:line="0" w:lineRule="atLeast"/>
        <w:jc w:val="center"/>
        <w:rPr>
          <w:rFonts w:ascii="宋体" w:hAnsi="宋体" w:cs="宋体"/>
          <w:b/>
          <w:sz w:val="32"/>
          <w:szCs w:val="32"/>
          <w:highlight w:val="none"/>
        </w:rPr>
      </w:pPr>
    </w:p>
    <w:p w14:paraId="3B381A3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ascii="宋体" w:hAnsi="宋体" w:cs="宋体"/>
          <w:b/>
          <w:bCs/>
          <w:sz w:val="44"/>
          <w:szCs w:val="44"/>
          <w:highlight w:val="none"/>
          <w:lang w:eastAsia="zh-CN"/>
        </w:rPr>
      </w:pPr>
      <w:r>
        <w:rPr>
          <w:rFonts w:hint="eastAsia" w:ascii="宋体" w:hAnsi="宋体" w:cs="宋体"/>
          <w:b/>
          <w:bCs/>
          <w:sz w:val="44"/>
          <w:szCs w:val="44"/>
          <w:highlight w:val="none"/>
          <w:lang w:eastAsia="zh-CN"/>
        </w:rPr>
        <w:t>海外知识产权纠纷应对指导服务项目</w:t>
      </w:r>
    </w:p>
    <w:p w14:paraId="242A0460">
      <w:pPr>
        <w:pStyle w:val="43"/>
        <w:rPr>
          <w:rFonts w:ascii="宋体" w:hAnsi="宋体" w:eastAsia="宋体" w:cs="宋体"/>
          <w:b/>
          <w:sz w:val="48"/>
          <w:szCs w:val="48"/>
          <w:highlight w:val="none"/>
        </w:rPr>
      </w:pPr>
    </w:p>
    <w:p w14:paraId="308859C1">
      <w:pPr>
        <w:pStyle w:val="43"/>
        <w:rPr>
          <w:rFonts w:ascii="宋体" w:hAnsi="宋体" w:eastAsia="宋体" w:cs="宋体"/>
          <w:b/>
          <w:sz w:val="48"/>
          <w:szCs w:val="48"/>
          <w:highlight w:val="none"/>
        </w:rPr>
      </w:pPr>
    </w:p>
    <w:p w14:paraId="0874CD7A">
      <w:pPr>
        <w:pStyle w:val="25"/>
        <w:ind w:left="400"/>
        <w:rPr>
          <w:highlight w:val="none"/>
        </w:rPr>
      </w:pPr>
    </w:p>
    <w:p w14:paraId="0D09F49E">
      <w:pPr>
        <w:spacing w:line="0" w:lineRule="atLeast"/>
        <w:jc w:val="center"/>
        <w:rPr>
          <w:rFonts w:ascii="宋体" w:hAnsi="宋体" w:cs="宋体"/>
          <w:b/>
          <w:sz w:val="170"/>
          <w:szCs w:val="170"/>
          <w:highlight w:val="none"/>
        </w:rPr>
      </w:pPr>
      <w:r>
        <w:rPr>
          <w:rFonts w:hint="eastAsia" w:ascii="宋体" w:hAnsi="宋体" w:cs="宋体"/>
          <w:b/>
          <w:sz w:val="170"/>
          <w:szCs w:val="170"/>
          <w:highlight w:val="none"/>
        </w:rPr>
        <w:t>招标文件</w:t>
      </w:r>
    </w:p>
    <w:p w14:paraId="334D56FA">
      <w:pPr>
        <w:jc w:val="center"/>
        <w:rPr>
          <w:rFonts w:ascii="宋体" w:hAnsi="宋体" w:cs="宋体"/>
          <w:b/>
          <w:sz w:val="32"/>
          <w:highlight w:val="none"/>
        </w:rPr>
      </w:pPr>
    </w:p>
    <w:p w14:paraId="36ADBDAF">
      <w:pPr>
        <w:jc w:val="center"/>
        <w:rPr>
          <w:rFonts w:hint="eastAsia" w:ascii="宋体" w:hAnsi="宋体" w:eastAsia="宋体" w:cs="宋体"/>
          <w:b/>
          <w:sz w:val="32"/>
          <w:highlight w:val="none"/>
          <w:lang w:eastAsia="zh-CN"/>
        </w:rPr>
      </w:pPr>
      <w:r>
        <w:rPr>
          <w:rFonts w:hint="eastAsia" w:ascii="宋体" w:hAnsi="宋体" w:cs="宋体"/>
          <w:b/>
          <w:sz w:val="32"/>
          <w:highlight w:val="none"/>
        </w:rPr>
        <w:t>项目编号：采购计划-[2026]-14116号</w:t>
      </w:r>
      <w:r>
        <w:rPr>
          <w:rFonts w:hint="eastAsia" w:ascii="宋体" w:hAnsi="宋体" w:cs="宋体"/>
          <w:b/>
          <w:sz w:val="32"/>
          <w:highlight w:val="none"/>
          <w:lang w:val="en-US" w:eastAsia="zh-CN"/>
        </w:rPr>
        <w:t>-</w:t>
      </w:r>
      <w:r>
        <w:rPr>
          <w:rFonts w:hint="eastAsia" w:ascii="宋体" w:hAnsi="宋体" w:cs="宋体"/>
          <w:b/>
          <w:sz w:val="32"/>
          <w:highlight w:val="none"/>
          <w:lang w:eastAsia="zh-CN"/>
        </w:rPr>
        <w:t>202</w:t>
      </w:r>
      <w:r>
        <w:rPr>
          <w:rFonts w:hint="eastAsia" w:ascii="宋体" w:hAnsi="宋体" w:cs="宋体"/>
          <w:b/>
          <w:sz w:val="32"/>
          <w:highlight w:val="none"/>
          <w:lang w:val="en-US" w:eastAsia="zh-CN"/>
        </w:rPr>
        <w:t>6</w:t>
      </w:r>
      <w:r>
        <w:rPr>
          <w:rFonts w:hint="eastAsia" w:ascii="宋体" w:hAnsi="宋体" w:cs="宋体"/>
          <w:b/>
          <w:sz w:val="32"/>
          <w:highlight w:val="none"/>
          <w:lang w:eastAsia="zh-CN"/>
        </w:rPr>
        <w:t>ZYYC0</w:t>
      </w:r>
      <w:r>
        <w:rPr>
          <w:rFonts w:hint="eastAsia" w:ascii="宋体" w:hAnsi="宋体" w:cs="宋体"/>
          <w:b/>
          <w:sz w:val="32"/>
          <w:highlight w:val="none"/>
          <w:lang w:val="en-US" w:eastAsia="zh-CN"/>
        </w:rPr>
        <w:t>7</w:t>
      </w:r>
      <w:r>
        <w:rPr>
          <w:rFonts w:hint="eastAsia" w:ascii="宋体" w:hAnsi="宋体" w:cs="宋体"/>
          <w:b/>
          <w:sz w:val="32"/>
          <w:highlight w:val="none"/>
          <w:lang w:eastAsia="zh-CN"/>
        </w:rPr>
        <w:t>0</w:t>
      </w:r>
      <w:r>
        <w:rPr>
          <w:rFonts w:hint="eastAsia" w:ascii="宋体" w:hAnsi="宋体" w:cs="宋体"/>
          <w:b/>
          <w:sz w:val="32"/>
          <w:highlight w:val="none"/>
          <w:lang w:val="en-US" w:eastAsia="zh-CN"/>
        </w:rPr>
        <w:t>1</w:t>
      </w:r>
    </w:p>
    <w:p w14:paraId="73FDEF97">
      <w:pPr>
        <w:jc w:val="center"/>
        <w:rPr>
          <w:rFonts w:ascii="宋体" w:hAnsi="宋体" w:cs="宋体"/>
          <w:b/>
          <w:sz w:val="32"/>
          <w:highlight w:val="none"/>
        </w:rPr>
      </w:pPr>
    </w:p>
    <w:p w14:paraId="28E7BC35">
      <w:pPr>
        <w:jc w:val="center"/>
        <w:rPr>
          <w:rFonts w:ascii="宋体" w:hAnsi="宋体" w:cs="宋体"/>
          <w:sz w:val="32"/>
          <w:highlight w:val="none"/>
        </w:rPr>
      </w:pPr>
    </w:p>
    <w:p w14:paraId="50CC627B">
      <w:pPr>
        <w:jc w:val="center"/>
        <w:rPr>
          <w:rFonts w:ascii="宋体" w:hAnsi="宋体" w:cs="宋体"/>
          <w:sz w:val="32"/>
          <w:highlight w:val="none"/>
        </w:rPr>
      </w:pPr>
    </w:p>
    <w:p w14:paraId="42EA333F">
      <w:pPr>
        <w:jc w:val="center"/>
        <w:rPr>
          <w:rFonts w:ascii="宋体" w:hAnsi="宋体" w:cs="宋体"/>
          <w:sz w:val="18"/>
          <w:szCs w:val="18"/>
          <w:highlight w:val="none"/>
        </w:rPr>
      </w:pPr>
    </w:p>
    <w:p w14:paraId="2FCD6678">
      <w:pPr>
        <w:jc w:val="center"/>
        <w:rPr>
          <w:rFonts w:ascii="宋体" w:hAnsi="宋体" w:cs="宋体"/>
          <w:sz w:val="18"/>
          <w:szCs w:val="18"/>
          <w:highlight w:val="none"/>
        </w:rPr>
      </w:pPr>
    </w:p>
    <w:p w14:paraId="48EFA45C">
      <w:pPr>
        <w:jc w:val="center"/>
        <w:rPr>
          <w:rFonts w:ascii="宋体" w:hAnsi="宋体" w:cs="宋体"/>
          <w:sz w:val="18"/>
          <w:szCs w:val="18"/>
          <w:highlight w:val="none"/>
        </w:rPr>
      </w:pPr>
    </w:p>
    <w:p w14:paraId="0FDE1B12">
      <w:pPr>
        <w:jc w:val="center"/>
        <w:rPr>
          <w:rFonts w:ascii="宋体" w:hAnsi="宋体" w:cs="宋体"/>
          <w:sz w:val="18"/>
          <w:szCs w:val="18"/>
          <w:highlight w:val="none"/>
        </w:rPr>
      </w:pPr>
    </w:p>
    <w:p w14:paraId="0AE0E33C">
      <w:pPr>
        <w:jc w:val="center"/>
        <w:rPr>
          <w:rFonts w:ascii="宋体" w:hAnsi="宋体" w:cs="宋体"/>
          <w:sz w:val="18"/>
          <w:szCs w:val="18"/>
          <w:highlight w:val="none"/>
        </w:rPr>
      </w:pPr>
    </w:p>
    <w:p w14:paraId="50E91976">
      <w:pPr>
        <w:jc w:val="center"/>
        <w:rPr>
          <w:rFonts w:ascii="宋体" w:hAnsi="宋体" w:cs="宋体"/>
          <w:sz w:val="18"/>
          <w:szCs w:val="18"/>
          <w:highlight w:val="none"/>
        </w:rPr>
      </w:pPr>
    </w:p>
    <w:p w14:paraId="3D0BB157">
      <w:pPr>
        <w:jc w:val="center"/>
        <w:rPr>
          <w:rFonts w:ascii="宋体" w:hAnsi="宋体" w:cs="宋体"/>
          <w:sz w:val="18"/>
          <w:szCs w:val="18"/>
          <w:highlight w:val="none"/>
        </w:rPr>
      </w:pPr>
    </w:p>
    <w:p w14:paraId="2EFFA0B9">
      <w:pPr>
        <w:jc w:val="center"/>
        <w:rPr>
          <w:rFonts w:ascii="宋体" w:hAnsi="宋体" w:cs="宋体"/>
          <w:sz w:val="18"/>
          <w:szCs w:val="18"/>
          <w:highlight w:val="none"/>
        </w:rPr>
      </w:pPr>
    </w:p>
    <w:p w14:paraId="6D08A23D">
      <w:pPr>
        <w:jc w:val="center"/>
        <w:rPr>
          <w:rFonts w:ascii="宋体" w:hAnsi="宋体" w:cs="宋体"/>
          <w:sz w:val="18"/>
          <w:szCs w:val="18"/>
          <w:highlight w:val="none"/>
        </w:rPr>
      </w:pPr>
    </w:p>
    <w:p w14:paraId="5005028B">
      <w:pPr>
        <w:pStyle w:val="3"/>
        <w:rPr>
          <w:highlight w:val="none"/>
        </w:rPr>
      </w:pPr>
    </w:p>
    <w:p w14:paraId="4E06A56B">
      <w:pPr>
        <w:spacing w:line="480" w:lineRule="auto"/>
        <w:jc w:val="center"/>
        <w:rPr>
          <w:rFonts w:ascii="宋体" w:hAnsi="宋体" w:cs="宋体"/>
          <w:sz w:val="18"/>
          <w:szCs w:val="18"/>
          <w:highlight w:val="none"/>
        </w:rPr>
      </w:pPr>
    </w:p>
    <w:p w14:paraId="7E310EC2">
      <w:pPr>
        <w:keepNext w:val="0"/>
        <w:keepLines w:val="0"/>
        <w:pageBreakBefore w:val="0"/>
        <w:widowControl/>
        <w:kinsoku/>
        <w:wordWrap/>
        <w:overflowPunct/>
        <w:topLinePunct w:val="0"/>
        <w:autoSpaceDE/>
        <w:autoSpaceDN/>
        <w:bidi w:val="0"/>
        <w:adjustRightInd/>
        <w:snapToGrid/>
        <w:ind w:firstLine="964" w:firstLineChars="300"/>
        <w:jc w:val="both"/>
        <w:textAlignment w:val="auto"/>
        <w:rPr>
          <w:rFonts w:ascii="宋体" w:hAnsi="宋体" w:cs="宋体"/>
          <w:b/>
          <w:sz w:val="32"/>
          <w:szCs w:val="22"/>
          <w:highlight w:val="none"/>
        </w:rPr>
      </w:pPr>
      <w:r>
        <w:rPr>
          <w:rFonts w:hint="eastAsia" w:ascii="宋体" w:hAnsi="宋体" w:cs="宋体"/>
          <w:b/>
          <w:sz w:val="32"/>
          <w:szCs w:val="22"/>
          <w:highlight w:val="none"/>
        </w:rPr>
        <w:t>采</w:t>
      </w:r>
      <w:r>
        <w:rPr>
          <w:rFonts w:hint="eastAsia" w:ascii="宋体" w:hAnsi="宋体" w:cs="宋体"/>
          <w:b/>
          <w:sz w:val="32"/>
          <w:szCs w:val="22"/>
          <w:highlight w:val="none"/>
          <w:lang w:val="en-US" w:eastAsia="zh-CN"/>
        </w:rPr>
        <w:t xml:space="preserve">   </w:t>
      </w:r>
      <w:r>
        <w:rPr>
          <w:rFonts w:hint="eastAsia" w:ascii="宋体" w:hAnsi="宋体" w:cs="宋体"/>
          <w:b/>
          <w:sz w:val="32"/>
          <w:szCs w:val="22"/>
          <w:highlight w:val="none"/>
        </w:rPr>
        <w:t>购</w:t>
      </w:r>
      <w:r>
        <w:rPr>
          <w:rFonts w:hint="eastAsia" w:ascii="宋体" w:hAnsi="宋体" w:cs="宋体"/>
          <w:b/>
          <w:sz w:val="32"/>
          <w:szCs w:val="22"/>
          <w:highlight w:val="none"/>
          <w:lang w:val="en-US" w:eastAsia="zh-CN"/>
        </w:rPr>
        <w:t xml:space="preserve">   </w:t>
      </w:r>
      <w:r>
        <w:rPr>
          <w:rFonts w:hint="eastAsia" w:ascii="宋体" w:hAnsi="宋体" w:cs="宋体"/>
          <w:b/>
          <w:sz w:val="32"/>
          <w:szCs w:val="22"/>
          <w:highlight w:val="none"/>
        </w:rPr>
        <w:t>人：</w:t>
      </w:r>
      <w:r>
        <w:rPr>
          <w:rFonts w:hint="eastAsia" w:ascii="宋体" w:hAnsi="宋体" w:cs="宋体"/>
          <w:b/>
          <w:sz w:val="32"/>
          <w:szCs w:val="22"/>
          <w:highlight w:val="none"/>
          <w:lang w:val="en-US" w:eastAsia="zh-CN"/>
        </w:rPr>
        <w:t>吉林省知识产权保护中心</w:t>
      </w:r>
      <w:r>
        <w:rPr>
          <w:rFonts w:hint="eastAsia" w:ascii="宋体" w:hAnsi="宋体" w:cs="宋体"/>
          <w:b/>
          <w:sz w:val="32"/>
          <w:szCs w:val="22"/>
          <w:highlight w:val="none"/>
        </w:rPr>
        <w:t xml:space="preserve">     </w:t>
      </w:r>
    </w:p>
    <w:p w14:paraId="38279535">
      <w:pPr>
        <w:keepNext w:val="0"/>
        <w:keepLines w:val="0"/>
        <w:pageBreakBefore w:val="0"/>
        <w:widowControl/>
        <w:kinsoku/>
        <w:wordWrap/>
        <w:overflowPunct/>
        <w:topLinePunct w:val="0"/>
        <w:autoSpaceDE/>
        <w:autoSpaceDN/>
        <w:bidi w:val="0"/>
        <w:adjustRightInd/>
        <w:snapToGrid/>
        <w:ind w:firstLine="964" w:firstLineChars="300"/>
        <w:jc w:val="center"/>
        <w:textAlignment w:val="auto"/>
        <w:rPr>
          <w:rFonts w:ascii="宋体" w:hAnsi="宋体" w:cs="宋体"/>
          <w:b/>
          <w:sz w:val="32"/>
          <w:szCs w:val="22"/>
          <w:highlight w:val="none"/>
        </w:rPr>
      </w:pPr>
      <w:r>
        <w:rPr>
          <w:rFonts w:hint="eastAsia" w:ascii="宋体" w:hAnsi="宋体" w:cs="宋体"/>
          <w:b/>
          <w:sz w:val="32"/>
          <w:szCs w:val="22"/>
          <w:highlight w:val="none"/>
        </w:rPr>
        <w:t xml:space="preserve">     </w:t>
      </w:r>
    </w:p>
    <w:p w14:paraId="290D1C19">
      <w:pPr>
        <w:keepNext w:val="0"/>
        <w:keepLines w:val="0"/>
        <w:pageBreakBefore w:val="0"/>
        <w:widowControl/>
        <w:kinsoku/>
        <w:wordWrap/>
        <w:overflowPunct/>
        <w:topLinePunct w:val="0"/>
        <w:autoSpaceDE/>
        <w:autoSpaceDN/>
        <w:bidi w:val="0"/>
        <w:adjustRightInd/>
        <w:snapToGrid/>
        <w:ind w:firstLine="964" w:firstLineChars="300"/>
        <w:jc w:val="both"/>
        <w:textAlignment w:val="auto"/>
        <w:rPr>
          <w:rFonts w:ascii="宋体" w:hAnsi="宋体" w:cs="宋体"/>
          <w:b/>
          <w:sz w:val="32"/>
          <w:szCs w:val="22"/>
          <w:highlight w:val="none"/>
        </w:rPr>
      </w:pPr>
      <w:r>
        <w:rPr>
          <w:rFonts w:hint="eastAsia" w:ascii="宋体" w:hAnsi="宋体" w:cs="宋体"/>
          <w:b/>
          <w:sz w:val="32"/>
          <w:szCs w:val="22"/>
          <w:highlight w:val="none"/>
        </w:rPr>
        <w:t>采购代理机构：中盈永诚咨询集团有限公司</w:t>
      </w:r>
    </w:p>
    <w:p w14:paraId="516A67C3">
      <w:pPr>
        <w:jc w:val="center"/>
        <w:rPr>
          <w:rFonts w:ascii="宋体" w:hAnsi="宋体" w:cs="宋体"/>
          <w:b/>
          <w:sz w:val="32"/>
          <w:highlight w:val="none"/>
        </w:rPr>
      </w:pPr>
    </w:p>
    <w:p w14:paraId="2C28E96A">
      <w:pPr>
        <w:jc w:val="center"/>
        <w:rPr>
          <w:rFonts w:ascii="宋体" w:hAnsi="宋体" w:cs="宋体"/>
          <w:b/>
          <w:sz w:val="32"/>
          <w:highlight w:val="none"/>
        </w:rPr>
      </w:pPr>
      <w:r>
        <w:rPr>
          <w:rFonts w:hint="eastAsia" w:ascii="宋体" w:hAnsi="宋体" w:eastAsia="宋体" w:cs="宋体"/>
          <w:b/>
          <w:sz w:val="32"/>
          <w:szCs w:val="32"/>
          <w:highlight w:val="none"/>
        </w:rPr>
        <w:t>二○二</w:t>
      </w:r>
      <w:r>
        <w:rPr>
          <w:rFonts w:hint="eastAsia" w:ascii="宋体" w:hAnsi="宋体" w:cs="宋体"/>
          <w:b/>
          <w:sz w:val="32"/>
          <w:szCs w:val="32"/>
          <w:highlight w:val="none"/>
          <w:lang w:val="en-US" w:eastAsia="zh-CN"/>
        </w:rPr>
        <w:t>六</w:t>
      </w:r>
      <w:r>
        <w:rPr>
          <w:rFonts w:hint="eastAsia" w:ascii="宋体" w:hAnsi="宋体" w:eastAsia="宋体" w:cs="宋体"/>
          <w:b/>
          <w:sz w:val="32"/>
          <w:szCs w:val="32"/>
          <w:highlight w:val="none"/>
        </w:rPr>
        <w:t>年</w:t>
      </w:r>
      <w:r>
        <w:rPr>
          <w:rFonts w:hint="eastAsia" w:ascii="宋体" w:hAnsi="宋体" w:cs="宋体"/>
          <w:b/>
          <w:sz w:val="32"/>
          <w:szCs w:val="32"/>
          <w:highlight w:val="none"/>
          <w:lang w:val="en-US" w:eastAsia="zh-CN"/>
        </w:rPr>
        <w:t>八</w:t>
      </w:r>
      <w:r>
        <w:rPr>
          <w:rFonts w:hint="eastAsia" w:ascii="宋体" w:hAnsi="宋体" w:eastAsia="宋体" w:cs="宋体"/>
          <w:b/>
          <w:sz w:val="32"/>
          <w:szCs w:val="32"/>
          <w:highlight w:val="none"/>
        </w:rPr>
        <w:t>月</w:t>
      </w:r>
    </w:p>
    <w:p w14:paraId="7769F8FB">
      <w:pPr>
        <w:jc w:val="center"/>
        <w:rPr>
          <w:rFonts w:ascii="宋体" w:hAnsi="宋体" w:cs="宋体"/>
          <w:b/>
          <w:bCs/>
          <w:sz w:val="36"/>
          <w:highlight w:val="none"/>
        </w:rPr>
        <w:sectPr>
          <w:headerReference r:id="rId4" w:type="first"/>
          <w:headerReference r:id="rId3" w:type="default"/>
          <w:footerReference r:id="rId5" w:type="even"/>
          <w:pgSz w:w="11906" w:h="16838"/>
          <w:pgMar w:top="1418" w:right="1247" w:bottom="1418" w:left="1247" w:header="851" w:footer="992" w:gutter="0"/>
          <w:pgBorders>
            <w:top w:val="none" w:sz="0" w:space="0"/>
            <w:left w:val="none" w:sz="0" w:space="0"/>
            <w:bottom w:val="none" w:sz="0" w:space="0"/>
            <w:right w:val="none" w:sz="0" w:space="0"/>
          </w:pgBorders>
          <w:cols w:space="720" w:num="1"/>
          <w:titlePg/>
          <w:docGrid w:linePitch="312" w:charSpace="0"/>
        </w:sectPr>
      </w:pPr>
      <w:bookmarkStart w:id="1" w:name="_Toc98580389"/>
    </w:p>
    <w:p w14:paraId="19F651BE">
      <w:pPr>
        <w:jc w:val="center"/>
        <w:rPr>
          <w:rFonts w:ascii="宋体" w:hAnsi="宋体" w:cs="宋体"/>
          <w:b/>
          <w:bCs/>
          <w:sz w:val="36"/>
          <w:highlight w:val="none"/>
        </w:rPr>
      </w:pPr>
    </w:p>
    <w:p w14:paraId="400A7342">
      <w:pPr>
        <w:spacing w:line="360" w:lineRule="auto"/>
        <w:jc w:val="center"/>
        <w:rPr>
          <w:rFonts w:ascii="宋体" w:hAnsi="宋体" w:cs="宋体"/>
          <w:b/>
          <w:bCs/>
          <w:sz w:val="36"/>
          <w:highlight w:val="none"/>
        </w:rPr>
      </w:pPr>
      <w:r>
        <w:rPr>
          <w:rFonts w:hint="eastAsia" w:ascii="宋体" w:hAnsi="宋体" w:cs="宋体"/>
          <w:b/>
          <w:bCs/>
          <w:sz w:val="36"/>
          <w:highlight w:val="none"/>
        </w:rPr>
        <w:t>目　　录</w:t>
      </w:r>
    </w:p>
    <w:p w14:paraId="7765CD93">
      <w:pPr>
        <w:jc w:val="center"/>
        <w:rPr>
          <w:rFonts w:ascii="宋体" w:hAnsi="宋体" w:cs="宋体"/>
          <w:b/>
          <w:bCs/>
          <w:sz w:val="36"/>
          <w:highlight w:val="none"/>
        </w:rPr>
      </w:pPr>
    </w:p>
    <w:p w14:paraId="5C858B97">
      <w:pPr>
        <w:pStyle w:val="29"/>
        <w:tabs>
          <w:tab w:val="right" w:leader="dot" w:pos="9241"/>
        </w:tabs>
        <w:spacing w:line="480" w:lineRule="auto"/>
        <w:rPr>
          <w:rFonts w:ascii="宋体" w:hAnsi="宋体" w:cs="宋体"/>
          <w:sz w:val="28"/>
          <w:szCs w:val="28"/>
          <w:highlight w:val="none"/>
        </w:rPr>
      </w:pP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TOC \o "1-1" \h \z \u </w:instrText>
      </w:r>
      <w:r>
        <w:rPr>
          <w:rFonts w:hint="eastAsia" w:ascii="宋体" w:hAnsi="宋体" w:cs="宋体"/>
          <w:sz w:val="28"/>
          <w:szCs w:val="28"/>
          <w:highlight w:val="none"/>
        </w:rPr>
        <w:fldChar w:fldCharType="separate"/>
      </w:r>
      <w:r>
        <w:rPr>
          <w:highlight w:val="none"/>
        </w:rPr>
        <w:fldChar w:fldCharType="begin"/>
      </w:r>
      <w:r>
        <w:rPr>
          <w:highlight w:val="none"/>
        </w:rPr>
        <w:instrText xml:space="preserve"> HYPERLINK \l "_Toc13336" </w:instrText>
      </w:r>
      <w:r>
        <w:rPr>
          <w:highlight w:val="none"/>
        </w:rPr>
        <w:fldChar w:fldCharType="separate"/>
      </w:r>
      <w:r>
        <w:rPr>
          <w:rFonts w:hint="eastAsia" w:ascii="宋体" w:hAnsi="宋体" w:cs="宋体"/>
          <w:sz w:val="28"/>
          <w:szCs w:val="28"/>
          <w:highlight w:val="none"/>
        </w:rPr>
        <w:t>第一部分  招标公告</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_Toc13336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1</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20FCE24E">
      <w:pPr>
        <w:pStyle w:val="29"/>
        <w:tabs>
          <w:tab w:val="right" w:leader="dot" w:pos="9241"/>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"_Toc28014" </w:instrText>
      </w:r>
      <w:r>
        <w:rPr>
          <w:highlight w:val="none"/>
        </w:rPr>
        <w:fldChar w:fldCharType="separate"/>
      </w:r>
      <w:r>
        <w:rPr>
          <w:rFonts w:hint="eastAsia" w:ascii="宋体" w:hAnsi="宋体" w:cs="宋体"/>
          <w:sz w:val="28"/>
          <w:szCs w:val="28"/>
          <w:highlight w:val="none"/>
        </w:rPr>
        <w:t>第二部分  投标人须知</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_Toc28014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3</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6ACBE602">
      <w:pPr>
        <w:pStyle w:val="29"/>
        <w:tabs>
          <w:tab w:val="right" w:leader="dot" w:pos="9241"/>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"_Toc8440" </w:instrText>
      </w:r>
      <w:r>
        <w:rPr>
          <w:highlight w:val="none"/>
        </w:rPr>
        <w:fldChar w:fldCharType="separate"/>
      </w:r>
      <w:r>
        <w:rPr>
          <w:rFonts w:hint="eastAsia" w:ascii="宋体" w:hAnsi="宋体" w:cs="宋体"/>
          <w:sz w:val="28"/>
          <w:szCs w:val="28"/>
          <w:highlight w:val="none"/>
        </w:rPr>
        <w:t>第三部分  评标办法</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_Toc8440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13</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341651FB">
      <w:pPr>
        <w:pStyle w:val="29"/>
        <w:tabs>
          <w:tab w:val="right" w:leader="dot" w:pos="9241"/>
        </w:tabs>
        <w:spacing w:line="480" w:lineRule="auto"/>
        <w:rPr>
          <w:rFonts w:hint="eastAsia" w:ascii="宋体" w:hAnsi="宋体" w:eastAsia="宋体" w:cs="宋体"/>
          <w:sz w:val="28"/>
          <w:szCs w:val="28"/>
          <w:highlight w:val="none"/>
          <w:lang w:val="en-US" w:eastAsia="zh-CN"/>
        </w:rPr>
      </w:pPr>
      <w:r>
        <w:rPr>
          <w:highlight w:val="none"/>
        </w:rPr>
        <w:fldChar w:fldCharType="begin"/>
      </w:r>
      <w:r>
        <w:rPr>
          <w:highlight w:val="none"/>
        </w:rPr>
        <w:instrText xml:space="preserve"> HYPERLINK \l "_Toc13415" </w:instrText>
      </w:r>
      <w:r>
        <w:rPr>
          <w:highlight w:val="none"/>
        </w:rPr>
        <w:fldChar w:fldCharType="separate"/>
      </w:r>
      <w:r>
        <w:rPr>
          <w:rFonts w:hint="eastAsia" w:ascii="宋体" w:hAnsi="宋体" w:cs="宋体"/>
          <w:sz w:val="28"/>
          <w:szCs w:val="28"/>
          <w:highlight w:val="none"/>
        </w:rPr>
        <w:t>第四部分  合同格式</w:t>
      </w:r>
      <w:r>
        <w:rPr>
          <w:rFonts w:hint="eastAsia" w:ascii="宋体" w:hAnsi="宋体" w:cs="宋体"/>
          <w:sz w:val="28"/>
          <w:szCs w:val="28"/>
          <w:highlight w:val="none"/>
        </w:rPr>
        <w:tab/>
      </w:r>
      <w:r>
        <w:rPr>
          <w:rFonts w:hint="eastAsia" w:ascii="宋体" w:hAnsi="宋体" w:cs="宋体"/>
          <w:sz w:val="28"/>
          <w:szCs w:val="28"/>
          <w:highlight w:val="none"/>
          <w:lang w:val="en-US" w:eastAsia="zh-CN"/>
        </w:rPr>
        <w:t>2</w:t>
      </w:r>
      <w:r>
        <w:rPr>
          <w:rFonts w:hint="eastAsia" w:ascii="宋体" w:hAnsi="宋体" w:cs="宋体"/>
          <w:sz w:val="28"/>
          <w:szCs w:val="28"/>
          <w:highlight w:val="none"/>
        </w:rPr>
        <w:fldChar w:fldCharType="end"/>
      </w:r>
      <w:r>
        <w:rPr>
          <w:rFonts w:hint="eastAsia" w:ascii="宋体" w:hAnsi="宋体" w:cs="宋体"/>
          <w:sz w:val="28"/>
          <w:szCs w:val="28"/>
          <w:highlight w:val="none"/>
          <w:lang w:val="en-US" w:eastAsia="zh-CN"/>
        </w:rPr>
        <w:t>1</w:t>
      </w:r>
    </w:p>
    <w:p w14:paraId="6218FE5F">
      <w:pPr>
        <w:pStyle w:val="29"/>
        <w:tabs>
          <w:tab w:val="right" w:leader="dot" w:pos="9241"/>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"_Toc18914" </w:instrText>
      </w:r>
      <w:r>
        <w:rPr>
          <w:highlight w:val="none"/>
        </w:rPr>
        <w:fldChar w:fldCharType="separate"/>
      </w:r>
      <w:r>
        <w:rPr>
          <w:rFonts w:hint="eastAsia" w:ascii="宋体" w:hAnsi="宋体" w:cs="宋体"/>
          <w:sz w:val="28"/>
          <w:szCs w:val="28"/>
          <w:highlight w:val="none"/>
        </w:rPr>
        <w:t>第五部分  采购需求</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_Toc18914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20</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7779D99A">
      <w:pPr>
        <w:pStyle w:val="29"/>
        <w:tabs>
          <w:tab w:val="right" w:leader="dot" w:pos="9241"/>
        </w:tabs>
        <w:spacing w:line="480" w:lineRule="auto"/>
        <w:rPr>
          <w:rFonts w:ascii="宋体" w:hAnsi="宋体" w:cs="宋体"/>
          <w:sz w:val="28"/>
          <w:szCs w:val="28"/>
          <w:highlight w:val="none"/>
        </w:rPr>
      </w:pPr>
      <w:r>
        <w:rPr>
          <w:highlight w:val="none"/>
        </w:rPr>
        <w:fldChar w:fldCharType="begin"/>
      </w:r>
      <w:r>
        <w:rPr>
          <w:highlight w:val="none"/>
        </w:rPr>
        <w:instrText xml:space="preserve"> HYPERLINK \l "_Toc19534" </w:instrText>
      </w:r>
      <w:r>
        <w:rPr>
          <w:highlight w:val="none"/>
        </w:rPr>
        <w:fldChar w:fldCharType="separate"/>
      </w:r>
      <w:r>
        <w:rPr>
          <w:rFonts w:hint="eastAsia" w:ascii="宋体" w:hAnsi="宋体" w:cs="宋体"/>
          <w:sz w:val="28"/>
          <w:szCs w:val="28"/>
          <w:highlight w:val="none"/>
        </w:rPr>
        <w:t>第六部分  投标文件格式</w:t>
      </w:r>
      <w:r>
        <w:rPr>
          <w:rFonts w:hint="eastAsia" w:ascii="宋体" w:hAnsi="宋体" w:cs="宋体"/>
          <w:sz w:val="28"/>
          <w:szCs w:val="28"/>
          <w:highlight w:val="none"/>
        </w:rPr>
        <w:tab/>
      </w:r>
      <w:r>
        <w:rPr>
          <w:rFonts w:hint="eastAsia" w:ascii="宋体" w:hAnsi="宋体" w:cs="宋体"/>
          <w:sz w:val="28"/>
          <w:szCs w:val="28"/>
          <w:highlight w:val="none"/>
        </w:rPr>
        <w:fldChar w:fldCharType="begin"/>
      </w:r>
      <w:r>
        <w:rPr>
          <w:rFonts w:hint="eastAsia" w:ascii="宋体" w:hAnsi="宋体" w:cs="宋体"/>
          <w:sz w:val="28"/>
          <w:szCs w:val="28"/>
          <w:highlight w:val="none"/>
        </w:rPr>
        <w:instrText xml:space="preserve"> PAGEREF _Toc19534 \h </w:instrText>
      </w:r>
      <w:r>
        <w:rPr>
          <w:rFonts w:hint="eastAsia" w:ascii="宋体" w:hAnsi="宋体" w:cs="宋体"/>
          <w:sz w:val="28"/>
          <w:szCs w:val="28"/>
          <w:highlight w:val="none"/>
        </w:rPr>
        <w:fldChar w:fldCharType="separate"/>
      </w:r>
      <w:r>
        <w:rPr>
          <w:rFonts w:hint="eastAsia" w:ascii="宋体" w:hAnsi="宋体" w:cs="宋体"/>
          <w:sz w:val="28"/>
          <w:szCs w:val="28"/>
          <w:highlight w:val="none"/>
        </w:rPr>
        <w:t>21</w:t>
      </w:r>
      <w:r>
        <w:rPr>
          <w:rFonts w:hint="eastAsia" w:ascii="宋体" w:hAnsi="宋体" w:cs="宋体"/>
          <w:sz w:val="28"/>
          <w:szCs w:val="28"/>
          <w:highlight w:val="none"/>
        </w:rPr>
        <w:fldChar w:fldCharType="end"/>
      </w:r>
      <w:r>
        <w:rPr>
          <w:rFonts w:hint="eastAsia" w:ascii="宋体" w:hAnsi="宋体" w:cs="宋体"/>
          <w:sz w:val="28"/>
          <w:szCs w:val="28"/>
          <w:highlight w:val="none"/>
        </w:rPr>
        <w:fldChar w:fldCharType="end"/>
      </w:r>
    </w:p>
    <w:p w14:paraId="6EAA0B03">
      <w:pPr>
        <w:pStyle w:val="29"/>
        <w:tabs>
          <w:tab w:val="right" w:leader="dot" w:pos="9241"/>
        </w:tabs>
        <w:rPr>
          <w:rFonts w:ascii="宋体" w:hAnsi="宋体" w:cs="宋体"/>
          <w:sz w:val="28"/>
          <w:szCs w:val="28"/>
          <w:highlight w:val="none"/>
        </w:rPr>
      </w:pPr>
      <w:r>
        <w:rPr>
          <w:rFonts w:hint="eastAsia" w:ascii="宋体" w:hAnsi="宋体" w:cs="宋体"/>
          <w:sz w:val="28"/>
          <w:szCs w:val="28"/>
          <w:highlight w:val="none"/>
        </w:rPr>
        <w:fldChar w:fldCharType="end"/>
      </w:r>
    </w:p>
    <w:bookmarkEnd w:id="1"/>
    <w:p w14:paraId="66A74FA6">
      <w:pPr>
        <w:rPr>
          <w:rFonts w:ascii="宋体" w:hAnsi="宋体" w:cs="宋体"/>
          <w:highlight w:val="none"/>
        </w:rPr>
        <w:sectPr>
          <w:footerReference r:id="rId7" w:type="first"/>
          <w:footerReference r:id="rId6" w:type="default"/>
          <w:pgSz w:w="11906" w:h="16838"/>
          <w:pgMar w:top="1418" w:right="1247" w:bottom="1418" w:left="1247" w:header="851" w:footer="992" w:gutter="0"/>
          <w:pgBorders>
            <w:top w:val="none" w:sz="0" w:space="0"/>
            <w:left w:val="none" w:sz="0" w:space="0"/>
            <w:bottom w:val="none" w:sz="0" w:space="0"/>
            <w:right w:val="none" w:sz="0" w:space="0"/>
          </w:pgBorders>
          <w:pgNumType w:fmt="decimal" w:start="1"/>
          <w:cols w:space="720" w:num="1"/>
          <w:titlePg/>
          <w:docGrid w:linePitch="312" w:charSpace="0"/>
        </w:sectPr>
      </w:pPr>
    </w:p>
    <w:p w14:paraId="676DA540">
      <w:pPr>
        <w:rPr>
          <w:rFonts w:ascii="宋体" w:hAnsi="宋体" w:cs="宋体"/>
          <w:highlight w:val="none"/>
        </w:rPr>
      </w:pPr>
    </w:p>
    <w:p w14:paraId="448FC502">
      <w:pPr>
        <w:pStyle w:val="2"/>
        <w:spacing w:before="0" w:after="0" w:line="360" w:lineRule="auto"/>
        <w:jc w:val="center"/>
        <w:rPr>
          <w:rFonts w:ascii="宋体" w:hAnsi="宋体" w:cs="宋体"/>
          <w:sz w:val="36"/>
          <w:szCs w:val="36"/>
          <w:highlight w:val="none"/>
        </w:rPr>
      </w:pPr>
      <w:bookmarkStart w:id="2" w:name="_Toc13336"/>
      <w:r>
        <w:rPr>
          <w:rFonts w:hint="eastAsia" w:ascii="宋体" w:hAnsi="宋体" w:cs="宋体"/>
          <w:sz w:val="36"/>
          <w:szCs w:val="36"/>
          <w:highlight w:val="none"/>
        </w:rPr>
        <w:t>第一部分  招标公告</w:t>
      </w:r>
      <w:bookmarkEnd w:id="2"/>
    </w:p>
    <w:p w14:paraId="676E9C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80" w:lineRule="exact"/>
        <w:ind w:left="0" w:right="0"/>
        <w:jc w:val="both"/>
        <w:textAlignment w:val="auto"/>
        <w:rPr>
          <w:rFonts w:hint="eastAsia" w:ascii="宋体" w:hAnsi="宋体" w:eastAsia="宋体" w:cs="宋体"/>
          <w:b/>
          <w:bCs/>
          <w:color w:val="auto"/>
          <w:sz w:val="22"/>
          <w:szCs w:val="22"/>
          <w:highlight w:val="none"/>
        </w:rPr>
      </w:pPr>
      <w:r>
        <w:rPr>
          <w:rFonts w:hint="eastAsia" w:ascii="宋体" w:hAnsi="宋体" w:eastAsia="宋体" w:cs="宋体"/>
          <w:b/>
          <w:bCs/>
          <w:color w:val="auto"/>
          <w:sz w:val="22"/>
          <w:szCs w:val="22"/>
          <w:highlight w:val="none"/>
        </w:rPr>
        <w:t>项目概况</w:t>
      </w:r>
    </w:p>
    <w:p w14:paraId="4D176160">
      <w:pPr>
        <w:keepNext w:val="0"/>
        <w:keepLines w:val="0"/>
        <w:pageBreakBefore w:val="0"/>
        <w:widowControl w:val="0"/>
        <w:kinsoku/>
        <w:wordWrap w:val="0"/>
        <w:overflowPunct/>
        <w:topLinePunct w:val="0"/>
        <w:autoSpaceDE/>
        <w:autoSpaceDN/>
        <w:bidi w:val="0"/>
        <w:adjustRightInd/>
        <w:snapToGrid/>
        <w:spacing w:line="380" w:lineRule="exact"/>
        <w:ind w:firstLine="440" w:firstLineChars="200"/>
        <w:textAlignment w:val="auto"/>
        <w:rPr>
          <w:rFonts w:hint="eastAsia" w:ascii="宋体" w:hAnsi="宋体" w:eastAsia="宋体" w:cs="宋体"/>
          <w:b/>
          <w:color w:val="auto"/>
          <w:sz w:val="22"/>
          <w:szCs w:val="22"/>
          <w:highlight w:val="none"/>
        </w:rPr>
      </w:pPr>
      <w:r>
        <w:rPr>
          <w:rFonts w:hint="eastAsia" w:ascii="宋体" w:hAnsi="宋体" w:eastAsia="宋体" w:cs="宋体"/>
          <w:color w:val="auto"/>
          <w:sz w:val="22"/>
          <w:szCs w:val="22"/>
          <w:highlight w:val="none"/>
          <w:lang w:eastAsia="zh-CN"/>
        </w:rPr>
        <w:t>海外知识产权纠纷应对指导服务项目</w:t>
      </w:r>
      <w:r>
        <w:rPr>
          <w:rFonts w:hint="eastAsia" w:ascii="宋体" w:hAnsi="宋体" w:eastAsia="宋体" w:cs="宋体"/>
          <w:color w:val="auto"/>
          <w:sz w:val="22"/>
          <w:szCs w:val="22"/>
          <w:highlight w:val="none"/>
        </w:rPr>
        <w:t>的</w:t>
      </w:r>
      <w:r>
        <w:rPr>
          <w:rFonts w:hint="eastAsia" w:ascii="宋体" w:hAnsi="宋体" w:eastAsia="宋体" w:cs="宋体"/>
          <w:sz w:val="22"/>
          <w:szCs w:val="22"/>
        </w:rPr>
        <w:t>潜在</w:t>
      </w:r>
      <w:r>
        <w:rPr>
          <w:rFonts w:hint="eastAsia" w:ascii="宋体" w:hAnsi="宋体" w:eastAsia="宋体" w:cs="宋体"/>
          <w:sz w:val="22"/>
          <w:szCs w:val="22"/>
          <w:lang w:val="en-US" w:eastAsia="zh-CN"/>
        </w:rPr>
        <w:t>投标人</w:t>
      </w:r>
      <w:r>
        <w:rPr>
          <w:rFonts w:hint="eastAsia" w:ascii="宋体" w:hAnsi="宋体" w:eastAsia="宋体" w:cs="宋体"/>
          <w:sz w:val="22"/>
          <w:szCs w:val="22"/>
        </w:rPr>
        <w:t>应在政采云平台线上获取获取采购文件并于</w:t>
      </w:r>
      <w:r>
        <w:rPr>
          <w:rFonts w:hint="eastAsia" w:ascii="宋体" w:hAnsi="宋体" w:eastAsia="宋体" w:cs="宋体"/>
          <w:sz w:val="22"/>
          <w:szCs w:val="22"/>
          <w:lang w:eastAsia="zh-CN"/>
        </w:rPr>
        <w:t>202</w:t>
      </w:r>
      <w:r>
        <w:rPr>
          <w:rFonts w:hint="eastAsia" w:ascii="宋体" w:hAnsi="宋体" w:eastAsia="宋体" w:cs="宋体"/>
          <w:sz w:val="22"/>
          <w:szCs w:val="22"/>
          <w:lang w:val="en-US" w:eastAsia="zh-CN"/>
        </w:rPr>
        <w:t>6</w:t>
      </w:r>
      <w:r>
        <w:rPr>
          <w:rFonts w:hint="eastAsia" w:ascii="宋体" w:hAnsi="宋体" w:eastAsia="宋体" w:cs="宋体"/>
          <w:sz w:val="22"/>
          <w:szCs w:val="22"/>
          <w:lang w:eastAsia="zh-CN"/>
        </w:rPr>
        <w:t>年</w:t>
      </w:r>
      <w:r>
        <w:rPr>
          <w:rFonts w:hint="eastAsia" w:ascii="宋体" w:hAnsi="宋体" w:cs="宋体"/>
          <w:sz w:val="22"/>
          <w:szCs w:val="22"/>
          <w:lang w:val="en-US" w:eastAsia="zh-CN"/>
        </w:rPr>
        <w:t>9</w:t>
      </w:r>
      <w:r>
        <w:rPr>
          <w:rFonts w:hint="eastAsia" w:ascii="宋体" w:hAnsi="宋体" w:eastAsia="宋体" w:cs="宋体"/>
          <w:sz w:val="22"/>
          <w:szCs w:val="22"/>
          <w:lang w:eastAsia="zh-CN"/>
        </w:rPr>
        <w:t>月</w:t>
      </w:r>
      <w:r>
        <w:rPr>
          <w:rFonts w:hint="eastAsia" w:ascii="宋体" w:hAnsi="宋体" w:cs="宋体"/>
          <w:sz w:val="22"/>
          <w:szCs w:val="22"/>
          <w:lang w:val="en-US" w:eastAsia="zh-CN"/>
        </w:rPr>
        <w:t>11</w:t>
      </w:r>
      <w:r>
        <w:rPr>
          <w:rFonts w:hint="eastAsia" w:ascii="宋体" w:hAnsi="宋体" w:eastAsia="宋体" w:cs="宋体"/>
          <w:sz w:val="22"/>
          <w:szCs w:val="22"/>
          <w:lang w:eastAsia="zh-CN"/>
        </w:rPr>
        <w:t>日9时00分</w:t>
      </w:r>
      <w:r>
        <w:rPr>
          <w:rFonts w:hint="eastAsia" w:ascii="宋体" w:hAnsi="宋体" w:eastAsia="宋体" w:cs="宋体"/>
          <w:sz w:val="22"/>
          <w:szCs w:val="22"/>
        </w:rPr>
        <w:t>（北京时间）前提交投标文件</w:t>
      </w:r>
      <w:r>
        <w:rPr>
          <w:rFonts w:hint="eastAsia" w:ascii="宋体" w:hAnsi="宋体" w:eastAsia="宋体" w:cs="宋体"/>
          <w:color w:val="auto"/>
          <w:sz w:val="22"/>
          <w:szCs w:val="22"/>
          <w:highlight w:val="none"/>
        </w:rPr>
        <w:t>。</w:t>
      </w:r>
    </w:p>
    <w:p w14:paraId="7F3701B2">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color w:val="auto"/>
          <w:sz w:val="22"/>
          <w:szCs w:val="22"/>
          <w:highlight w:val="none"/>
        </w:rPr>
      </w:pPr>
      <w:r>
        <w:rPr>
          <w:rFonts w:hint="eastAsia" w:ascii="宋体" w:hAnsi="宋体" w:eastAsia="宋体" w:cs="宋体"/>
          <w:b/>
          <w:color w:val="auto"/>
          <w:sz w:val="22"/>
          <w:szCs w:val="22"/>
          <w:highlight w:val="none"/>
        </w:rPr>
        <w:t>1.项目基本情况</w:t>
      </w:r>
    </w:p>
    <w:p w14:paraId="78E06C6A">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color w:val="auto"/>
          <w:sz w:val="22"/>
          <w:szCs w:val="22"/>
          <w:highlight w:val="none"/>
          <w:lang w:val="en-US" w:eastAsia="zh-CN"/>
        </w:rPr>
      </w:pPr>
      <w:r>
        <w:rPr>
          <w:rFonts w:hint="eastAsia" w:ascii="宋体" w:hAnsi="宋体" w:eastAsia="宋体" w:cs="宋体"/>
          <w:color w:val="auto"/>
          <w:sz w:val="22"/>
          <w:szCs w:val="22"/>
          <w:highlight w:val="none"/>
        </w:rPr>
        <w:t>1.项目编号：</w:t>
      </w:r>
      <w:r>
        <w:rPr>
          <w:rFonts w:hint="eastAsia" w:ascii="宋体" w:hAnsi="宋体" w:eastAsia="宋体" w:cs="宋体"/>
          <w:color w:val="auto"/>
          <w:sz w:val="22"/>
          <w:szCs w:val="22"/>
          <w:highlight w:val="none"/>
          <w:lang w:eastAsia="zh-CN"/>
        </w:rPr>
        <w:t>采购计划-[2026]-14116号</w:t>
      </w:r>
      <w:r>
        <w:rPr>
          <w:rFonts w:hint="eastAsia" w:ascii="宋体" w:hAnsi="宋体" w:eastAsia="宋体" w:cs="宋体"/>
          <w:color w:val="auto"/>
          <w:sz w:val="22"/>
          <w:szCs w:val="22"/>
          <w:highlight w:val="none"/>
          <w:lang w:val="en-US" w:eastAsia="zh-CN"/>
        </w:rPr>
        <w:t>-</w:t>
      </w:r>
      <w:r>
        <w:rPr>
          <w:rFonts w:hint="eastAsia" w:ascii="宋体" w:hAnsi="宋体" w:eastAsia="宋体" w:cs="宋体"/>
          <w:color w:val="auto"/>
          <w:sz w:val="22"/>
          <w:szCs w:val="22"/>
          <w:highlight w:val="none"/>
          <w:lang w:eastAsia="zh-CN"/>
        </w:rPr>
        <w:t>202</w:t>
      </w:r>
      <w:r>
        <w:rPr>
          <w:rFonts w:hint="eastAsia" w:ascii="宋体" w:hAnsi="宋体" w:eastAsia="宋体" w:cs="宋体"/>
          <w:color w:val="auto"/>
          <w:sz w:val="22"/>
          <w:szCs w:val="22"/>
          <w:highlight w:val="none"/>
          <w:lang w:val="en-US" w:eastAsia="zh-CN"/>
        </w:rPr>
        <w:t>6</w:t>
      </w:r>
      <w:r>
        <w:rPr>
          <w:rFonts w:hint="eastAsia" w:ascii="宋体" w:hAnsi="宋体" w:eastAsia="宋体" w:cs="宋体"/>
          <w:color w:val="auto"/>
          <w:sz w:val="22"/>
          <w:szCs w:val="22"/>
          <w:highlight w:val="none"/>
          <w:lang w:eastAsia="zh-CN"/>
        </w:rPr>
        <w:t>ZYYC0</w:t>
      </w:r>
      <w:r>
        <w:rPr>
          <w:rFonts w:hint="eastAsia" w:ascii="宋体" w:hAnsi="宋体" w:eastAsia="宋体" w:cs="宋体"/>
          <w:color w:val="auto"/>
          <w:sz w:val="22"/>
          <w:szCs w:val="22"/>
          <w:highlight w:val="none"/>
          <w:lang w:val="en-US" w:eastAsia="zh-CN"/>
        </w:rPr>
        <w:t>7</w:t>
      </w:r>
      <w:r>
        <w:rPr>
          <w:rFonts w:hint="eastAsia" w:ascii="宋体" w:hAnsi="宋体" w:eastAsia="宋体" w:cs="宋体"/>
          <w:color w:val="auto"/>
          <w:sz w:val="22"/>
          <w:szCs w:val="22"/>
          <w:highlight w:val="none"/>
          <w:lang w:eastAsia="zh-CN"/>
        </w:rPr>
        <w:t>0</w:t>
      </w:r>
      <w:r>
        <w:rPr>
          <w:rFonts w:hint="eastAsia" w:ascii="宋体" w:hAnsi="宋体" w:eastAsia="宋体" w:cs="宋体"/>
          <w:color w:val="auto"/>
          <w:sz w:val="22"/>
          <w:szCs w:val="22"/>
          <w:highlight w:val="none"/>
          <w:lang w:val="en-US" w:eastAsia="zh-CN"/>
        </w:rPr>
        <w:t xml:space="preserve">1  </w:t>
      </w:r>
    </w:p>
    <w:p w14:paraId="69365849">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color w:val="auto"/>
          <w:sz w:val="22"/>
          <w:szCs w:val="22"/>
          <w:highlight w:val="none"/>
        </w:rPr>
      </w:pPr>
      <w:r>
        <w:rPr>
          <w:rFonts w:hint="eastAsia" w:ascii="宋体" w:hAnsi="宋体" w:eastAsia="宋体" w:cs="宋体"/>
          <w:color w:val="auto"/>
          <w:sz w:val="22"/>
          <w:szCs w:val="22"/>
          <w:highlight w:val="none"/>
        </w:rPr>
        <w:t>2.项目名称：</w:t>
      </w:r>
      <w:r>
        <w:rPr>
          <w:rFonts w:hint="eastAsia" w:ascii="宋体" w:hAnsi="宋体" w:eastAsia="宋体" w:cs="宋体"/>
          <w:color w:val="auto"/>
          <w:sz w:val="22"/>
          <w:szCs w:val="22"/>
          <w:highlight w:val="none"/>
          <w:lang w:eastAsia="zh-CN"/>
        </w:rPr>
        <w:t>海外知识产权纠纷应对指导服务项目</w:t>
      </w:r>
    </w:p>
    <w:p w14:paraId="29FB1FFF">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color w:val="auto"/>
          <w:sz w:val="22"/>
          <w:szCs w:val="22"/>
          <w:highlight w:val="none"/>
        </w:rPr>
        <w:t>3.</w:t>
      </w:r>
      <w:r>
        <w:rPr>
          <w:rFonts w:hint="eastAsia" w:ascii="宋体" w:hAnsi="宋体" w:eastAsia="宋体" w:cs="宋体"/>
          <w:sz w:val="22"/>
          <w:szCs w:val="22"/>
          <w:highlight w:val="none"/>
        </w:rPr>
        <w:t>预算金额：</w:t>
      </w:r>
      <w:r>
        <w:rPr>
          <w:rFonts w:hint="eastAsia" w:ascii="宋体" w:hAnsi="宋体" w:eastAsia="宋体" w:cs="宋体"/>
          <w:sz w:val="22"/>
          <w:szCs w:val="22"/>
          <w:highlight w:val="none"/>
          <w:lang w:val="en-US" w:eastAsia="zh-CN"/>
        </w:rPr>
        <w:t>401400.00</w:t>
      </w:r>
      <w:r>
        <w:rPr>
          <w:rFonts w:hint="eastAsia" w:ascii="宋体" w:hAnsi="宋体" w:eastAsia="宋体" w:cs="宋体"/>
          <w:sz w:val="22"/>
          <w:szCs w:val="22"/>
          <w:highlight w:val="none"/>
          <w:lang w:eastAsia="zh-CN"/>
        </w:rPr>
        <w:t>元</w:t>
      </w:r>
    </w:p>
    <w:p w14:paraId="5D3FEBC9">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4.最高限价：</w:t>
      </w:r>
      <w:r>
        <w:rPr>
          <w:rFonts w:hint="eastAsia" w:ascii="宋体" w:hAnsi="宋体" w:eastAsia="宋体" w:cs="宋体"/>
          <w:sz w:val="22"/>
          <w:szCs w:val="22"/>
          <w:highlight w:val="none"/>
          <w:lang w:eastAsia="zh-CN"/>
        </w:rPr>
        <w:t>401400.00元</w:t>
      </w:r>
    </w:p>
    <w:p w14:paraId="48002222">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5.采购需求：</w:t>
      </w:r>
      <w:r>
        <w:rPr>
          <w:rFonts w:hint="eastAsia" w:ascii="宋体" w:hAnsi="宋体" w:eastAsia="宋体" w:cs="宋体"/>
          <w:sz w:val="22"/>
          <w:szCs w:val="22"/>
          <w:highlight w:val="none"/>
          <w:lang w:eastAsia="zh-CN"/>
        </w:rPr>
        <w:t>具备独立知识产权，自主可控全球专利检索分析数据库，不接受多个数据库组合，支持IP段访问</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详见第五部分采购需求</w:t>
      </w:r>
      <w:r>
        <w:rPr>
          <w:rFonts w:hint="eastAsia" w:ascii="宋体" w:hAnsi="宋体" w:cs="宋体"/>
          <w:sz w:val="22"/>
          <w:szCs w:val="22"/>
          <w:highlight w:val="none"/>
          <w:lang w:eastAsia="zh-CN"/>
        </w:rPr>
        <w:t>）</w:t>
      </w:r>
      <w:r>
        <w:rPr>
          <w:rFonts w:hint="eastAsia" w:ascii="宋体" w:hAnsi="宋体" w:eastAsia="宋体" w:cs="宋体"/>
          <w:sz w:val="22"/>
          <w:szCs w:val="22"/>
          <w:highlight w:val="none"/>
          <w:lang w:eastAsia="zh-CN"/>
        </w:rPr>
        <w:t>。</w:t>
      </w:r>
    </w:p>
    <w:p w14:paraId="537399AA">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6</w:t>
      </w:r>
      <w:r>
        <w:rPr>
          <w:rFonts w:hint="eastAsia" w:ascii="宋体" w:hAnsi="宋体" w:eastAsia="宋体" w:cs="宋体"/>
          <w:sz w:val="22"/>
          <w:szCs w:val="22"/>
          <w:highlight w:val="none"/>
        </w:rPr>
        <w:t>.合同履行期限：</w:t>
      </w:r>
      <w:r>
        <w:rPr>
          <w:rFonts w:hint="eastAsia" w:ascii="宋体" w:hAnsi="宋体" w:eastAsia="宋体" w:cs="宋体"/>
          <w:sz w:val="22"/>
          <w:szCs w:val="22"/>
          <w:highlight w:val="none"/>
          <w:lang w:eastAsia="zh-CN"/>
        </w:rPr>
        <w:t>合同签订后一年</w:t>
      </w:r>
    </w:p>
    <w:p w14:paraId="25DDBE1A">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7</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服务地点</w:t>
      </w:r>
      <w:r>
        <w:rPr>
          <w:rFonts w:hint="eastAsia" w:ascii="宋体" w:hAnsi="宋体" w:eastAsia="宋体" w:cs="宋体"/>
          <w:sz w:val="22"/>
          <w:szCs w:val="22"/>
          <w:highlight w:val="none"/>
        </w:rPr>
        <w:t>：</w:t>
      </w:r>
      <w:r>
        <w:rPr>
          <w:rFonts w:hint="eastAsia" w:ascii="宋体" w:hAnsi="宋体" w:eastAsia="宋体" w:cs="宋体"/>
          <w:sz w:val="22"/>
          <w:szCs w:val="22"/>
          <w:highlight w:val="none"/>
          <w:lang w:eastAsia="zh-CN"/>
        </w:rPr>
        <w:t>长春</w:t>
      </w:r>
    </w:p>
    <w:p w14:paraId="4A076555">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8</w:t>
      </w:r>
      <w:r>
        <w:rPr>
          <w:rFonts w:hint="eastAsia" w:ascii="宋体" w:hAnsi="宋体" w:eastAsia="宋体" w:cs="宋体"/>
          <w:sz w:val="22"/>
          <w:szCs w:val="22"/>
          <w:highlight w:val="none"/>
        </w:rPr>
        <w:t>.质量标准：符合国家及相关行业合格标准</w:t>
      </w:r>
    </w:p>
    <w:p w14:paraId="06E1F1DB">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lang w:val="en-US" w:eastAsia="zh-CN"/>
        </w:rPr>
        <w:t>9</w:t>
      </w:r>
      <w:r>
        <w:rPr>
          <w:rFonts w:hint="eastAsia" w:ascii="宋体" w:hAnsi="宋体" w:eastAsia="宋体" w:cs="宋体"/>
          <w:sz w:val="22"/>
          <w:szCs w:val="22"/>
          <w:highlight w:val="none"/>
        </w:rPr>
        <w:t>.本项目不接受联合体投标</w:t>
      </w:r>
    </w:p>
    <w:p w14:paraId="2F32A9F3">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rPr>
      </w:pPr>
      <w:bookmarkStart w:id="3" w:name="_Toc35393791"/>
      <w:bookmarkStart w:id="4" w:name="_Toc35393622"/>
      <w:bookmarkStart w:id="5" w:name="_Toc28359080"/>
      <w:bookmarkStart w:id="6" w:name="_Toc28359003"/>
      <w:r>
        <w:rPr>
          <w:rFonts w:hint="eastAsia" w:ascii="宋体" w:hAnsi="宋体" w:eastAsia="宋体" w:cs="宋体"/>
          <w:b/>
          <w:sz w:val="22"/>
          <w:szCs w:val="22"/>
          <w:highlight w:val="none"/>
        </w:rPr>
        <w:t>2.投标人的资格要求：</w:t>
      </w:r>
      <w:bookmarkEnd w:id="3"/>
      <w:bookmarkEnd w:id="4"/>
      <w:bookmarkEnd w:id="5"/>
      <w:bookmarkEnd w:id="6"/>
    </w:p>
    <w:p w14:paraId="6E119F34">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lang w:eastAsia="zh-CN"/>
        </w:rPr>
      </w:pPr>
      <w:bookmarkStart w:id="7" w:name="_Toc28359004"/>
      <w:bookmarkStart w:id="8" w:name="_Toc35393792"/>
      <w:bookmarkStart w:id="9" w:name="_Toc35393623"/>
      <w:bookmarkStart w:id="10" w:name="_Toc28359081"/>
      <w:r>
        <w:rPr>
          <w:rFonts w:hint="eastAsia" w:ascii="宋体" w:hAnsi="宋体" w:eastAsia="宋体" w:cs="宋体"/>
          <w:sz w:val="22"/>
          <w:szCs w:val="22"/>
        </w:rPr>
        <w:t>1.满足《中华人民共和国政府采购法》第二十二条规定</w:t>
      </w:r>
      <w:r>
        <w:rPr>
          <w:rFonts w:hint="eastAsia" w:ascii="宋体" w:hAnsi="宋体" w:eastAsia="宋体" w:cs="宋体"/>
          <w:sz w:val="22"/>
          <w:szCs w:val="22"/>
          <w:lang w:eastAsia="zh-CN"/>
        </w:rPr>
        <w:t>。</w:t>
      </w:r>
    </w:p>
    <w:p w14:paraId="7C6EA267">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rPr>
        <w:t>2.落实政府采购政策需满足的资格要求：本项目专门面向中小企业采购</w:t>
      </w:r>
      <w:r>
        <w:rPr>
          <w:rFonts w:hint="eastAsia" w:ascii="宋体" w:hAnsi="宋体" w:eastAsia="宋体" w:cs="宋体"/>
          <w:sz w:val="22"/>
          <w:szCs w:val="22"/>
          <w:lang w:eastAsia="zh-CN"/>
        </w:rPr>
        <w:t>。</w:t>
      </w:r>
      <w:bookmarkStart w:id="74" w:name="_GoBack"/>
      <w:bookmarkEnd w:id="74"/>
    </w:p>
    <w:p w14:paraId="1268ACCB">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lang w:val="en-US" w:eastAsia="zh-CN"/>
        </w:rPr>
      </w:pPr>
      <w:r>
        <w:rPr>
          <w:rFonts w:hint="eastAsia" w:ascii="宋体" w:hAnsi="宋体" w:eastAsia="宋体" w:cs="宋体"/>
          <w:sz w:val="22"/>
          <w:szCs w:val="22"/>
        </w:rPr>
        <w:t>3.本项目的特定资格要求：</w:t>
      </w:r>
      <w:r>
        <w:rPr>
          <w:rFonts w:hint="eastAsia" w:ascii="宋体" w:hAnsi="宋体" w:eastAsia="宋体" w:cs="宋体"/>
          <w:sz w:val="22"/>
          <w:szCs w:val="22"/>
          <w:lang w:val="en-US" w:eastAsia="zh-CN"/>
        </w:rPr>
        <w:t>无。</w:t>
      </w:r>
    </w:p>
    <w:p w14:paraId="1DCC9468">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rPr>
        <w:t>3.获取招标文件</w:t>
      </w:r>
      <w:bookmarkEnd w:id="7"/>
      <w:bookmarkEnd w:id="8"/>
      <w:bookmarkEnd w:id="9"/>
      <w:bookmarkEnd w:id="10"/>
    </w:p>
    <w:p w14:paraId="22F1FC39">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bookmarkStart w:id="11" w:name="_Toc28359005"/>
      <w:bookmarkStart w:id="12" w:name="_Toc35393793"/>
      <w:bookmarkStart w:id="13" w:name="_Toc35393624"/>
      <w:bookmarkStart w:id="14" w:name="_Toc28359082"/>
      <w:r>
        <w:rPr>
          <w:rFonts w:hint="eastAsia" w:ascii="宋体" w:hAnsi="宋体" w:eastAsia="宋体" w:cs="宋体"/>
          <w:sz w:val="22"/>
          <w:szCs w:val="22"/>
          <w:highlight w:val="none"/>
        </w:rPr>
        <w:t>1.时间：</w:t>
      </w:r>
      <w:r>
        <w:rPr>
          <w:rFonts w:hint="eastAsia" w:ascii="宋体" w:hAnsi="宋体" w:eastAsia="宋体" w:cs="宋体"/>
          <w:sz w:val="22"/>
          <w:szCs w:val="22"/>
          <w:highlight w:val="none"/>
          <w:lang w:eastAsia="zh-CN"/>
        </w:rPr>
        <w:t>2026年</w:t>
      </w:r>
      <w:r>
        <w:rPr>
          <w:rFonts w:hint="eastAsia" w:ascii="宋体" w:hAnsi="宋体" w:cs="宋体"/>
          <w:sz w:val="22"/>
          <w:szCs w:val="22"/>
          <w:highlight w:val="none"/>
          <w:lang w:val="en-US" w:eastAsia="zh-CN"/>
        </w:rPr>
        <w:t>8</w:t>
      </w:r>
      <w:r>
        <w:rPr>
          <w:rFonts w:hint="eastAsia" w:ascii="宋体" w:hAnsi="宋体" w:eastAsia="宋体" w:cs="宋体"/>
          <w:sz w:val="22"/>
          <w:szCs w:val="22"/>
          <w:highlight w:val="none"/>
          <w:lang w:eastAsia="zh-CN"/>
        </w:rPr>
        <w:t>月</w:t>
      </w:r>
      <w:r>
        <w:rPr>
          <w:rFonts w:hint="eastAsia" w:ascii="宋体" w:hAnsi="宋体" w:cs="宋体"/>
          <w:sz w:val="22"/>
          <w:szCs w:val="22"/>
          <w:highlight w:val="none"/>
          <w:lang w:val="en-US" w:eastAsia="zh-CN"/>
        </w:rPr>
        <w:t>5</w:t>
      </w:r>
      <w:r>
        <w:rPr>
          <w:rFonts w:hint="eastAsia" w:ascii="宋体" w:hAnsi="宋体" w:eastAsia="宋体" w:cs="宋体"/>
          <w:sz w:val="22"/>
          <w:szCs w:val="22"/>
          <w:highlight w:val="none"/>
          <w:lang w:eastAsia="zh-CN"/>
        </w:rPr>
        <w:t>日0:00起至2026年</w:t>
      </w:r>
      <w:r>
        <w:rPr>
          <w:rFonts w:hint="eastAsia" w:ascii="宋体" w:hAnsi="宋体" w:cs="宋体"/>
          <w:sz w:val="22"/>
          <w:szCs w:val="22"/>
          <w:highlight w:val="none"/>
          <w:lang w:val="en-US" w:eastAsia="zh-CN"/>
        </w:rPr>
        <w:t>8</w:t>
      </w:r>
      <w:r>
        <w:rPr>
          <w:rFonts w:hint="eastAsia" w:ascii="宋体" w:hAnsi="宋体" w:eastAsia="宋体" w:cs="宋体"/>
          <w:sz w:val="22"/>
          <w:szCs w:val="22"/>
          <w:highlight w:val="none"/>
          <w:lang w:eastAsia="zh-CN"/>
        </w:rPr>
        <w:t>月</w:t>
      </w:r>
      <w:r>
        <w:rPr>
          <w:rFonts w:hint="eastAsia" w:ascii="宋体" w:hAnsi="宋体" w:eastAsia="宋体" w:cs="宋体"/>
          <w:sz w:val="22"/>
          <w:szCs w:val="22"/>
          <w:highlight w:val="none"/>
          <w:lang w:val="en-US" w:eastAsia="zh-CN"/>
        </w:rPr>
        <w:t>1</w:t>
      </w:r>
      <w:r>
        <w:rPr>
          <w:rFonts w:hint="eastAsia" w:ascii="宋体" w:hAnsi="宋体" w:cs="宋体"/>
          <w:sz w:val="22"/>
          <w:szCs w:val="22"/>
          <w:highlight w:val="none"/>
          <w:lang w:val="en-US" w:eastAsia="zh-CN"/>
        </w:rPr>
        <w:t>2</w:t>
      </w:r>
      <w:r>
        <w:rPr>
          <w:rFonts w:hint="eastAsia" w:ascii="宋体" w:hAnsi="宋体" w:eastAsia="宋体" w:cs="宋体"/>
          <w:sz w:val="22"/>
          <w:szCs w:val="22"/>
          <w:highlight w:val="none"/>
          <w:lang w:eastAsia="zh-CN"/>
        </w:rPr>
        <w:t>日23：59止。</w:t>
      </w:r>
    </w:p>
    <w:p w14:paraId="1B885EA8">
      <w:pPr>
        <w:pStyle w:val="134"/>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2.地点：政采云平台线上获取；</w:t>
      </w:r>
    </w:p>
    <w:p w14:paraId="0CB6C827">
      <w:pPr>
        <w:pStyle w:val="134"/>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3.方式：</w:t>
      </w:r>
      <w:r>
        <w:rPr>
          <w:rFonts w:hint="eastAsia" w:ascii="宋体" w:hAnsi="宋体" w:eastAsia="宋体" w:cs="宋体"/>
          <w:bCs/>
          <w:sz w:val="21"/>
          <w:szCs w:val="21"/>
          <w:highlight w:val="none"/>
          <w:lang w:val="en-US" w:eastAsia="zh-CN"/>
        </w:rPr>
        <w:t>投标人</w:t>
      </w:r>
      <w:r>
        <w:rPr>
          <w:rFonts w:hint="eastAsia" w:ascii="宋体" w:hAnsi="宋体" w:eastAsia="宋体" w:cs="宋体"/>
          <w:sz w:val="22"/>
          <w:szCs w:val="22"/>
        </w:rPr>
        <w:t>登录“政采云”平台（网址：http:// www.zcygov.cn）在线申请获取招标文件（进入“项目采购”应用，在获取采购文件菜单中选择项目，申请获取采购文件）；</w:t>
      </w:r>
    </w:p>
    <w:p w14:paraId="4CFB5A63">
      <w:pPr>
        <w:pStyle w:val="134"/>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rPr>
        <w:t>4.售价：0元。</w:t>
      </w:r>
    </w:p>
    <w:p w14:paraId="4360F9A0">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lang w:val="en-US" w:eastAsia="zh-CN"/>
        </w:rPr>
      </w:pPr>
      <w:r>
        <w:rPr>
          <w:rFonts w:hint="eastAsia" w:ascii="宋体" w:hAnsi="宋体" w:eastAsia="宋体" w:cs="宋体"/>
          <w:b/>
          <w:sz w:val="22"/>
          <w:szCs w:val="22"/>
          <w:highlight w:val="none"/>
        </w:rPr>
        <w:t>4.</w:t>
      </w:r>
      <w:bookmarkEnd w:id="11"/>
      <w:bookmarkEnd w:id="12"/>
      <w:bookmarkEnd w:id="13"/>
      <w:bookmarkEnd w:id="14"/>
      <w:r>
        <w:rPr>
          <w:rFonts w:hint="eastAsia" w:ascii="宋体" w:hAnsi="宋体" w:eastAsia="宋体" w:cs="宋体"/>
          <w:b/>
          <w:sz w:val="22"/>
          <w:szCs w:val="22"/>
          <w:highlight w:val="none"/>
        </w:rPr>
        <w:t>投标文件</w:t>
      </w:r>
      <w:r>
        <w:rPr>
          <w:rFonts w:hint="eastAsia" w:ascii="宋体" w:hAnsi="宋体" w:eastAsia="宋体" w:cs="宋体"/>
          <w:b/>
          <w:sz w:val="22"/>
          <w:szCs w:val="22"/>
          <w:highlight w:val="none"/>
          <w:lang w:eastAsia="zh-CN"/>
        </w:rPr>
        <w:t>的</w:t>
      </w:r>
      <w:r>
        <w:rPr>
          <w:rFonts w:hint="eastAsia" w:ascii="宋体" w:hAnsi="宋体" w:eastAsia="宋体" w:cs="宋体"/>
          <w:b/>
          <w:sz w:val="22"/>
          <w:szCs w:val="22"/>
          <w:highlight w:val="none"/>
          <w:lang w:val="en-US" w:eastAsia="zh-CN"/>
        </w:rPr>
        <w:t>递交</w:t>
      </w:r>
    </w:p>
    <w:p w14:paraId="18D299E8">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1.截止时间：</w:t>
      </w:r>
      <w:r>
        <w:rPr>
          <w:rFonts w:hint="eastAsia" w:ascii="宋体" w:hAnsi="宋体" w:eastAsia="宋体" w:cs="宋体"/>
          <w:sz w:val="22"/>
          <w:szCs w:val="22"/>
          <w:highlight w:val="none"/>
        </w:rPr>
        <w:t>2026年</w:t>
      </w:r>
      <w:r>
        <w:rPr>
          <w:rFonts w:hint="eastAsia" w:ascii="宋体" w:hAnsi="宋体" w:cs="宋体"/>
          <w:sz w:val="22"/>
          <w:szCs w:val="22"/>
          <w:highlight w:val="none"/>
          <w:lang w:val="en-US" w:eastAsia="zh-CN"/>
        </w:rPr>
        <w:t>9</w:t>
      </w:r>
      <w:r>
        <w:rPr>
          <w:rFonts w:hint="eastAsia" w:ascii="宋体" w:hAnsi="宋体" w:eastAsia="宋体" w:cs="宋体"/>
          <w:sz w:val="22"/>
          <w:szCs w:val="22"/>
          <w:highlight w:val="none"/>
        </w:rPr>
        <w:t>月</w:t>
      </w:r>
      <w:r>
        <w:rPr>
          <w:rFonts w:hint="eastAsia" w:ascii="宋体" w:hAnsi="宋体" w:cs="宋体"/>
          <w:sz w:val="22"/>
          <w:szCs w:val="22"/>
          <w:highlight w:val="none"/>
          <w:lang w:val="en-US" w:eastAsia="zh-CN"/>
        </w:rPr>
        <w:t>11</w:t>
      </w:r>
      <w:r>
        <w:rPr>
          <w:rFonts w:hint="eastAsia" w:ascii="宋体" w:hAnsi="宋体" w:eastAsia="宋体" w:cs="宋体"/>
          <w:sz w:val="22"/>
          <w:szCs w:val="22"/>
          <w:highlight w:val="none"/>
        </w:rPr>
        <w:t>日</w:t>
      </w:r>
      <w:r>
        <w:rPr>
          <w:rFonts w:hint="eastAsia" w:ascii="宋体" w:hAnsi="宋体" w:eastAsia="宋体" w:cs="宋体"/>
          <w:sz w:val="22"/>
          <w:szCs w:val="22"/>
          <w:highlight w:val="none"/>
          <w:lang w:val="en-US" w:eastAsia="zh-CN"/>
        </w:rPr>
        <w:t>9</w:t>
      </w:r>
      <w:r>
        <w:rPr>
          <w:rFonts w:hint="eastAsia" w:ascii="宋体" w:hAnsi="宋体" w:eastAsia="宋体" w:cs="宋体"/>
          <w:sz w:val="22"/>
          <w:szCs w:val="22"/>
          <w:highlight w:val="none"/>
        </w:rPr>
        <w:t>时</w:t>
      </w:r>
      <w:r>
        <w:rPr>
          <w:rFonts w:hint="eastAsia" w:ascii="宋体" w:hAnsi="宋体" w:eastAsia="宋体" w:cs="宋体"/>
          <w:sz w:val="22"/>
          <w:szCs w:val="22"/>
          <w:highlight w:val="none"/>
          <w:lang w:val="en-US" w:eastAsia="zh-CN"/>
        </w:rPr>
        <w:t>0</w:t>
      </w:r>
      <w:r>
        <w:rPr>
          <w:rFonts w:hint="eastAsia" w:ascii="宋体" w:hAnsi="宋体" w:eastAsia="宋体" w:cs="宋体"/>
          <w:sz w:val="22"/>
          <w:szCs w:val="22"/>
          <w:highlight w:val="none"/>
        </w:rPr>
        <w:t>0分</w:t>
      </w:r>
      <w:r>
        <w:rPr>
          <w:rFonts w:hint="eastAsia" w:ascii="宋体" w:hAnsi="宋体" w:eastAsia="宋体" w:cs="宋体"/>
          <w:sz w:val="22"/>
          <w:szCs w:val="22"/>
        </w:rPr>
        <w:t>（北京时间）</w:t>
      </w:r>
    </w:p>
    <w:p w14:paraId="5ED5694B">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2.投标地点（网址）：请登录政采云投标客户端投标</w:t>
      </w:r>
    </w:p>
    <w:p w14:paraId="069898B6">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3.响应文件提交方式：本项目为全流程电子化项目，通过“政采云”平台（http：//www.zcygov.cn）实行在线电子投标，</w:t>
      </w:r>
      <w:r>
        <w:rPr>
          <w:rFonts w:hint="eastAsia" w:ascii="宋体" w:hAnsi="宋体" w:eastAsia="宋体" w:cs="宋体"/>
          <w:bCs/>
          <w:sz w:val="21"/>
          <w:szCs w:val="21"/>
          <w:highlight w:val="none"/>
          <w:lang w:val="en-US" w:eastAsia="zh-CN"/>
        </w:rPr>
        <w:t>投标人</w:t>
      </w:r>
      <w:r>
        <w:rPr>
          <w:rFonts w:hint="eastAsia" w:ascii="宋体" w:hAnsi="宋体" w:eastAsia="宋体" w:cs="宋体"/>
          <w:sz w:val="22"/>
          <w:szCs w:val="22"/>
        </w:rPr>
        <w:t>应先安装“政采云投标客户端”（请自行前往“政采云”平台进行下载），并按照本项目磋商文件和“政采云”平台的要求编制、加密后在响应文件截止时间前通过网络上传至“政采云”平台，</w:t>
      </w:r>
      <w:r>
        <w:rPr>
          <w:rFonts w:hint="eastAsia" w:ascii="宋体" w:hAnsi="宋体" w:eastAsia="宋体" w:cs="宋体"/>
          <w:bCs/>
          <w:sz w:val="21"/>
          <w:szCs w:val="21"/>
          <w:highlight w:val="none"/>
          <w:lang w:val="en-US" w:eastAsia="zh-CN"/>
        </w:rPr>
        <w:t>投标人</w:t>
      </w:r>
      <w:r>
        <w:rPr>
          <w:rFonts w:hint="eastAsia" w:ascii="宋体" w:hAnsi="宋体" w:eastAsia="宋体" w:cs="宋体"/>
          <w:sz w:val="22"/>
          <w:szCs w:val="22"/>
        </w:rPr>
        <w:t>在“政采云”平台提交电子版响应文件时，请填写参加采购活动经办人联系方式。</w:t>
      </w:r>
    </w:p>
    <w:p w14:paraId="1BD8408F">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4.电子响应文件解密期限及方式：开启时间后30分钟内，由</w:t>
      </w:r>
      <w:r>
        <w:rPr>
          <w:rFonts w:hint="eastAsia" w:ascii="宋体" w:hAnsi="宋体" w:eastAsia="宋体" w:cs="宋体"/>
          <w:sz w:val="22"/>
          <w:szCs w:val="22"/>
          <w:lang w:eastAsia="zh-CN"/>
        </w:rPr>
        <w:t>投标人</w:t>
      </w:r>
      <w:r>
        <w:rPr>
          <w:rFonts w:hint="eastAsia" w:ascii="宋体" w:hAnsi="宋体" w:eastAsia="宋体" w:cs="宋体"/>
          <w:sz w:val="22"/>
          <w:szCs w:val="22"/>
        </w:rPr>
        <w:t>持制作该电子响应文件的同一数字证书（CA锁）及电脑自行进行远程解密。</w:t>
      </w:r>
    </w:p>
    <w:p w14:paraId="1CC88FEA">
      <w:pPr>
        <w:keepNext w:val="0"/>
        <w:keepLines w:val="0"/>
        <w:pageBreakBefore w:val="0"/>
        <w:widowControl/>
        <w:kinsoku/>
        <w:wordWrap w:val="0"/>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5.CA锁办理网址：请</w:t>
      </w:r>
      <w:r>
        <w:rPr>
          <w:rFonts w:hint="eastAsia" w:ascii="宋体" w:hAnsi="宋体" w:eastAsia="宋体" w:cs="宋体"/>
          <w:sz w:val="22"/>
          <w:szCs w:val="22"/>
          <w:lang w:eastAsia="zh-CN"/>
        </w:rPr>
        <w:t>投标人</w:t>
      </w:r>
      <w:r>
        <w:rPr>
          <w:rFonts w:hint="eastAsia" w:ascii="宋体" w:hAnsi="宋体" w:eastAsia="宋体" w:cs="宋体"/>
          <w:sz w:val="22"/>
          <w:szCs w:val="22"/>
        </w:rPr>
        <w:t>自行办理CA锁，网址链接http://www.anxinca.com/kehu/zcy/kh-zcy-zsshenqing.html；办理联系方式：95763。</w:t>
      </w:r>
    </w:p>
    <w:p w14:paraId="2A689C62">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6.收到 CA锁以后在“政采云”登录界面，点击 CA 登录-CA 驱动下载-下载并安装政采云投标客户端和安信CA驱动，账号绑定CA后才能进行报价文件制作。</w:t>
      </w:r>
    </w:p>
    <w:p w14:paraId="128F9CC2">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rPr>
        <w:t>7.未进行网上注册并办理 CA 认证的响应人将无法参与本次采购活动。数字证书办理时限为3-5个工作日，响应人须自行考虑办理时间，由于响应人自身原因在开启前无法完成办理，后果自负。</w:t>
      </w:r>
    </w:p>
    <w:p w14:paraId="3F9278D9">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lang w:eastAsia="zh-CN"/>
        </w:rPr>
      </w:pPr>
      <w:bookmarkStart w:id="15" w:name="_Toc35393625"/>
      <w:bookmarkStart w:id="16" w:name="_Toc28359084"/>
      <w:bookmarkStart w:id="17" w:name="_Toc35393794"/>
      <w:bookmarkStart w:id="18" w:name="_Toc28359007"/>
      <w:r>
        <w:rPr>
          <w:rFonts w:hint="eastAsia" w:ascii="宋体" w:hAnsi="宋体" w:eastAsia="宋体" w:cs="宋体"/>
          <w:b/>
          <w:sz w:val="22"/>
          <w:szCs w:val="22"/>
          <w:highlight w:val="none"/>
        </w:rPr>
        <w:t>5.</w:t>
      </w:r>
      <w:r>
        <w:rPr>
          <w:rFonts w:hint="eastAsia" w:ascii="宋体" w:hAnsi="宋体" w:eastAsia="宋体" w:cs="宋体"/>
          <w:b/>
          <w:sz w:val="22"/>
          <w:szCs w:val="22"/>
          <w:highlight w:val="none"/>
          <w:lang w:val="en-US" w:eastAsia="zh-CN"/>
        </w:rPr>
        <w:t>开启</w:t>
      </w:r>
    </w:p>
    <w:p w14:paraId="4A77F264">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1.时间：2026年</w:t>
      </w:r>
      <w:r>
        <w:rPr>
          <w:rFonts w:hint="eastAsia" w:ascii="宋体" w:hAnsi="宋体" w:cs="宋体"/>
          <w:sz w:val="22"/>
          <w:szCs w:val="22"/>
          <w:lang w:val="en-US" w:eastAsia="zh-CN"/>
        </w:rPr>
        <w:t>9</w:t>
      </w:r>
      <w:r>
        <w:rPr>
          <w:rFonts w:hint="eastAsia" w:ascii="宋体" w:hAnsi="宋体" w:eastAsia="宋体" w:cs="宋体"/>
          <w:sz w:val="22"/>
          <w:szCs w:val="22"/>
        </w:rPr>
        <w:t>月</w:t>
      </w:r>
      <w:r>
        <w:rPr>
          <w:rFonts w:hint="eastAsia" w:ascii="宋体" w:hAnsi="宋体" w:cs="宋体"/>
          <w:sz w:val="22"/>
          <w:szCs w:val="22"/>
          <w:lang w:val="en-US" w:eastAsia="zh-CN"/>
        </w:rPr>
        <w:t>11</w:t>
      </w:r>
      <w:r>
        <w:rPr>
          <w:rFonts w:hint="eastAsia" w:ascii="宋体" w:hAnsi="宋体" w:eastAsia="宋体" w:cs="宋体"/>
          <w:sz w:val="22"/>
          <w:szCs w:val="22"/>
        </w:rPr>
        <w:t>日</w:t>
      </w:r>
      <w:r>
        <w:rPr>
          <w:rFonts w:hint="eastAsia" w:ascii="宋体" w:hAnsi="宋体" w:eastAsia="宋体" w:cs="宋体"/>
          <w:sz w:val="22"/>
          <w:szCs w:val="22"/>
          <w:lang w:val="en-US" w:eastAsia="zh-CN"/>
        </w:rPr>
        <w:t>9</w:t>
      </w:r>
      <w:r>
        <w:rPr>
          <w:rFonts w:hint="eastAsia" w:ascii="宋体" w:hAnsi="宋体" w:eastAsia="宋体" w:cs="宋体"/>
          <w:sz w:val="22"/>
          <w:szCs w:val="22"/>
        </w:rPr>
        <w:t>时</w:t>
      </w:r>
      <w:r>
        <w:rPr>
          <w:rFonts w:hint="eastAsia" w:ascii="宋体" w:hAnsi="宋体" w:eastAsia="宋体" w:cs="宋体"/>
          <w:sz w:val="22"/>
          <w:szCs w:val="22"/>
          <w:lang w:val="en-US" w:eastAsia="zh-CN"/>
        </w:rPr>
        <w:t>0</w:t>
      </w:r>
      <w:r>
        <w:rPr>
          <w:rFonts w:hint="eastAsia" w:ascii="宋体" w:hAnsi="宋体" w:eastAsia="宋体" w:cs="宋体"/>
          <w:sz w:val="22"/>
          <w:szCs w:val="22"/>
        </w:rPr>
        <w:t>0分（北京时间）</w:t>
      </w:r>
    </w:p>
    <w:p w14:paraId="7391CB21">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rPr>
      </w:pPr>
      <w:r>
        <w:rPr>
          <w:rFonts w:hint="eastAsia" w:ascii="宋体" w:hAnsi="宋体" w:eastAsia="宋体" w:cs="宋体"/>
          <w:sz w:val="22"/>
          <w:szCs w:val="22"/>
        </w:rPr>
        <w:t>2.地点：南关区人民大街9999号吉林省公共资源交易中心4楼开标区 联系方式：0431-82752735开标仓-15室</w:t>
      </w:r>
    </w:p>
    <w:p w14:paraId="4A4DCA3A">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lang w:val="en-US" w:eastAsia="zh-CN"/>
        </w:rPr>
        <w:t>6</w:t>
      </w:r>
      <w:r>
        <w:rPr>
          <w:rFonts w:hint="eastAsia" w:ascii="宋体" w:hAnsi="宋体" w:eastAsia="宋体" w:cs="宋体"/>
          <w:b/>
          <w:sz w:val="22"/>
          <w:szCs w:val="22"/>
          <w:highlight w:val="none"/>
        </w:rPr>
        <w:t>.公告期限</w:t>
      </w:r>
      <w:bookmarkEnd w:id="15"/>
      <w:bookmarkEnd w:id="16"/>
      <w:bookmarkEnd w:id="17"/>
      <w:bookmarkEnd w:id="18"/>
    </w:p>
    <w:p w14:paraId="441E4D3C">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kern w:val="2"/>
          <w:sz w:val="22"/>
          <w:szCs w:val="22"/>
          <w:highlight w:val="none"/>
        </w:rPr>
        <w:t>自本公告发布之日起5个工作日</w:t>
      </w:r>
      <w:r>
        <w:rPr>
          <w:rFonts w:hint="eastAsia" w:ascii="宋体" w:hAnsi="宋体" w:eastAsia="宋体" w:cs="宋体"/>
          <w:sz w:val="22"/>
          <w:szCs w:val="22"/>
          <w:highlight w:val="none"/>
        </w:rPr>
        <w:t>。</w:t>
      </w:r>
    </w:p>
    <w:p w14:paraId="531EC877">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lang w:val="en-US" w:eastAsia="zh-CN"/>
        </w:rPr>
        <w:t>7</w:t>
      </w:r>
      <w:r>
        <w:rPr>
          <w:rFonts w:hint="eastAsia" w:ascii="宋体" w:hAnsi="宋体" w:eastAsia="宋体" w:cs="宋体"/>
          <w:b/>
          <w:sz w:val="22"/>
          <w:szCs w:val="22"/>
          <w:highlight w:val="none"/>
        </w:rPr>
        <w:t>.其他补充事宜</w:t>
      </w:r>
    </w:p>
    <w:p w14:paraId="500F85DA">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lang w:eastAsia="zh-CN"/>
        </w:rPr>
      </w:pPr>
      <w:r>
        <w:rPr>
          <w:rFonts w:hint="eastAsia" w:ascii="宋体" w:hAnsi="宋体" w:eastAsia="宋体" w:cs="宋体"/>
          <w:sz w:val="22"/>
          <w:szCs w:val="22"/>
        </w:rPr>
        <w:t>1.采购公告发布媒介：政采云平台同步推送至吉林省政府采购网和中国政府采购网</w:t>
      </w:r>
      <w:r>
        <w:rPr>
          <w:rFonts w:hint="eastAsia" w:ascii="宋体" w:hAnsi="宋体" w:eastAsia="宋体" w:cs="宋体"/>
          <w:sz w:val="22"/>
          <w:szCs w:val="22"/>
          <w:lang w:eastAsia="zh-CN"/>
        </w:rPr>
        <w:t>；</w:t>
      </w:r>
    </w:p>
    <w:p w14:paraId="727EECCB">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lang w:val="en-US" w:eastAsia="zh-CN"/>
        </w:rPr>
      </w:pPr>
      <w:bookmarkStart w:id="19" w:name="_Toc35393796"/>
      <w:bookmarkStart w:id="20" w:name="_Toc28359085"/>
      <w:bookmarkStart w:id="21" w:name="_Toc28359008"/>
      <w:bookmarkStart w:id="22" w:name="_Toc35393627"/>
      <w:r>
        <w:rPr>
          <w:rFonts w:hint="eastAsia" w:ascii="宋体" w:hAnsi="宋体" w:eastAsia="宋体" w:cs="宋体"/>
          <w:sz w:val="22"/>
          <w:szCs w:val="22"/>
          <w:lang w:val="en-US" w:eastAsia="zh-CN"/>
        </w:rPr>
        <w:t>2.采购项目需要落实的政府采购政策：关于印发《政府采购促进中小企业发展管理办法》的通知（财库〔2020〕46号）、《关于进一步加大政府采购支持中小企业力度的通知》（财库〔2022〕19号）、《关于政府采购支持监狱企业发展有关问题的通知》(财库[2014]68号)、《三部门联合发布关于促进残疾人就业政府采购政策的通知》(财库[2017]141号)、《关于调整优化节能产品、环境标志产品政府采购执行机制的通知》(财库[2019]9号)等。</w:t>
      </w:r>
    </w:p>
    <w:p w14:paraId="1438D913">
      <w:pPr>
        <w:keepNext w:val="0"/>
        <w:keepLines w:val="0"/>
        <w:pageBreakBefore w:val="0"/>
        <w:kinsoku/>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lang w:val="en-US" w:eastAsia="zh-CN"/>
        </w:rPr>
      </w:pPr>
      <w:r>
        <w:rPr>
          <w:rFonts w:hint="eastAsia" w:ascii="宋体" w:hAnsi="宋体" w:eastAsia="宋体" w:cs="宋体"/>
          <w:sz w:val="22"/>
          <w:szCs w:val="22"/>
          <w:lang w:val="en-US" w:eastAsia="zh-CN"/>
        </w:rPr>
        <w:t>3.依据《吉林省财政厅印发&lt;关于开展“双盲”评审有关工作的通知&gt;》相关要求，本项目采用“双盲”评审。投标人应按照采购文件要求对响应文件的商务标“明标”、技术标“暗标”分开制作，磋商小组按要求对商务标采取明标评审、对技术标采取暗标评审。</w:t>
      </w:r>
    </w:p>
    <w:p w14:paraId="2B87D6E3">
      <w:pPr>
        <w:keepNext w:val="0"/>
        <w:keepLines w:val="0"/>
        <w:pageBreakBefore w:val="0"/>
        <w:kinsoku/>
        <w:wordWrap/>
        <w:overflowPunct/>
        <w:topLinePunct w:val="0"/>
        <w:autoSpaceDE/>
        <w:autoSpaceDN/>
        <w:bidi w:val="0"/>
        <w:adjustRightInd/>
        <w:snapToGrid/>
        <w:spacing w:line="380" w:lineRule="exact"/>
        <w:textAlignment w:val="auto"/>
        <w:rPr>
          <w:rFonts w:hint="eastAsia" w:ascii="宋体" w:hAnsi="宋体" w:eastAsia="宋体" w:cs="宋体"/>
          <w:b/>
          <w:sz w:val="22"/>
          <w:szCs w:val="22"/>
          <w:highlight w:val="none"/>
        </w:rPr>
      </w:pPr>
      <w:r>
        <w:rPr>
          <w:rFonts w:hint="eastAsia" w:ascii="宋体" w:hAnsi="宋体" w:eastAsia="宋体" w:cs="宋体"/>
          <w:b/>
          <w:sz w:val="22"/>
          <w:szCs w:val="22"/>
          <w:highlight w:val="none"/>
          <w:lang w:val="en-US" w:eastAsia="zh-CN"/>
        </w:rPr>
        <w:t>8</w:t>
      </w:r>
      <w:r>
        <w:rPr>
          <w:rFonts w:hint="eastAsia" w:ascii="宋体" w:hAnsi="宋体" w:eastAsia="宋体" w:cs="宋体"/>
          <w:b/>
          <w:sz w:val="22"/>
          <w:szCs w:val="22"/>
          <w:highlight w:val="none"/>
        </w:rPr>
        <w:t>.对本次招标提出询问，请按以下方式联系</w:t>
      </w:r>
      <w:bookmarkEnd w:id="19"/>
      <w:bookmarkEnd w:id="20"/>
      <w:bookmarkEnd w:id="21"/>
      <w:bookmarkEnd w:id="22"/>
    </w:p>
    <w:p w14:paraId="0B58F8EF">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1.采购人信息</w:t>
      </w:r>
    </w:p>
    <w:p w14:paraId="0E734AFE">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名  称：吉林省知识产权保护中心</w:t>
      </w:r>
    </w:p>
    <w:p w14:paraId="46D8BDB3">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地  址：吉林省长春市宽城区北湾东街长春北湖科技园E区K1栋</w:t>
      </w:r>
    </w:p>
    <w:p w14:paraId="66A997F0">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联 系 人：苏晔</w:t>
      </w:r>
    </w:p>
    <w:p w14:paraId="3EA1F7D8">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联系电话：0431-80785209</w:t>
      </w:r>
    </w:p>
    <w:p w14:paraId="140EFE9B">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2.采购代理机构信息</w:t>
      </w:r>
    </w:p>
    <w:p w14:paraId="576BBE17">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名    称：中盈永诚咨询集团有限公司</w:t>
      </w:r>
    </w:p>
    <w:p w14:paraId="03037678">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地　　址：长春市南关区福祉大路与生态大街交汇恒丰国际A座1306室</w:t>
      </w:r>
    </w:p>
    <w:p w14:paraId="5C82F761">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联 系 人：李艳秋</w:t>
      </w:r>
    </w:p>
    <w:p w14:paraId="61A40117">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联系电话：0431-88001028</w:t>
      </w:r>
    </w:p>
    <w:p w14:paraId="799ACFEC">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3.项目联系方式</w:t>
      </w:r>
    </w:p>
    <w:p w14:paraId="61B957F2">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2"/>
          <w:szCs w:val="22"/>
          <w:highlight w:val="none"/>
        </w:rPr>
      </w:pPr>
      <w:r>
        <w:rPr>
          <w:rFonts w:hint="eastAsia" w:ascii="宋体" w:hAnsi="宋体" w:eastAsia="宋体" w:cs="宋体"/>
          <w:sz w:val="22"/>
          <w:szCs w:val="22"/>
          <w:highlight w:val="none"/>
        </w:rPr>
        <w:t>项目联系人：李艳秋</w:t>
      </w:r>
    </w:p>
    <w:p w14:paraId="29E024A9">
      <w:pPr>
        <w:keepNext w:val="0"/>
        <w:keepLines w:val="0"/>
        <w:pageBreakBefore w:val="0"/>
        <w:kinsoku/>
        <w:wordWrap/>
        <w:overflowPunct/>
        <w:topLinePunct w:val="0"/>
        <w:autoSpaceDE/>
        <w:autoSpaceDN/>
        <w:bidi w:val="0"/>
        <w:adjustRightInd/>
        <w:snapToGrid/>
        <w:spacing w:line="380" w:lineRule="exact"/>
        <w:ind w:firstLine="440" w:firstLineChars="200"/>
        <w:textAlignment w:val="auto"/>
        <w:rPr>
          <w:rFonts w:hint="eastAsia" w:ascii="宋体" w:hAnsi="宋体" w:eastAsia="宋体" w:cs="宋体"/>
          <w:sz w:val="24"/>
          <w:szCs w:val="24"/>
          <w:highlight w:val="none"/>
          <w:lang w:val="en-US" w:eastAsia="zh-CN"/>
        </w:rPr>
      </w:pPr>
      <w:r>
        <w:rPr>
          <w:rFonts w:hint="eastAsia" w:ascii="宋体" w:hAnsi="宋体" w:eastAsia="宋体" w:cs="宋体"/>
          <w:sz w:val="22"/>
          <w:szCs w:val="22"/>
          <w:highlight w:val="none"/>
        </w:rPr>
        <w:t>电　    话：0431-8800102</w:t>
      </w:r>
      <w:r>
        <w:rPr>
          <w:rFonts w:hint="eastAsia" w:ascii="宋体" w:hAnsi="宋体" w:eastAsia="宋体" w:cs="宋体"/>
          <w:sz w:val="22"/>
          <w:szCs w:val="22"/>
          <w:highlight w:val="none"/>
          <w:lang w:val="en-US" w:eastAsia="zh-CN"/>
        </w:rPr>
        <w:t>8</w:t>
      </w:r>
    </w:p>
    <w:p w14:paraId="67D12B5C">
      <w:pPr>
        <w:rPr>
          <w:rFonts w:ascii="宋体" w:hAnsi="宋体" w:cs="宋体"/>
          <w:highlight w:val="none"/>
        </w:rPr>
      </w:pPr>
      <w:r>
        <w:rPr>
          <w:rFonts w:hint="eastAsia" w:ascii="宋体" w:hAnsi="宋体" w:cs="宋体"/>
          <w:highlight w:val="none"/>
        </w:rPr>
        <w:br w:type="page"/>
      </w:r>
    </w:p>
    <w:p w14:paraId="56E15A2B">
      <w:pPr>
        <w:rPr>
          <w:rFonts w:ascii="宋体" w:hAnsi="宋体" w:cs="宋体"/>
          <w:highlight w:val="none"/>
        </w:rPr>
      </w:pPr>
    </w:p>
    <w:p w14:paraId="4E9DAD19">
      <w:pPr>
        <w:pStyle w:val="2"/>
        <w:keepNext/>
        <w:keepLines/>
        <w:pageBreakBefore w:val="0"/>
        <w:widowControl/>
        <w:kinsoku/>
        <w:wordWrap/>
        <w:overflowPunct/>
        <w:topLinePunct w:val="0"/>
        <w:autoSpaceDE/>
        <w:autoSpaceDN/>
        <w:bidi w:val="0"/>
        <w:adjustRightInd/>
        <w:snapToGrid/>
        <w:spacing w:before="0" w:after="0" w:line="240" w:lineRule="auto"/>
        <w:jc w:val="center"/>
        <w:textAlignment w:val="auto"/>
        <w:rPr>
          <w:rFonts w:ascii="宋体" w:hAnsi="宋体" w:cs="宋体"/>
          <w:sz w:val="36"/>
          <w:szCs w:val="36"/>
          <w:highlight w:val="none"/>
        </w:rPr>
      </w:pPr>
      <w:bookmarkStart w:id="23" w:name="_Toc28014"/>
      <w:r>
        <w:rPr>
          <w:rFonts w:hint="eastAsia" w:ascii="宋体" w:hAnsi="宋体" w:cs="宋体"/>
          <w:sz w:val="36"/>
          <w:szCs w:val="36"/>
          <w:highlight w:val="none"/>
        </w:rPr>
        <w:t>第二部分  投标人须知</w:t>
      </w:r>
      <w:bookmarkEnd w:id="23"/>
    </w:p>
    <w:p w14:paraId="51AA9CEF">
      <w:pPr>
        <w:pStyle w:val="9"/>
        <w:spacing w:line="288" w:lineRule="auto"/>
        <w:rPr>
          <w:rFonts w:ascii="宋体" w:hAnsi="宋体" w:cs="宋体"/>
          <w:szCs w:val="24"/>
          <w:highlight w:val="none"/>
        </w:rPr>
      </w:pPr>
      <w:r>
        <w:rPr>
          <w:rFonts w:hint="eastAsia" w:ascii="宋体" w:hAnsi="宋体" w:cs="宋体"/>
          <w:szCs w:val="24"/>
          <w:highlight w:val="none"/>
        </w:rPr>
        <w:t>一、投标人须知前附表</w:t>
      </w:r>
    </w:p>
    <w:tbl>
      <w:tblPr>
        <w:tblStyle w:val="44"/>
        <w:tblW w:w="4919"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663"/>
        <w:gridCol w:w="1915"/>
        <w:gridCol w:w="7005"/>
      </w:tblGrid>
      <w:tr w14:paraId="701A639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346" w:type="pct"/>
            <w:tcBorders>
              <w:top w:val="single" w:color="auto" w:sz="4" w:space="0"/>
              <w:left w:val="single" w:color="auto" w:sz="4" w:space="0"/>
              <w:bottom w:val="single" w:color="auto" w:sz="4" w:space="0"/>
              <w:right w:val="single" w:color="auto" w:sz="4" w:space="0"/>
            </w:tcBorders>
            <w:vAlign w:val="center"/>
          </w:tcPr>
          <w:p w14:paraId="42E66F0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项号</w:t>
            </w:r>
          </w:p>
        </w:tc>
        <w:tc>
          <w:tcPr>
            <w:tcW w:w="999" w:type="pct"/>
            <w:tcBorders>
              <w:top w:val="single" w:color="auto" w:sz="4" w:space="0"/>
              <w:left w:val="single" w:color="auto" w:sz="4" w:space="0"/>
              <w:bottom w:val="single" w:color="auto" w:sz="4" w:space="0"/>
              <w:right w:val="single" w:color="auto" w:sz="4" w:space="0"/>
            </w:tcBorders>
            <w:vAlign w:val="center"/>
          </w:tcPr>
          <w:p w14:paraId="04F5C1E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内    容</w:t>
            </w:r>
          </w:p>
        </w:tc>
        <w:tc>
          <w:tcPr>
            <w:tcW w:w="3654" w:type="pct"/>
            <w:tcBorders>
              <w:top w:val="single" w:color="auto" w:sz="4" w:space="0"/>
              <w:left w:val="single" w:color="auto" w:sz="4" w:space="0"/>
              <w:bottom w:val="single" w:color="auto" w:sz="4" w:space="0"/>
              <w:right w:val="single" w:color="auto" w:sz="4" w:space="0"/>
            </w:tcBorders>
            <w:vAlign w:val="center"/>
          </w:tcPr>
          <w:p w14:paraId="2B466A80">
            <w:pPr>
              <w:keepNext w:val="0"/>
              <w:keepLines w:val="0"/>
              <w:widowControl/>
              <w:suppressLineNumbers w:val="0"/>
              <w:tabs>
                <w:tab w:val="left" w:pos="1180"/>
              </w:tabs>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说明与要求</w:t>
            </w:r>
          </w:p>
        </w:tc>
      </w:tr>
      <w:tr w14:paraId="1D242C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346" w:type="pct"/>
            <w:vMerge w:val="restart"/>
            <w:tcBorders>
              <w:top w:val="single" w:color="auto" w:sz="4" w:space="0"/>
              <w:left w:val="single" w:color="auto" w:sz="4" w:space="0"/>
              <w:right w:val="single" w:color="auto" w:sz="4" w:space="0"/>
            </w:tcBorders>
            <w:vAlign w:val="center"/>
          </w:tcPr>
          <w:p w14:paraId="6AF4D19E">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999" w:type="pct"/>
            <w:tcBorders>
              <w:top w:val="single" w:color="auto" w:sz="4" w:space="0"/>
              <w:left w:val="single" w:color="auto" w:sz="4" w:space="0"/>
              <w:bottom w:val="single" w:color="auto" w:sz="4" w:space="0"/>
              <w:right w:val="single" w:color="auto" w:sz="4" w:space="0"/>
            </w:tcBorders>
            <w:vAlign w:val="center"/>
          </w:tcPr>
          <w:p w14:paraId="25B9AEF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采购人</w:t>
            </w:r>
          </w:p>
        </w:tc>
        <w:tc>
          <w:tcPr>
            <w:tcW w:w="3654" w:type="pct"/>
            <w:tcBorders>
              <w:top w:val="single" w:color="auto" w:sz="4" w:space="0"/>
              <w:left w:val="single" w:color="auto" w:sz="4" w:space="0"/>
              <w:bottom w:val="single" w:color="auto" w:sz="4" w:space="0"/>
              <w:right w:val="single" w:color="auto" w:sz="4" w:space="0"/>
            </w:tcBorders>
            <w:vAlign w:val="center"/>
          </w:tcPr>
          <w:p w14:paraId="0E2BBA16">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名    称：</w:t>
            </w:r>
            <w:r>
              <w:rPr>
                <w:rFonts w:hint="eastAsia" w:ascii="宋体" w:hAnsi="宋体" w:eastAsia="宋体" w:cs="宋体"/>
                <w:sz w:val="21"/>
                <w:szCs w:val="21"/>
                <w:highlight w:val="none"/>
                <w:lang w:val="en-US" w:eastAsia="en-US"/>
              </w:rPr>
              <w:t>吉林省知识产权保护中心</w:t>
            </w:r>
          </w:p>
          <w:p w14:paraId="160F2B8A">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lang w:val="en-US" w:eastAsia="en-US"/>
              </w:rPr>
              <w:t>吉林省长春市宽城区北湾东街长春北湖科技园E区</w:t>
            </w:r>
            <w:r>
              <w:rPr>
                <w:rFonts w:hint="eastAsia" w:ascii="宋体" w:hAnsi="宋体" w:eastAsia="宋体" w:cs="宋体"/>
                <w:sz w:val="21"/>
                <w:szCs w:val="21"/>
                <w:highlight w:val="none"/>
              </w:rPr>
              <w:t>K1栋</w:t>
            </w:r>
          </w:p>
          <w:p w14:paraId="4A4AD9C0">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联 系 人：苏晔</w:t>
            </w:r>
          </w:p>
          <w:p w14:paraId="618E952E">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电    话：</w:t>
            </w:r>
            <w:r>
              <w:rPr>
                <w:rFonts w:hint="eastAsia" w:ascii="宋体" w:hAnsi="宋体" w:eastAsia="宋体" w:cs="宋体"/>
                <w:sz w:val="21"/>
                <w:szCs w:val="21"/>
                <w:highlight w:val="none"/>
                <w:lang w:val="en-US" w:eastAsia="en-US"/>
              </w:rPr>
              <w:t>0431-80785209</w:t>
            </w:r>
          </w:p>
        </w:tc>
      </w:tr>
      <w:tr w14:paraId="3A2C80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346" w:type="pct"/>
            <w:vMerge w:val="continue"/>
            <w:tcBorders>
              <w:left w:val="single" w:color="auto" w:sz="4" w:space="0"/>
              <w:bottom w:val="single" w:color="auto" w:sz="4" w:space="0"/>
              <w:right w:val="single" w:color="auto" w:sz="4" w:space="0"/>
            </w:tcBorders>
            <w:vAlign w:val="center"/>
          </w:tcPr>
          <w:p w14:paraId="430A843D">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p>
        </w:tc>
        <w:tc>
          <w:tcPr>
            <w:tcW w:w="999" w:type="pct"/>
            <w:tcBorders>
              <w:top w:val="single" w:color="auto" w:sz="4" w:space="0"/>
              <w:left w:val="single" w:color="auto" w:sz="4" w:space="0"/>
              <w:bottom w:val="single" w:color="auto" w:sz="4" w:space="0"/>
              <w:right w:val="single" w:color="auto" w:sz="4" w:space="0"/>
            </w:tcBorders>
            <w:vAlign w:val="center"/>
          </w:tcPr>
          <w:p w14:paraId="6558FD6C">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采购代理机构</w:t>
            </w:r>
          </w:p>
        </w:tc>
        <w:tc>
          <w:tcPr>
            <w:tcW w:w="3654" w:type="pct"/>
            <w:tcBorders>
              <w:top w:val="single" w:color="auto" w:sz="4" w:space="0"/>
              <w:left w:val="single" w:color="auto" w:sz="4" w:space="0"/>
              <w:bottom w:val="single" w:color="auto" w:sz="4" w:space="0"/>
              <w:right w:val="single" w:color="auto" w:sz="4" w:space="0"/>
            </w:tcBorders>
            <w:vAlign w:val="center"/>
          </w:tcPr>
          <w:p w14:paraId="49FAEFDD">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名    称：中盈永诚咨询集团有限公司</w:t>
            </w:r>
          </w:p>
          <w:p w14:paraId="1302E577">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lang w:eastAsia="zh-CN"/>
              </w:rPr>
              <w:t>长春市南关区福祉大路与生态大街交汇恒丰国际A座1306室</w:t>
            </w:r>
          </w:p>
          <w:p w14:paraId="44674AA2">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联 系 人：</w:t>
            </w:r>
            <w:r>
              <w:rPr>
                <w:rFonts w:hint="eastAsia" w:ascii="宋体" w:hAnsi="宋体" w:eastAsia="宋体" w:cs="宋体"/>
                <w:sz w:val="21"/>
                <w:szCs w:val="21"/>
                <w:highlight w:val="none"/>
                <w:lang w:val="en-US" w:eastAsia="zh-CN"/>
              </w:rPr>
              <w:t>李艳秋</w:t>
            </w:r>
          </w:p>
          <w:p w14:paraId="08A2E071">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lang w:eastAsia="zh-CN"/>
              </w:rPr>
              <w:t>0431-88001028</w:t>
            </w:r>
          </w:p>
        </w:tc>
      </w:tr>
      <w:tr w14:paraId="27819C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7AD6148A">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999" w:type="pct"/>
            <w:tcBorders>
              <w:top w:val="single" w:color="auto" w:sz="4" w:space="0"/>
              <w:left w:val="single" w:color="auto" w:sz="4" w:space="0"/>
              <w:bottom w:val="single" w:color="auto" w:sz="4" w:space="0"/>
              <w:right w:val="single" w:color="auto" w:sz="4" w:space="0"/>
            </w:tcBorders>
            <w:vAlign w:val="center"/>
          </w:tcPr>
          <w:p w14:paraId="70BD36A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项目编号</w:t>
            </w:r>
          </w:p>
        </w:tc>
        <w:tc>
          <w:tcPr>
            <w:tcW w:w="3654" w:type="pct"/>
            <w:tcBorders>
              <w:top w:val="single" w:color="auto" w:sz="4" w:space="0"/>
              <w:left w:val="single" w:color="auto" w:sz="4" w:space="0"/>
              <w:bottom w:val="single" w:color="auto" w:sz="4" w:space="0"/>
              <w:right w:val="single" w:color="auto" w:sz="4" w:space="0"/>
            </w:tcBorders>
            <w:vAlign w:val="center"/>
          </w:tcPr>
          <w:p w14:paraId="4903598D">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采购计划-[2026]-14116号</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eastAsia="zh-CN"/>
              </w:rPr>
              <w:t>202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lang w:eastAsia="zh-CN"/>
              </w:rPr>
              <w:t>ZYYC0</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lang w:eastAsia="zh-CN"/>
              </w:rPr>
              <w:t>0</w:t>
            </w:r>
            <w:r>
              <w:rPr>
                <w:rFonts w:hint="eastAsia" w:ascii="宋体" w:hAnsi="宋体" w:eastAsia="宋体" w:cs="宋体"/>
                <w:sz w:val="21"/>
                <w:szCs w:val="21"/>
                <w:highlight w:val="none"/>
                <w:lang w:val="en-US" w:eastAsia="zh-CN"/>
              </w:rPr>
              <w:t>1</w:t>
            </w:r>
          </w:p>
        </w:tc>
      </w:tr>
      <w:tr w14:paraId="7115BF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01E70D0E">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999" w:type="pct"/>
            <w:tcBorders>
              <w:top w:val="single" w:color="auto" w:sz="4" w:space="0"/>
              <w:left w:val="single" w:color="auto" w:sz="4" w:space="0"/>
              <w:bottom w:val="single" w:color="auto" w:sz="4" w:space="0"/>
              <w:right w:val="single" w:color="auto" w:sz="4" w:space="0"/>
            </w:tcBorders>
            <w:vAlign w:val="center"/>
          </w:tcPr>
          <w:p w14:paraId="41CB66D6">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项目名称</w:t>
            </w:r>
          </w:p>
        </w:tc>
        <w:tc>
          <w:tcPr>
            <w:tcW w:w="3654" w:type="pct"/>
            <w:tcBorders>
              <w:top w:val="single" w:color="auto" w:sz="4" w:space="0"/>
              <w:left w:val="single" w:color="auto" w:sz="4" w:space="0"/>
              <w:bottom w:val="single" w:color="auto" w:sz="4" w:space="0"/>
              <w:right w:val="single" w:color="auto" w:sz="4" w:space="0"/>
            </w:tcBorders>
            <w:vAlign w:val="center"/>
          </w:tcPr>
          <w:p w14:paraId="709B9A63">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val="zh-CN" w:eastAsia="zh-CN"/>
              </w:rPr>
            </w:pPr>
            <w:r>
              <w:rPr>
                <w:rFonts w:hint="eastAsia" w:ascii="宋体" w:hAnsi="宋体" w:eastAsia="宋体" w:cs="宋体"/>
                <w:sz w:val="21"/>
                <w:szCs w:val="21"/>
                <w:highlight w:val="none"/>
                <w:lang w:eastAsia="zh-CN"/>
              </w:rPr>
              <w:t>海外知识产权纠纷应对指导服务项目</w:t>
            </w:r>
          </w:p>
        </w:tc>
      </w:tr>
      <w:tr w14:paraId="083D6D0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6" w:type="pct"/>
            <w:tcBorders>
              <w:top w:val="single" w:color="auto" w:sz="4" w:space="0"/>
              <w:left w:val="single" w:color="auto" w:sz="4" w:space="0"/>
              <w:right w:val="single" w:color="auto" w:sz="4" w:space="0"/>
            </w:tcBorders>
            <w:vAlign w:val="center"/>
          </w:tcPr>
          <w:p w14:paraId="1715B00E">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999" w:type="pct"/>
            <w:tcBorders>
              <w:top w:val="single" w:color="auto" w:sz="4" w:space="0"/>
              <w:left w:val="single" w:color="auto" w:sz="4" w:space="0"/>
              <w:right w:val="single" w:color="auto" w:sz="4" w:space="0"/>
            </w:tcBorders>
            <w:shd w:val="clear" w:color="auto" w:fill="auto"/>
            <w:vAlign w:val="center"/>
          </w:tcPr>
          <w:p w14:paraId="16763915">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预算金额</w:t>
            </w:r>
          </w:p>
          <w:p w14:paraId="44532B5F">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bCs/>
                <w:sz w:val="21"/>
                <w:szCs w:val="21"/>
                <w:highlight w:val="none"/>
                <w:lang w:val="zh-CN"/>
              </w:rPr>
              <w:t>（最高限价）</w:t>
            </w:r>
          </w:p>
        </w:tc>
        <w:tc>
          <w:tcPr>
            <w:tcW w:w="3654" w:type="pct"/>
            <w:tcBorders>
              <w:top w:val="single" w:color="auto" w:sz="4" w:space="0"/>
              <w:left w:val="single" w:color="auto" w:sz="4" w:space="0"/>
              <w:right w:val="single" w:color="auto" w:sz="4" w:space="0"/>
            </w:tcBorders>
            <w:shd w:val="clear" w:color="auto" w:fill="auto"/>
            <w:vAlign w:val="center"/>
          </w:tcPr>
          <w:p w14:paraId="22F4D0A5">
            <w:pPr>
              <w:keepNext w:val="0"/>
              <w:keepLines w:val="0"/>
              <w:widowControl/>
              <w:suppressLineNumbers w:val="0"/>
              <w:spacing w:before="0" w:beforeAutospacing="0" w:after="0" w:afterAutospacing="0"/>
              <w:ind w:left="0" w:right="0"/>
              <w:rPr>
                <w:rFonts w:hint="eastAsia" w:ascii="宋体" w:hAnsi="宋体" w:eastAsia="宋体" w:cs="宋体"/>
                <w:b/>
                <w:bCs/>
                <w:sz w:val="21"/>
                <w:szCs w:val="21"/>
                <w:highlight w:val="none"/>
              </w:rPr>
            </w:pPr>
            <w:r>
              <w:rPr>
                <w:rFonts w:hint="eastAsia" w:ascii="宋体" w:hAnsi="宋体" w:eastAsia="宋体" w:cs="宋体"/>
                <w:b/>
                <w:bCs/>
                <w:sz w:val="21"/>
                <w:szCs w:val="21"/>
                <w:highlight w:val="none"/>
                <w:lang w:eastAsia="zh-CN"/>
              </w:rPr>
              <w:t>401400.00元</w:t>
            </w:r>
            <w:r>
              <w:rPr>
                <w:rFonts w:hint="eastAsia" w:ascii="宋体" w:hAnsi="宋体" w:eastAsia="宋体" w:cs="宋体"/>
                <w:b/>
                <w:bCs/>
                <w:sz w:val="21"/>
                <w:szCs w:val="21"/>
                <w:highlight w:val="none"/>
              </w:rPr>
              <w:t>；</w:t>
            </w:r>
          </w:p>
          <w:p w14:paraId="2B03FD18">
            <w:pPr>
              <w:keepNext w:val="0"/>
              <w:keepLines w:val="0"/>
              <w:widowControl/>
              <w:suppressLineNumbers w:val="0"/>
              <w:spacing w:before="0" w:beforeAutospacing="0" w:after="0" w:afterAutospacing="0"/>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注：投标</w:t>
            </w:r>
            <w:r>
              <w:rPr>
                <w:rFonts w:hint="eastAsia" w:ascii="宋体" w:hAnsi="宋体" w:eastAsia="宋体" w:cs="宋体"/>
                <w:sz w:val="21"/>
                <w:szCs w:val="21"/>
                <w:highlight w:val="none"/>
                <w:lang w:val="en-US" w:eastAsia="zh-CN"/>
              </w:rPr>
              <w:t>人</w:t>
            </w:r>
            <w:r>
              <w:rPr>
                <w:rFonts w:hint="eastAsia" w:ascii="宋体" w:hAnsi="宋体" w:eastAsia="宋体" w:cs="宋体"/>
                <w:sz w:val="21"/>
                <w:szCs w:val="21"/>
                <w:highlight w:val="none"/>
              </w:rPr>
              <w:t>所报总价不得超过预算金额或最高限价，否则按无效投标处理。</w:t>
            </w:r>
          </w:p>
        </w:tc>
      </w:tr>
      <w:tr w14:paraId="09004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33C94755">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43E08177">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服务地点</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6BCA7A84">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长春</w:t>
            </w:r>
          </w:p>
        </w:tc>
      </w:tr>
      <w:tr w14:paraId="4B20A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55926852">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5A1F7226">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质量标准</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49907396">
            <w:pPr>
              <w:pStyle w:val="14"/>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rPr>
              <w:t>符合国家及相关行业合格标准</w:t>
            </w:r>
          </w:p>
        </w:tc>
      </w:tr>
      <w:tr w14:paraId="1563E7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4EE583A9">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463652FB">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采购需求</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3D721F9F">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2"/>
                <w:szCs w:val="22"/>
                <w:highlight w:val="none"/>
                <w:lang w:eastAsia="zh-CN"/>
              </w:rPr>
              <w:t>具备独立知识产权，自主可控全球专利检索分析数据库，不接受多个数据库组合，支持IP段访问</w:t>
            </w:r>
            <w:r>
              <w:rPr>
                <w:rFonts w:hint="eastAsia" w:ascii="宋体" w:hAnsi="宋体" w:cs="宋体"/>
                <w:sz w:val="22"/>
                <w:szCs w:val="22"/>
                <w:highlight w:val="none"/>
                <w:lang w:eastAsia="zh-CN"/>
              </w:rPr>
              <w:t>（</w:t>
            </w:r>
            <w:r>
              <w:rPr>
                <w:rFonts w:hint="eastAsia" w:ascii="宋体" w:hAnsi="宋体" w:cs="宋体"/>
                <w:sz w:val="22"/>
                <w:szCs w:val="22"/>
                <w:highlight w:val="none"/>
                <w:lang w:val="en-US" w:eastAsia="zh-CN"/>
              </w:rPr>
              <w:t>详见第五部分采购需求</w:t>
            </w:r>
            <w:r>
              <w:rPr>
                <w:rFonts w:hint="eastAsia" w:ascii="宋体" w:hAnsi="宋体" w:cs="宋体"/>
                <w:sz w:val="22"/>
                <w:szCs w:val="22"/>
                <w:highlight w:val="none"/>
                <w:lang w:eastAsia="zh-CN"/>
              </w:rPr>
              <w:t>）</w:t>
            </w:r>
            <w:r>
              <w:rPr>
                <w:rFonts w:hint="eastAsia" w:ascii="宋体" w:hAnsi="宋体" w:eastAsia="宋体" w:cs="宋体"/>
                <w:sz w:val="21"/>
                <w:szCs w:val="21"/>
                <w:highlight w:val="none"/>
                <w:lang w:val="en-US" w:eastAsia="zh-CN" w:bidi="ar-SA"/>
              </w:rPr>
              <w:t>。</w:t>
            </w:r>
          </w:p>
        </w:tc>
      </w:tr>
      <w:tr w14:paraId="740143C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179DD730">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6D331B47">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合同履行期限</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6580F344">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eastAsia="zh-CN"/>
              </w:rPr>
              <w:t>合同签订后一年。</w:t>
            </w:r>
          </w:p>
        </w:tc>
      </w:tr>
      <w:tr w14:paraId="79DA71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bottom w:val="single" w:color="auto" w:sz="4" w:space="0"/>
              <w:right w:val="single" w:color="auto" w:sz="4" w:space="0"/>
            </w:tcBorders>
            <w:vAlign w:val="center"/>
          </w:tcPr>
          <w:p w14:paraId="7849F70C">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271EBB3E">
            <w:pPr>
              <w:keepNext w:val="0"/>
              <w:keepLines w:val="0"/>
              <w:widowControl/>
              <w:suppressLineNumbers w:val="0"/>
              <w:spacing w:before="0" w:beforeAutospacing="0" w:after="0" w:afterAutospacing="0" w:line="240" w:lineRule="auto"/>
              <w:ind w:left="0" w:leftChars="0" w:right="0" w:rightChars="0"/>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资金来源</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4BC02D6A">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bCs/>
                <w:sz w:val="21"/>
                <w:szCs w:val="21"/>
                <w:highlight w:val="none"/>
                <w:lang w:val="en-US" w:eastAsia="zh-CN" w:bidi="ar-SA"/>
              </w:rPr>
            </w:pPr>
            <w:r>
              <w:rPr>
                <w:rFonts w:hint="eastAsia" w:ascii="宋体" w:hAnsi="宋体" w:eastAsia="宋体" w:cs="宋体"/>
                <w:bCs/>
                <w:sz w:val="21"/>
                <w:szCs w:val="21"/>
                <w:highlight w:val="none"/>
              </w:rPr>
              <w:t>财政资金</w:t>
            </w:r>
          </w:p>
        </w:tc>
      </w:tr>
      <w:tr w14:paraId="18CB92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89" w:hRule="atLeast"/>
        </w:trPr>
        <w:tc>
          <w:tcPr>
            <w:tcW w:w="346" w:type="pct"/>
            <w:tcBorders>
              <w:top w:val="single" w:color="auto" w:sz="4" w:space="0"/>
              <w:left w:val="single" w:color="auto" w:sz="4" w:space="0"/>
              <w:right w:val="single" w:color="auto" w:sz="4" w:space="0"/>
            </w:tcBorders>
            <w:vAlign w:val="center"/>
          </w:tcPr>
          <w:p w14:paraId="350AC3C1">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999" w:type="pct"/>
            <w:tcBorders>
              <w:top w:val="single" w:color="auto" w:sz="4" w:space="0"/>
              <w:left w:val="single" w:color="auto" w:sz="4" w:space="0"/>
              <w:right w:val="single" w:color="auto" w:sz="4" w:space="0"/>
            </w:tcBorders>
            <w:shd w:val="clear" w:color="auto" w:fill="auto"/>
            <w:vAlign w:val="center"/>
          </w:tcPr>
          <w:p w14:paraId="5810746F">
            <w:pPr>
              <w:pStyle w:val="98"/>
              <w:keepNext w:val="0"/>
              <w:keepLines w:val="0"/>
              <w:pageBreakBefore w:val="0"/>
              <w:widowControl w:val="0"/>
              <w:suppressLineNumbers w:val="0"/>
              <w:kinsoku/>
              <w:wordWrap/>
              <w:overflowPunct/>
              <w:topLinePunct w:val="0"/>
              <w:bidi w:val="0"/>
              <w:snapToGrid/>
              <w:spacing w:before="0" w:beforeAutospacing="0" w:after="0" w:afterAutospacing="0" w:line="240" w:lineRule="auto"/>
              <w:ind w:left="0" w:right="0"/>
              <w:jc w:val="center"/>
              <w:textAlignment w:val="auto"/>
              <w:rPr>
                <w:rFonts w:hint="eastAsia" w:ascii="宋体" w:hAnsi="宋体" w:eastAsia="宋体" w:cs="宋体"/>
                <w:sz w:val="21"/>
                <w:szCs w:val="21"/>
                <w:highlight w:val="none"/>
              </w:rPr>
            </w:pPr>
            <w:r>
              <w:rPr>
                <w:rFonts w:hint="eastAsia" w:ascii="宋体" w:hAnsi="宋体" w:eastAsia="宋体" w:cs="宋体"/>
                <w:color w:val="auto"/>
                <w:kern w:val="2"/>
                <w:sz w:val="21"/>
                <w:szCs w:val="21"/>
              </w:rPr>
              <w:t>资金落实情况</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2FF937AE">
            <w:pPr>
              <w:pStyle w:val="98"/>
              <w:keepNext w:val="0"/>
              <w:keepLines w:val="0"/>
              <w:pageBreakBefore w:val="0"/>
              <w:widowControl w:val="0"/>
              <w:suppressLineNumbers w:val="0"/>
              <w:kinsoku/>
              <w:wordWrap/>
              <w:overflowPunct/>
              <w:topLinePunct w:val="0"/>
              <w:bidi w:val="0"/>
              <w:snapToGrid/>
              <w:spacing w:before="0" w:beforeAutospacing="0" w:after="0" w:afterAutospacing="0" w:line="360" w:lineRule="exact"/>
              <w:ind w:left="0" w:right="0"/>
              <w:textAlignment w:val="auto"/>
              <w:rPr>
                <w:rFonts w:hint="eastAsia" w:ascii="宋体" w:hAnsi="宋体" w:eastAsia="宋体" w:cs="宋体"/>
                <w:bCs/>
                <w:sz w:val="21"/>
                <w:szCs w:val="21"/>
                <w:highlight w:val="none"/>
              </w:rPr>
            </w:pPr>
            <w:r>
              <w:rPr>
                <w:rFonts w:hint="eastAsia" w:ascii="宋体" w:hAnsi="宋体" w:eastAsia="宋体" w:cs="宋体"/>
                <w:color w:val="auto"/>
                <w:kern w:val="2"/>
                <w:sz w:val="21"/>
                <w:szCs w:val="21"/>
              </w:rPr>
              <w:t>已落实</w:t>
            </w:r>
          </w:p>
        </w:tc>
      </w:tr>
      <w:tr w14:paraId="6EA718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6" w:type="pct"/>
            <w:tcBorders>
              <w:top w:val="single" w:color="auto" w:sz="4" w:space="0"/>
              <w:left w:val="single" w:color="auto" w:sz="4" w:space="0"/>
              <w:right w:val="single" w:color="auto" w:sz="4" w:space="0"/>
            </w:tcBorders>
            <w:vAlign w:val="center"/>
          </w:tcPr>
          <w:p w14:paraId="64EFE2F2">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11</w:t>
            </w:r>
          </w:p>
        </w:tc>
        <w:tc>
          <w:tcPr>
            <w:tcW w:w="999" w:type="pct"/>
            <w:tcBorders>
              <w:top w:val="single" w:color="auto" w:sz="4" w:space="0"/>
              <w:left w:val="single" w:color="auto" w:sz="4" w:space="0"/>
              <w:right w:val="single" w:color="auto" w:sz="4" w:space="0"/>
            </w:tcBorders>
            <w:vAlign w:val="center"/>
          </w:tcPr>
          <w:p w14:paraId="41BC5B7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投标人资格要求</w:t>
            </w:r>
          </w:p>
        </w:tc>
        <w:tc>
          <w:tcPr>
            <w:tcW w:w="3654" w:type="pct"/>
            <w:tcBorders>
              <w:top w:val="single" w:color="auto" w:sz="4" w:space="0"/>
              <w:left w:val="single" w:color="auto" w:sz="4" w:space="0"/>
              <w:right w:val="single" w:color="auto" w:sz="4" w:space="0"/>
            </w:tcBorders>
            <w:vAlign w:val="center"/>
          </w:tcPr>
          <w:p w14:paraId="4B376C32">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1.满足《中华人民共和国政府采购法》第二十二条规定。</w:t>
            </w:r>
          </w:p>
          <w:p w14:paraId="6CB58C18">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2.落实政府采购政策需满足的资格要求：本项目专门面向中小企业采购。</w:t>
            </w:r>
          </w:p>
          <w:p w14:paraId="55A94132">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bidi="ar-SA"/>
              </w:rPr>
              <w:t>3.本项目的特定资格要求：无。</w:t>
            </w:r>
          </w:p>
        </w:tc>
      </w:tr>
      <w:tr w14:paraId="3AD3E5A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6" w:type="pct"/>
            <w:tcBorders>
              <w:top w:val="single" w:color="auto" w:sz="4" w:space="0"/>
              <w:left w:val="single" w:color="auto" w:sz="4" w:space="0"/>
              <w:right w:val="single" w:color="auto" w:sz="4" w:space="0"/>
            </w:tcBorders>
            <w:vAlign w:val="center"/>
          </w:tcPr>
          <w:p w14:paraId="1E37996F">
            <w:pPr>
              <w:keepNext w:val="0"/>
              <w:keepLines w:val="0"/>
              <w:widowControl w:val="0"/>
              <w:suppressLineNumbers w:val="0"/>
              <w:tabs>
                <w:tab w:val="left" w:pos="420"/>
              </w:tabs>
              <w:spacing w:before="0" w:beforeAutospacing="0" w:after="0" w:afterAutospacing="0" w:line="240"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12</w:t>
            </w:r>
          </w:p>
        </w:tc>
        <w:tc>
          <w:tcPr>
            <w:tcW w:w="999" w:type="pct"/>
            <w:tcBorders>
              <w:top w:val="single" w:color="auto" w:sz="4" w:space="0"/>
              <w:left w:val="single" w:color="auto" w:sz="4" w:space="0"/>
              <w:right w:val="single" w:color="auto" w:sz="4" w:space="0"/>
            </w:tcBorders>
            <w:vAlign w:val="center"/>
          </w:tcPr>
          <w:p w14:paraId="2B56C6F3">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是否接受联合体投标</w:t>
            </w:r>
          </w:p>
        </w:tc>
        <w:tc>
          <w:tcPr>
            <w:tcW w:w="3654" w:type="pct"/>
            <w:tcBorders>
              <w:top w:val="single" w:color="auto" w:sz="4" w:space="0"/>
              <w:left w:val="single" w:color="auto" w:sz="4" w:space="0"/>
              <w:right w:val="single" w:color="auto" w:sz="4" w:space="0"/>
            </w:tcBorders>
            <w:vAlign w:val="center"/>
          </w:tcPr>
          <w:p w14:paraId="37379466">
            <w:pPr>
              <w:keepNext w:val="0"/>
              <w:keepLines w:val="0"/>
              <w:widowControl/>
              <w:suppressLineNumbers w:val="0"/>
              <w:spacing w:before="0" w:beforeAutospacing="0" w:after="0" w:afterAutospacing="0" w:line="240"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zh-CN" w:eastAsia="zh-CN" w:bidi="ar-SA"/>
              </w:rPr>
              <w:t>不接受</w:t>
            </w:r>
          </w:p>
        </w:tc>
      </w:tr>
      <w:tr w14:paraId="7C2F62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346" w:type="pct"/>
            <w:tcBorders>
              <w:top w:val="single" w:color="auto" w:sz="4" w:space="0"/>
              <w:left w:val="single" w:color="auto" w:sz="4" w:space="0"/>
              <w:right w:val="single" w:color="auto" w:sz="4" w:space="0"/>
            </w:tcBorders>
            <w:vAlign w:val="center"/>
          </w:tcPr>
          <w:p w14:paraId="5A5B4FCD">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13</w:t>
            </w:r>
          </w:p>
        </w:tc>
        <w:tc>
          <w:tcPr>
            <w:tcW w:w="999" w:type="pct"/>
            <w:tcBorders>
              <w:top w:val="single" w:color="auto" w:sz="4" w:space="0"/>
              <w:left w:val="single" w:color="auto" w:sz="4" w:space="0"/>
              <w:right w:val="single" w:color="auto" w:sz="4" w:space="0"/>
            </w:tcBorders>
            <w:vAlign w:val="center"/>
          </w:tcPr>
          <w:p w14:paraId="75E91598">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投标预备会</w:t>
            </w:r>
          </w:p>
        </w:tc>
        <w:tc>
          <w:tcPr>
            <w:tcW w:w="3654" w:type="pct"/>
            <w:tcBorders>
              <w:top w:val="single" w:color="auto" w:sz="4" w:space="0"/>
              <w:left w:val="single" w:color="auto" w:sz="4" w:space="0"/>
              <w:right w:val="single" w:color="auto" w:sz="4" w:space="0"/>
            </w:tcBorders>
            <w:vAlign w:val="center"/>
          </w:tcPr>
          <w:p w14:paraId="65B5D70B">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zh-CN" w:eastAsia="zh-CN" w:bidi="ar-SA"/>
              </w:rPr>
              <w:t>不召开</w:t>
            </w:r>
          </w:p>
        </w:tc>
      </w:tr>
      <w:tr w14:paraId="175808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346" w:type="pct"/>
            <w:tcBorders>
              <w:top w:val="single" w:color="auto" w:sz="4" w:space="0"/>
              <w:left w:val="single" w:color="auto" w:sz="4" w:space="0"/>
              <w:right w:val="single" w:color="auto" w:sz="4" w:space="0"/>
            </w:tcBorders>
            <w:vAlign w:val="center"/>
          </w:tcPr>
          <w:p w14:paraId="6421804D">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14</w:t>
            </w:r>
          </w:p>
        </w:tc>
        <w:tc>
          <w:tcPr>
            <w:tcW w:w="999" w:type="pct"/>
            <w:tcBorders>
              <w:top w:val="single" w:color="auto" w:sz="4" w:space="0"/>
              <w:left w:val="single" w:color="auto" w:sz="4" w:space="0"/>
              <w:right w:val="single" w:color="auto" w:sz="4" w:space="0"/>
            </w:tcBorders>
            <w:vAlign w:val="center"/>
          </w:tcPr>
          <w:p w14:paraId="3FAAA6C1">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投标人提出问题的截止时间</w:t>
            </w:r>
          </w:p>
        </w:tc>
        <w:tc>
          <w:tcPr>
            <w:tcW w:w="3654" w:type="pct"/>
            <w:tcBorders>
              <w:top w:val="single" w:color="auto" w:sz="4" w:space="0"/>
              <w:left w:val="single" w:color="auto" w:sz="4" w:space="0"/>
              <w:right w:val="single" w:color="auto" w:sz="4" w:space="0"/>
            </w:tcBorders>
            <w:vAlign w:val="top"/>
          </w:tcPr>
          <w:p w14:paraId="67ADBFFA">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时间：投标截止时间10日前</w:t>
            </w:r>
          </w:p>
          <w:p w14:paraId="2AB00E45">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zh-CN" w:eastAsia="zh-CN" w:bidi="ar-SA"/>
              </w:rPr>
            </w:pPr>
            <w:r>
              <w:rPr>
                <w:rFonts w:hint="eastAsia" w:ascii="宋体" w:hAnsi="宋体" w:eastAsia="宋体" w:cs="宋体"/>
                <w:sz w:val="21"/>
                <w:szCs w:val="21"/>
                <w:highlight w:val="none"/>
                <w:lang w:val="zh-CN" w:eastAsia="zh-CN" w:bidi="ar-SA"/>
              </w:rPr>
              <w:t>形式：</w:t>
            </w:r>
            <w:r>
              <w:rPr>
                <w:rFonts w:hint="eastAsia" w:ascii="宋体" w:hAnsi="宋体" w:eastAsia="宋体" w:cs="宋体"/>
                <w:sz w:val="21"/>
                <w:szCs w:val="21"/>
                <w:highlight w:val="none"/>
                <w:lang w:val="en-US" w:eastAsia="zh-CN" w:bidi="ar-SA"/>
              </w:rPr>
              <w:t>将PDF版投标疑问，发送到中盈永诚咨询集团有限公司邮箱（157787758@qq.com），并同时拨打代理机构电话进行确认。</w:t>
            </w:r>
          </w:p>
        </w:tc>
      </w:tr>
      <w:tr w14:paraId="26E3E4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346" w:type="pct"/>
            <w:tcBorders>
              <w:top w:val="single" w:color="auto" w:sz="4" w:space="0"/>
              <w:left w:val="single" w:color="auto" w:sz="4" w:space="0"/>
              <w:right w:val="single" w:color="auto" w:sz="4" w:space="0"/>
            </w:tcBorders>
            <w:vAlign w:val="center"/>
          </w:tcPr>
          <w:p w14:paraId="20598B6C">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15</w:t>
            </w:r>
          </w:p>
        </w:tc>
        <w:tc>
          <w:tcPr>
            <w:tcW w:w="999" w:type="pct"/>
            <w:tcBorders>
              <w:top w:val="single" w:color="auto" w:sz="4" w:space="0"/>
              <w:left w:val="single" w:color="auto" w:sz="4" w:space="0"/>
              <w:right w:val="single" w:color="auto" w:sz="4" w:space="0"/>
            </w:tcBorders>
            <w:vAlign w:val="center"/>
          </w:tcPr>
          <w:p w14:paraId="1DDC32C4">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采购人澄清的时间</w:t>
            </w:r>
          </w:p>
        </w:tc>
        <w:tc>
          <w:tcPr>
            <w:tcW w:w="3654" w:type="pct"/>
            <w:tcBorders>
              <w:top w:val="single" w:color="auto" w:sz="4" w:space="0"/>
              <w:left w:val="single" w:color="auto" w:sz="4" w:space="0"/>
              <w:right w:val="single" w:color="auto" w:sz="4" w:space="0"/>
            </w:tcBorders>
            <w:vAlign w:val="top"/>
          </w:tcPr>
          <w:p w14:paraId="25646A26">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zh-CN" w:eastAsia="zh-CN" w:bidi="ar-SA"/>
              </w:rPr>
            </w:pPr>
            <w:r>
              <w:rPr>
                <w:rFonts w:hint="eastAsia" w:ascii="宋体" w:hAnsi="宋体" w:eastAsia="宋体" w:cs="宋体"/>
                <w:sz w:val="21"/>
                <w:szCs w:val="21"/>
                <w:highlight w:val="none"/>
                <w:lang w:val="zh-CN" w:eastAsia="zh-CN" w:bidi="ar-SA"/>
              </w:rPr>
              <w:t xml:space="preserve">时间：投标截止时间15日前，澄清发出的时间距投标截止时间不足 15 日的，并且澄清内容可能影响投标文件编制的，将相应延长投标截止时间。 </w:t>
            </w:r>
          </w:p>
          <w:p w14:paraId="2A170BD0">
            <w:pPr>
              <w:keepNext w:val="0"/>
              <w:keepLines w:val="0"/>
              <w:widowControl/>
              <w:suppressLineNumbers w:val="0"/>
              <w:spacing w:before="0" w:beforeAutospacing="0" w:after="0" w:afterAutospacing="0" w:line="288" w:lineRule="auto"/>
              <w:ind w:left="0" w:leftChars="0" w:right="0" w:rightChars="0"/>
              <w:jc w:val="both"/>
              <w:rPr>
                <w:rFonts w:hint="eastAsia" w:ascii="宋体" w:hAnsi="宋体" w:eastAsia="宋体" w:cs="宋体"/>
                <w:sz w:val="21"/>
                <w:szCs w:val="21"/>
                <w:highlight w:val="none"/>
                <w:lang w:val="zh-CN" w:eastAsia="zh-CN" w:bidi="ar-SA"/>
              </w:rPr>
            </w:pPr>
            <w:r>
              <w:rPr>
                <w:rFonts w:hint="eastAsia" w:ascii="宋体" w:hAnsi="宋体" w:eastAsia="宋体" w:cs="宋体"/>
                <w:sz w:val="21"/>
                <w:szCs w:val="21"/>
                <w:highlight w:val="none"/>
                <w:lang w:val="zh-CN" w:eastAsia="zh-CN" w:bidi="ar-SA"/>
              </w:rPr>
              <w:t>形式：</w:t>
            </w:r>
            <w:r>
              <w:rPr>
                <w:rFonts w:hint="eastAsia" w:ascii="宋体" w:hAnsi="宋体" w:eastAsia="宋体" w:cs="宋体"/>
                <w:sz w:val="21"/>
                <w:szCs w:val="21"/>
                <w:highlight w:val="none"/>
                <w:lang w:val="en-US" w:eastAsia="zh-CN" w:bidi="ar-SA"/>
              </w:rPr>
              <w:t>招标文件的澄清、修改在发布公告的网站发布，所有有投标意愿的投标人有义务在网上自行查询。</w:t>
            </w:r>
          </w:p>
        </w:tc>
      </w:tr>
      <w:tr w14:paraId="27B3930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01" w:hRule="atLeast"/>
        </w:trPr>
        <w:tc>
          <w:tcPr>
            <w:tcW w:w="346" w:type="pct"/>
            <w:tcBorders>
              <w:top w:val="single" w:color="auto" w:sz="4" w:space="0"/>
              <w:left w:val="single" w:color="auto" w:sz="4" w:space="0"/>
              <w:bottom w:val="single" w:color="auto" w:sz="4" w:space="0"/>
              <w:right w:val="single" w:color="auto" w:sz="4" w:space="0"/>
            </w:tcBorders>
            <w:vAlign w:val="center"/>
          </w:tcPr>
          <w:p w14:paraId="52F9EA8A">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6</w:t>
            </w:r>
          </w:p>
        </w:tc>
        <w:tc>
          <w:tcPr>
            <w:tcW w:w="999" w:type="pct"/>
            <w:tcBorders>
              <w:top w:val="single" w:color="auto" w:sz="4" w:space="0"/>
              <w:left w:val="single" w:color="auto" w:sz="4" w:space="0"/>
              <w:bottom w:val="single" w:color="auto" w:sz="4" w:space="0"/>
              <w:right w:val="single" w:color="auto" w:sz="4" w:space="0"/>
            </w:tcBorders>
            <w:vAlign w:val="center"/>
          </w:tcPr>
          <w:p w14:paraId="6A65C25E">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投标有效期</w:t>
            </w:r>
          </w:p>
        </w:tc>
        <w:tc>
          <w:tcPr>
            <w:tcW w:w="3654" w:type="pct"/>
            <w:tcBorders>
              <w:top w:val="single" w:color="auto" w:sz="4" w:space="0"/>
              <w:left w:val="single" w:color="auto" w:sz="4" w:space="0"/>
              <w:bottom w:val="single" w:color="auto" w:sz="4" w:space="0"/>
              <w:right w:val="single" w:color="auto" w:sz="4" w:space="0"/>
            </w:tcBorders>
            <w:vAlign w:val="center"/>
          </w:tcPr>
          <w:p w14:paraId="35C1C2C8">
            <w:pPr>
              <w:keepNext w:val="0"/>
              <w:keepLines w:val="0"/>
              <w:widowControl/>
              <w:suppressLineNumbers w:val="0"/>
              <w:spacing w:before="0" w:beforeAutospacing="0" w:after="0" w:afterAutospacing="0" w:line="288" w:lineRule="auto"/>
              <w:ind w:left="-8" w:right="0" w:hanging="16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b/>
                <w:bCs/>
                <w:sz w:val="21"/>
                <w:szCs w:val="21"/>
                <w:highlight w:val="none"/>
                <w:u w:val="single"/>
              </w:rPr>
              <w:t>90</w:t>
            </w:r>
            <w:r>
              <w:rPr>
                <w:rFonts w:hint="eastAsia" w:ascii="宋体" w:hAnsi="宋体" w:eastAsia="宋体" w:cs="宋体"/>
                <w:sz w:val="21"/>
                <w:szCs w:val="21"/>
                <w:highlight w:val="none"/>
              </w:rPr>
              <w:t>日历天（从投标截止之日算起）</w:t>
            </w:r>
          </w:p>
        </w:tc>
      </w:tr>
      <w:tr w14:paraId="43F9BF5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69" w:hRule="atLeast"/>
        </w:trPr>
        <w:tc>
          <w:tcPr>
            <w:tcW w:w="346" w:type="pct"/>
            <w:tcBorders>
              <w:top w:val="single" w:color="auto" w:sz="4" w:space="0"/>
              <w:left w:val="single" w:color="auto" w:sz="4" w:space="0"/>
              <w:bottom w:val="single" w:color="auto" w:sz="4" w:space="0"/>
              <w:right w:val="single" w:color="auto" w:sz="4" w:space="0"/>
            </w:tcBorders>
            <w:vAlign w:val="center"/>
          </w:tcPr>
          <w:p w14:paraId="4691DFA2">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1</w:t>
            </w:r>
            <w:r>
              <w:rPr>
                <w:rFonts w:hint="eastAsia" w:ascii="宋体" w:hAnsi="宋体" w:eastAsia="宋体" w:cs="宋体"/>
                <w:sz w:val="21"/>
                <w:szCs w:val="21"/>
                <w:highlight w:val="none"/>
                <w:lang w:val="en-US" w:eastAsia="zh-CN"/>
              </w:rPr>
              <w:t>7</w:t>
            </w:r>
          </w:p>
        </w:tc>
        <w:tc>
          <w:tcPr>
            <w:tcW w:w="999" w:type="pct"/>
            <w:tcBorders>
              <w:top w:val="single" w:color="auto" w:sz="4" w:space="0"/>
              <w:left w:val="single" w:color="auto" w:sz="4" w:space="0"/>
              <w:bottom w:val="single" w:color="auto" w:sz="4" w:space="0"/>
              <w:right w:val="single" w:color="auto" w:sz="4" w:space="0"/>
            </w:tcBorders>
            <w:vAlign w:val="center"/>
          </w:tcPr>
          <w:p w14:paraId="60199610">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投标保证金</w:t>
            </w:r>
          </w:p>
        </w:tc>
        <w:tc>
          <w:tcPr>
            <w:tcW w:w="3654" w:type="pct"/>
            <w:tcBorders>
              <w:top w:val="single" w:color="auto" w:sz="4" w:space="0"/>
              <w:left w:val="single" w:color="auto" w:sz="4" w:space="0"/>
              <w:bottom w:val="single" w:color="auto" w:sz="4" w:space="0"/>
              <w:right w:val="single" w:color="auto" w:sz="4" w:space="0"/>
            </w:tcBorders>
            <w:vAlign w:val="center"/>
          </w:tcPr>
          <w:p w14:paraId="79E09DD0">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投标保证金的形式：支票、汇票、本票或者金融机构、担保机构出具的保函等非现金形式提交。投标保证金应当从投标人的基本账户转出。</w:t>
            </w:r>
          </w:p>
          <w:p w14:paraId="2C3BEEF2">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投标人未按照招标文件要求提交投标保证金的，投标无效。投标保证金缴纳以到账时间为准。</w:t>
            </w:r>
          </w:p>
          <w:p w14:paraId="70BF741B">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投标保证金的金额：</w:t>
            </w:r>
            <w:r>
              <w:rPr>
                <w:rFonts w:hint="eastAsia" w:ascii="宋体" w:hAnsi="宋体" w:eastAsia="宋体" w:cs="宋体"/>
                <w:sz w:val="21"/>
                <w:szCs w:val="21"/>
                <w:highlight w:val="none"/>
                <w:lang w:val="en-US" w:eastAsia="zh-CN"/>
              </w:rPr>
              <w:t>4000元</w:t>
            </w:r>
          </w:p>
          <w:p w14:paraId="3FA9FDF2">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要求：</w:t>
            </w:r>
          </w:p>
          <w:p w14:paraId="50296110">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 xml:space="preserve">（1）投标人将基本账户开户许可证（或基本存款账户信息）复印件及投标保证金缴纳凭证复印件装入到投标文件中。 </w:t>
            </w:r>
          </w:p>
          <w:p w14:paraId="7CEE8463">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（2）以保函形式提交投标保证金的，保函原件应在投标截止时间前递交至招标代理机构，保函复印件装入投标文件中。</w:t>
            </w:r>
          </w:p>
          <w:p w14:paraId="1EED762E">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收款人全称：中盈永诚咨询集团有限公司长春分公司</w:t>
            </w:r>
          </w:p>
          <w:p w14:paraId="278A3D48">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开户银行:中国银行长春永顺路支行</w:t>
            </w:r>
          </w:p>
          <w:p w14:paraId="1C46CF0B">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银行账号:157265454349</w:t>
            </w:r>
          </w:p>
          <w:p w14:paraId="20E7F922">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000000"/>
                <w:sz w:val="21"/>
                <w:szCs w:val="21"/>
                <w:highlight w:val="none"/>
              </w:rPr>
            </w:pPr>
            <w:r>
              <w:rPr>
                <w:rFonts w:hint="eastAsia" w:ascii="宋体" w:hAnsi="宋体" w:eastAsia="宋体" w:cs="宋体"/>
                <w:color w:val="000000"/>
                <w:sz w:val="21"/>
                <w:szCs w:val="21"/>
                <w:highlight w:val="none"/>
              </w:rPr>
              <w:t>行号：104241016544</w:t>
            </w:r>
          </w:p>
          <w:p w14:paraId="486AA5F3">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sz w:val="21"/>
                <w:szCs w:val="21"/>
                <w:highlight w:val="none"/>
              </w:rPr>
            </w:pPr>
            <w:r>
              <w:rPr>
                <w:rFonts w:hint="eastAsia" w:ascii="宋体" w:hAnsi="宋体" w:eastAsia="宋体" w:cs="宋体"/>
                <w:color w:val="000000"/>
                <w:sz w:val="21"/>
                <w:szCs w:val="21"/>
                <w:highlight w:val="none"/>
              </w:rPr>
              <w:t>投标单位应在汇款凭证上注明投标保证金、项目名称（简写），以便核对查实。</w:t>
            </w:r>
          </w:p>
        </w:tc>
      </w:tr>
      <w:tr w14:paraId="2F7C2C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89" w:hRule="atLeast"/>
        </w:trPr>
        <w:tc>
          <w:tcPr>
            <w:tcW w:w="346" w:type="pct"/>
            <w:tcBorders>
              <w:top w:val="single" w:color="auto" w:sz="4" w:space="0"/>
              <w:left w:val="single" w:color="auto" w:sz="4" w:space="0"/>
              <w:bottom w:val="single" w:color="auto" w:sz="4" w:space="0"/>
              <w:right w:val="single" w:color="auto" w:sz="4" w:space="0"/>
            </w:tcBorders>
            <w:vAlign w:val="center"/>
          </w:tcPr>
          <w:p w14:paraId="09E2C1EE">
            <w:pPr>
              <w:keepNext w:val="0"/>
              <w:keepLines w:val="0"/>
              <w:widowControl w:val="0"/>
              <w:suppressLineNumbers w:val="0"/>
              <w:tabs>
                <w:tab w:val="left" w:pos="420"/>
              </w:tabs>
              <w:spacing w:before="0" w:beforeAutospacing="0" w:after="0" w:afterAutospacing="0" w:line="240"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18</w:t>
            </w:r>
          </w:p>
        </w:tc>
        <w:tc>
          <w:tcPr>
            <w:tcW w:w="999" w:type="pct"/>
            <w:tcBorders>
              <w:top w:val="single" w:color="auto" w:sz="4" w:space="0"/>
              <w:left w:val="single" w:color="auto" w:sz="4" w:space="0"/>
              <w:bottom w:val="single" w:color="auto" w:sz="4" w:space="0"/>
              <w:right w:val="single" w:color="auto" w:sz="4" w:space="0"/>
            </w:tcBorders>
            <w:vAlign w:val="center"/>
          </w:tcPr>
          <w:p w14:paraId="2AF39A7B">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近年财务状况的年份要求</w:t>
            </w:r>
          </w:p>
        </w:tc>
        <w:tc>
          <w:tcPr>
            <w:tcW w:w="3654" w:type="pct"/>
            <w:tcBorders>
              <w:top w:val="single" w:color="auto" w:sz="4" w:space="0"/>
              <w:left w:val="single" w:color="auto" w:sz="4" w:space="0"/>
              <w:bottom w:val="single" w:color="auto" w:sz="4" w:space="0"/>
              <w:right w:val="single" w:color="auto" w:sz="4" w:space="0"/>
            </w:tcBorders>
            <w:vAlign w:val="center"/>
          </w:tcPr>
          <w:p w14:paraId="053D84BF">
            <w:pPr>
              <w:keepNext w:val="0"/>
              <w:keepLines w:val="0"/>
              <w:widowControl/>
              <w:suppressLineNumbers w:val="0"/>
              <w:spacing w:before="0" w:beforeAutospacing="0" w:after="0" w:afterAutospacing="0" w:line="240" w:lineRule="auto"/>
              <w:ind w:left="0" w:right="0"/>
              <w:jc w:val="both"/>
              <w:rPr>
                <w:rFonts w:hint="default" w:ascii="宋体" w:hAnsi="宋体" w:eastAsia="宋体" w:cs="宋体"/>
                <w:color w:val="000000"/>
                <w:sz w:val="21"/>
                <w:szCs w:val="21"/>
                <w:highlight w:val="none"/>
                <w:lang w:val="en-US" w:eastAsia="zh-CN"/>
              </w:rPr>
            </w:pPr>
            <w:r>
              <w:rPr>
                <w:rFonts w:hint="eastAsia" w:ascii="宋体" w:hAnsi="宋体" w:eastAsia="宋体" w:cs="宋体"/>
                <w:sz w:val="21"/>
                <w:szCs w:val="21"/>
                <w:highlight w:val="none"/>
                <w:lang w:val="en-US" w:eastAsia="zh-CN"/>
              </w:rPr>
              <w:t>2025</w:t>
            </w:r>
          </w:p>
        </w:tc>
      </w:tr>
      <w:tr w14:paraId="11A09D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4" w:hRule="atLeast"/>
        </w:trPr>
        <w:tc>
          <w:tcPr>
            <w:tcW w:w="346" w:type="pct"/>
            <w:tcBorders>
              <w:top w:val="single" w:color="auto" w:sz="4" w:space="0"/>
              <w:left w:val="single" w:color="auto" w:sz="4" w:space="0"/>
              <w:bottom w:val="single" w:color="auto" w:sz="4" w:space="0"/>
              <w:right w:val="single" w:color="auto" w:sz="4" w:space="0"/>
            </w:tcBorders>
            <w:vAlign w:val="center"/>
          </w:tcPr>
          <w:p w14:paraId="0CAED996">
            <w:pPr>
              <w:keepNext w:val="0"/>
              <w:keepLines w:val="0"/>
              <w:widowControl w:val="0"/>
              <w:suppressLineNumbers w:val="0"/>
              <w:tabs>
                <w:tab w:val="left" w:pos="420"/>
              </w:tabs>
              <w:spacing w:before="0" w:beforeAutospacing="0" w:after="0" w:afterAutospacing="0" w:line="240"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19</w:t>
            </w:r>
          </w:p>
        </w:tc>
        <w:tc>
          <w:tcPr>
            <w:tcW w:w="999" w:type="pct"/>
            <w:tcBorders>
              <w:top w:val="single" w:color="auto" w:sz="4" w:space="0"/>
              <w:left w:val="single" w:color="auto" w:sz="4" w:space="0"/>
              <w:bottom w:val="single" w:color="auto" w:sz="4" w:space="0"/>
              <w:right w:val="single" w:color="auto" w:sz="4" w:space="0"/>
            </w:tcBorders>
            <w:vAlign w:val="center"/>
          </w:tcPr>
          <w:p w14:paraId="4642D2BB">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近年完成的类似项目的年份要求</w:t>
            </w:r>
          </w:p>
        </w:tc>
        <w:tc>
          <w:tcPr>
            <w:tcW w:w="3654" w:type="pct"/>
            <w:tcBorders>
              <w:top w:val="single" w:color="auto" w:sz="4" w:space="0"/>
              <w:left w:val="single" w:color="auto" w:sz="4" w:space="0"/>
              <w:bottom w:val="single" w:color="auto" w:sz="4" w:space="0"/>
              <w:right w:val="single" w:color="auto" w:sz="4" w:space="0"/>
            </w:tcBorders>
            <w:vAlign w:val="center"/>
          </w:tcPr>
          <w:p w14:paraId="4D0DE111">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color w:val="auto"/>
                <w:sz w:val="20"/>
                <w:szCs w:val="20"/>
                <w:highlight w:val="none"/>
                <w:lang w:val="en-US" w:eastAsia="zh-CN"/>
              </w:rPr>
            </w:pPr>
            <w:r>
              <w:rPr>
                <w:rFonts w:hint="eastAsia" w:ascii="宋体" w:hAnsi="宋体" w:eastAsia="宋体" w:cs="宋体"/>
                <w:sz w:val="21"/>
                <w:szCs w:val="21"/>
                <w:highlight w:val="none"/>
                <w:lang w:val="zh-CN" w:eastAsia="zh-CN"/>
              </w:rPr>
              <w:t>近三年（20</w:t>
            </w:r>
            <w:r>
              <w:rPr>
                <w:rFonts w:hint="eastAsia" w:ascii="宋体" w:hAnsi="宋体" w:eastAsia="宋体" w:cs="宋体"/>
                <w:sz w:val="21"/>
                <w:szCs w:val="21"/>
                <w:highlight w:val="none"/>
                <w:lang w:val="en-US" w:eastAsia="zh-CN"/>
              </w:rPr>
              <w:t>23</w:t>
            </w:r>
            <w:r>
              <w:rPr>
                <w:rFonts w:hint="eastAsia" w:ascii="宋体" w:hAnsi="宋体" w:eastAsia="宋体" w:cs="宋体"/>
                <w:sz w:val="21"/>
                <w:szCs w:val="21"/>
                <w:highlight w:val="none"/>
                <w:lang w:val="zh-CN" w:eastAsia="zh-CN"/>
              </w:rPr>
              <w:t>年至今）</w:t>
            </w:r>
          </w:p>
        </w:tc>
      </w:tr>
      <w:tr w14:paraId="0AE5D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94" w:hRule="atLeast"/>
        </w:trPr>
        <w:tc>
          <w:tcPr>
            <w:tcW w:w="346" w:type="pct"/>
            <w:tcBorders>
              <w:top w:val="single" w:color="auto" w:sz="4" w:space="0"/>
              <w:left w:val="single" w:color="auto" w:sz="4" w:space="0"/>
              <w:bottom w:val="single" w:color="auto" w:sz="4" w:space="0"/>
              <w:right w:val="single" w:color="auto" w:sz="4" w:space="0"/>
            </w:tcBorders>
            <w:vAlign w:val="center"/>
          </w:tcPr>
          <w:p w14:paraId="3EA7C0E1">
            <w:pPr>
              <w:keepNext w:val="0"/>
              <w:keepLines w:val="0"/>
              <w:widowControl w:val="0"/>
              <w:suppressLineNumbers w:val="0"/>
              <w:tabs>
                <w:tab w:val="left" w:pos="420"/>
              </w:tabs>
              <w:spacing w:before="0" w:beforeAutospacing="0" w:after="0" w:afterAutospacing="0" w:line="240"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20</w:t>
            </w:r>
          </w:p>
        </w:tc>
        <w:tc>
          <w:tcPr>
            <w:tcW w:w="999" w:type="pct"/>
            <w:tcBorders>
              <w:top w:val="single" w:color="auto" w:sz="4" w:space="0"/>
              <w:left w:val="single" w:color="auto" w:sz="4" w:space="0"/>
              <w:bottom w:val="single" w:color="auto" w:sz="4" w:space="0"/>
              <w:right w:val="single" w:color="auto" w:sz="4" w:space="0"/>
            </w:tcBorders>
            <w:vAlign w:val="center"/>
          </w:tcPr>
          <w:p w14:paraId="135AD262">
            <w:pPr>
              <w:keepNext w:val="0"/>
              <w:keepLines w:val="0"/>
              <w:widowControl/>
              <w:suppressLineNumbers w:val="0"/>
              <w:spacing w:before="0" w:beforeAutospacing="0" w:after="0" w:afterAutospacing="0" w:line="240"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lang w:val="zh-CN"/>
              </w:rPr>
              <w:t>是否允许递交备选投标方案</w:t>
            </w:r>
          </w:p>
        </w:tc>
        <w:tc>
          <w:tcPr>
            <w:tcW w:w="3654" w:type="pct"/>
            <w:tcBorders>
              <w:top w:val="single" w:color="auto" w:sz="4" w:space="0"/>
              <w:left w:val="single" w:color="auto" w:sz="4" w:space="0"/>
              <w:bottom w:val="single" w:color="auto" w:sz="4" w:space="0"/>
              <w:right w:val="single" w:color="auto" w:sz="4" w:space="0"/>
            </w:tcBorders>
            <w:vAlign w:val="center"/>
          </w:tcPr>
          <w:p w14:paraId="1298C54B">
            <w:pPr>
              <w:keepNext w:val="0"/>
              <w:keepLines w:val="0"/>
              <w:widowControl/>
              <w:suppressLineNumbers w:val="0"/>
              <w:spacing w:before="0" w:beforeAutospacing="0" w:after="0" w:afterAutospacing="0" w:line="240" w:lineRule="auto"/>
              <w:ind w:left="0" w:right="0"/>
              <w:jc w:val="both"/>
              <w:rPr>
                <w:rFonts w:hint="eastAsia" w:ascii="宋体" w:hAnsi="宋体" w:eastAsia="宋体" w:cs="宋体"/>
                <w:sz w:val="21"/>
                <w:szCs w:val="21"/>
                <w:highlight w:val="none"/>
              </w:rPr>
            </w:pPr>
            <w:r>
              <w:rPr>
                <w:rFonts w:hint="eastAsia" w:ascii="宋体" w:hAnsi="宋体" w:eastAsia="宋体" w:cs="宋体"/>
                <w:sz w:val="21"/>
                <w:szCs w:val="21"/>
                <w:highlight w:val="none"/>
                <w:lang w:val="zh-CN" w:eastAsia="zh-CN"/>
              </w:rPr>
              <w:t>不允许</w:t>
            </w:r>
          </w:p>
        </w:tc>
      </w:tr>
      <w:tr w14:paraId="3BC66B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5" w:hRule="atLeast"/>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30965D35">
            <w:pPr>
              <w:keepNext w:val="0"/>
              <w:keepLines w:val="0"/>
              <w:widowControl w:val="0"/>
              <w:suppressLineNumbers w:val="0"/>
              <w:tabs>
                <w:tab w:val="left" w:pos="420"/>
              </w:tabs>
              <w:spacing w:before="0" w:beforeAutospacing="0" w:after="0" w:afterAutospacing="0" w:line="288" w:lineRule="auto"/>
              <w:ind w:left="0" w:leftChars="0" w:right="0" w:rightChars="0"/>
              <w:jc w:val="center"/>
              <w:rPr>
                <w:rFonts w:hint="default"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rPr>
              <w:t>21</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33329FF0">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签字或盖章要求</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54E93605">
            <w:pPr>
              <w:keepNext w:val="0"/>
              <w:keepLines w:val="0"/>
              <w:widowControl/>
              <w:suppressLineNumbers w:val="0"/>
              <w:spacing w:before="0" w:beforeAutospacing="0" w:after="0" w:afterAutospacing="0" w:line="288" w:lineRule="auto"/>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zh-CN"/>
              </w:rPr>
              <w:t>按</w:t>
            </w:r>
            <w:r>
              <w:rPr>
                <w:rFonts w:hint="eastAsia" w:ascii="宋体" w:hAnsi="宋体" w:eastAsia="宋体" w:cs="宋体"/>
                <w:sz w:val="21"/>
                <w:szCs w:val="21"/>
                <w:highlight w:val="none"/>
                <w:lang w:val="en-US" w:eastAsia="zh-CN"/>
              </w:rPr>
              <w:t>政采云</w:t>
            </w:r>
            <w:r>
              <w:rPr>
                <w:rFonts w:hint="eastAsia" w:ascii="宋体" w:hAnsi="宋体" w:eastAsia="宋体" w:cs="宋体"/>
                <w:sz w:val="21"/>
                <w:szCs w:val="21"/>
                <w:highlight w:val="none"/>
                <w:lang w:val="zh-CN"/>
              </w:rPr>
              <w:t>平台（网址：http:// www.zcygov.cn）提供的</w:t>
            </w:r>
            <w:r>
              <w:rPr>
                <w:rFonts w:hint="eastAsia" w:ascii="宋体" w:hAnsi="宋体" w:eastAsia="宋体" w:cs="宋体"/>
                <w:sz w:val="21"/>
                <w:szCs w:val="21"/>
                <w:highlight w:val="none"/>
                <w:lang w:val="en-US" w:eastAsia="zh-CN"/>
              </w:rPr>
              <w:t>投标</w:t>
            </w:r>
            <w:r>
              <w:rPr>
                <w:rFonts w:hint="eastAsia" w:ascii="宋体" w:hAnsi="宋体" w:eastAsia="宋体" w:cs="宋体"/>
                <w:sz w:val="21"/>
                <w:szCs w:val="21"/>
                <w:highlight w:val="none"/>
                <w:lang w:val="zh-CN"/>
              </w:rPr>
              <w:t>文件格式及要求填写。</w:t>
            </w:r>
          </w:p>
        </w:tc>
      </w:tr>
      <w:tr w14:paraId="22969C6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trPr>
        <w:tc>
          <w:tcPr>
            <w:tcW w:w="346" w:type="pct"/>
            <w:tcBorders>
              <w:top w:val="single" w:color="auto" w:sz="4" w:space="0"/>
              <w:left w:val="single" w:color="auto" w:sz="4" w:space="0"/>
              <w:bottom w:val="single" w:color="auto" w:sz="4" w:space="0"/>
              <w:right w:val="single" w:color="auto" w:sz="4" w:space="0"/>
            </w:tcBorders>
            <w:vAlign w:val="center"/>
          </w:tcPr>
          <w:p w14:paraId="2933BC65">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22</w:t>
            </w:r>
          </w:p>
        </w:tc>
        <w:tc>
          <w:tcPr>
            <w:tcW w:w="999" w:type="pct"/>
            <w:tcBorders>
              <w:top w:val="single" w:color="auto" w:sz="4" w:space="0"/>
              <w:left w:val="single" w:color="auto" w:sz="4" w:space="0"/>
              <w:bottom w:val="single" w:color="auto" w:sz="4" w:space="0"/>
              <w:right w:val="single" w:color="auto" w:sz="4" w:space="0"/>
            </w:tcBorders>
            <w:vAlign w:val="center"/>
          </w:tcPr>
          <w:p w14:paraId="1D70F0CF">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投标文件份数</w:t>
            </w:r>
          </w:p>
        </w:tc>
        <w:tc>
          <w:tcPr>
            <w:tcW w:w="3654" w:type="pct"/>
            <w:tcBorders>
              <w:top w:val="single" w:color="auto" w:sz="4" w:space="0"/>
              <w:left w:val="single" w:color="auto" w:sz="4" w:space="0"/>
              <w:bottom w:val="single" w:color="auto" w:sz="4" w:space="0"/>
              <w:right w:val="single" w:color="auto" w:sz="4" w:space="0"/>
            </w:tcBorders>
            <w:vAlign w:val="center"/>
          </w:tcPr>
          <w:p w14:paraId="3A0BF09D">
            <w:pPr>
              <w:keepNext w:val="0"/>
              <w:keepLines w:val="0"/>
              <w:widowControl/>
              <w:suppressLineNumbers w:val="0"/>
              <w:spacing w:before="0" w:beforeAutospacing="0" w:after="0" w:afterAutospacing="0" w:line="288" w:lineRule="auto"/>
              <w:ind w:left="0" w:right="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（1）投标人在“政采云”平台（http：//www.zcygov.cn）上制作电子投标文件一份（此投标文件须在递交截止时间前上传至“政采云”平台）。 </w:t>
            </w:r>
          </w:p>
          <w:p w14:paraId="5ECB6BBD">
            <w:pPr>
              <w:keepNext w:val="0"/>
              <w:keepLines w:val="0"/>
              <w:widowControl/>
              <w:suppressLineNumbers w:val="0"/>
              <w:spacing w:before="0" w:beforeAutospacing="0" w:after="0" w:afterAutospacing="0" w:line="288" w:lineRule="auto"/>
              <w:ind w:left="0" w:right="0"/>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（2）按照《关于开展政府采购全流程电子化交易的通知》（吉财采购〔2024〕967号），投标人无需提供任何纸质材料。需整理相关投标文件存档的，应通过系统自行下载。</w:t>
            </w:r>
          </w:p>
        </w:tc>
      </w:tr>
      <w:tr w14:paraId="245EA7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54" w:hRule="atLeast"/>
        </w:trPr>
        <w:tc>
          <w:tcPr>
            <w:tcW w:w="346" w:type="pct"/>
            <w:tcBorders>
              <w:top w:val="single" w:color="auto" w:sz="4" w:space="0"/>
              <w:left w:val="single" w:color="auto" w:sz="4" w:space="0"/>
              <w:bottom w:val="single" w:color="auto" w:sz="4" w:space="0"/>
              <w:right w:val="single" w:color="auto" w:sz="4" w:space="0"/>
            </w:tcBorders>
            <w:vAlign w:val="center"/>
          </w:tcPr>
          <w:p w14:paraId="37ABAD63">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23</w:t>
            </w:r>
          </w:p>
        </w:tc>
        <w:tc>
          <w:tcPr>
            <w:tcW w:w="999" w:type="pct"/>
            <w:tcBorders>
              <w:top w:val="single" w:color="auto" w:sz="4" w:space="0"/>
              <w:left w:val="single" w:color="auto" w:sz="4" w:space="0"/>
              <w:bottom w:val="single" w:color="auto" w:sz="4" w:space="0"/>
              <w:right w:val="single" w:color="auto" w:sz="4" w:space="0"/>
            </w:tcBorders>
            <w:vAlign w:val="center"/>
          </w:tcPr>
          <w:p w14:paraId="55750F41">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投标文件提交地点及截止时间</w:t>
            </w:r>
          </w:p>
        </w:tc>
        <w:tc>
          <w:tcPr>
            <w:tcW w:w="3654" w:type="pct"/>
            <w:tcBorders>
              <w:top w:val="single" w:color="auto" w:sz="4" w:space="0"/>
              <w:left w:val="single" w:color="auto" w:sz="4" w:space="0"/>
              <w:bottom w:val="single" w:color="auto" w:sz="4" w:space="0"/>
              <w:right w:val="single" w:color="auto" w:sz="4" w:space="0"/>
            </w:tcBorders>
            <w:vAlign w:val="center"/>
          </w:tcPr>
          <w:p w14:paraId="41CF0957">
            <w:pPr>
              <w:keepNext w:val="0"/>
              <w:keepLines w:val="0"/>
              <w:widowControl/>
              <w:suppressLineNumbers w:val="0"/>
              <w:spacing w:before="0" w:beforeAutospacing="0" w:after="0" w:afterAutospacing="0" w:line="288" w:lineRule="auto"/>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时间：</w:t>
            </w:r>
            <w:r>
              <w:rPr>
                <w:rFonts w:hint="eastAsia" w:ascii="宋体" w:hAnsi="宋体" w:eastAsia="宋体" w:cs="宋体"/>
                <w:sz w:val="21"/>
                <w:szCs w:val="21"/>
                <w:highlight w:val="none"/>
                <w:lang w:eastAsia="zh-CN"/>
              </w:rPr>
              <w:t>202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lang w:eastAsia="zh-CN"/>
              </w:rPr>
              <w:t>年</w:t>
            </w:r>
            <w:r>
              <w:rPr>
                <w:rFonts w:hint="eastAsia" w:ascii="宋体" w:hAnsi="宋体" w:cs="宋体"/>
                <w:sz w:val="21"/>
                <w:szCs w:val="21"/>
                <w:highlight w:val="none"/>
                <w:lang w:val="en-US" w:eastAsia="zh-CN"/>
              </w:rPr>
              <w:t>9</w:t>
            </w:r>
            <w:r>
              <w:rPr>
                <w:rFonts w:hint="eastAsia" w:ascii="宋体" w:hAnsi="宋体" w:eastAsia="宋体" w:cs="宋体"/>
                <w:sz w:val="21"/>
                <w:szCs w:val="21"/>
                <w:highlight w:val="none"/>
                <w:lang w:eastAsia="zh-CN"/>
              </w:rPr>
              <w:t>月</w:t>
            </w:r>
            <w:r>
              <w:rPr>
                <w:rFonts w:hint="eastAsia" w:ascii="宋体" w:hAnsi="宋体" w:cs="宋体"/>
                <w:sz w:val="21"/>
                <w:szCs w:val="21"/>
                <w:highlight w:val="none"/>
                <w:lang w:val="en-US" w:eastAsia="zh-CN"/>
              </w:rPr>
              <w:t>11</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lang w:eastAsia="zh-CN"/>
              </w:rPr>
              <w:t>时00分</w:t>
            </w:r>
            <w:r>
              <w:rPr>
                <w:rFonts w:hint="eastAsia" w:ascii="宋体" w:hAnsi="宋体" w:eastAsia="宋体" w:cs="宋体"/>
                <w:sz w:val="21"/>
                <w:szCs w:val="21"/>
                <w:highlight w:val="none"/>
              </w:rPr>
              <w:t>（北京时间）</w:t>
            </w:r>
          </w:p>
          <w:p w14:paraId="5E8FF91A">
            <w:pPr>
              <w:keepNext w:val="0"/>
              <w:keepLines w:val="0"/>
              <w:widowControl/>
              <w:suppressLineNumbers w:val="0"/>
              <w:spacing w:before="0" w:beforeAutospacing="0" w:after="0" w:afterAutospacing="0" w:line="288" w:lineRule="auto"/>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地点：</w:t>
            </w:r>
            <w:r>
              <w:rPr>
                <w:rFonts w:hint="eastAsia" w:ascii="宋体" w:hAnsi="宋体" w:eastAsia="宋体" w:cs="宋体"/>
                <w:sz w:val="21"/>
                <w:szCs w:val="21"/>
                <w:highlight w:val="none"/>
                <w:lang w:val="zh-CN"/>
              </w:rPr>
              <w:t>“政采云”平台</w:t>
            </w:r>
          </w:p>
        </w:tc>
      </w:tr>
      <w:tr w14:paraId="1A3CFE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89" w:hRule="atLeast"/>
        </w:trPr>
        <w:tc>
          <w:tcPr>
            <w:tcW w:w="346" w:type="pct"/>
            <w:tcBorders>
              <w:top w:val="single" w:color="auto" w:sz="4" w:space="0"/>
              <w:left w:val="single" w:color="auto" w:sz="4" w:space="0"/>
              <w:bottom w:val="single" w:color="auto" w:sz="4" w:space="0"/>
              <w:right w:val="single" w:color="auto" w:sz="4" w:space="0"/>
            </w:tcBorders>
            <w:vAlign w:val="center"/>
          </w:tcPr>
          <w:p w14:paraId="6551E749">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24</w:t>
            </w:r>
          </w:p>
        </w:tc>
        <w:tc>
          <w:tcPr>
            <w:tcW w:w="999" w:type="pct"/>
            <w:tcBorders>
              <w:top w:val="single" w:color="auto" w:sz="4" w:space="0"/>
              <w:left w:val="single" w:color="auto" w:sz="4" w:space="0"/>
              <w:bottom w:val="single" w:color="auto" w:sz="4" w:space="0"/>
              <w:right w:val="single" w:color="auto" w:sz="4" w:space="0"/>
            </w:tcBorders>
            <w:vAlign w:val="center"/>
          </w:tcPr>
          <w:p w14:paraId="3D721460">
            <w:pPr>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jc w:val="center"/>
              <w:textAlignment w:val="auto"/>
              <w:rPr>
                <w:rFonts w:hint="eastAsia" w:ascii="宋体" w:hAnsi="宋体" w:eastAsia="宋体" w:cs="宋体"/>
                <w:sz w:val="21"/>
                <w:szCs w:val="21"/>
                <w:highlight w:val="none"/>
              </w:rPr>
            </w:pPr>
            <w:r>
              <w:rPr>
                <w:rFonts w:hint="eastAsia" w:ascii="宋体" w:hAnsi="宋体" w:eastAsia="宋体" w:cs="宋体"/>
                <w:bCs/>
                <w:kern w:val="15"/>
                <w:sz w:val="21"/>
                <w:szCs w:val="21"/>
                <w:highlight w:val="none"/>
                <w:lang w:val="zh-CN"/>
              </w:rPr>
              <w:t>是否退还</w:t>
            </w:r>
            <w:r>
              <w:rPr>
                <w:rFonts w:hint="eastAsia" w:ascii="宋体" w:hAnsi="宋体" w:eastAsia="宋体" w:cs="宋体"/>
                <w:bCs/>
                <w:kern w:val="15"/>
                <w:sz w:val="21"/>
                <w:szCs w:val="21"/>
                <w:highlight w:val="none"/>
                <w:lang w:val="en-US" w:eastAsia="zh-CN"/>
              </w:rPr>
              <w:t>投标</w:t>
            </w:r>
            <w:r>
              <w:rPr>
                <w:rFonts w:hint="eastAsia" w:ascii="宋体" w:hAnsi="宋体" w:eastAsia="宋体" w:cs="宋体"/>
                <w:bCs/>
                <w:kern w:val="15"/>
                <w:sz w:val="21"/>
                <w:szCs w:val="21"/>
                <w:highlight w:val="none"/>
                <w:lang w:val="zh-CN"/>
              </w:rPr>
              <w:t>文件</w:t>
            </w:r>
          </w:p>
        </w:tc>
        <w:tc>
          <w:tcPr>
            <w:tcW w:w="3654" w:type="pct"/>
            <w:tcBorders>
              <w:top w:val="single" w:color="auto" w:sz="4" w:space="0"/>
              <w:left w:val="single" w:color="auto" w:sz="4" w:space="0"/>
              <w:bottom w:val="single" w:color="auto" w:sz="4" w:space="0"/>
              <w:right w:val="single" w:color="auto" w:sz="4" w:space="0"/>
            </w:tcBorders>
            <w:vAlign w:val="center"/>
          </w:tcPr>
          <w:p w14:paraId="53FC8549">
            <w:pPr>
              <w:pStyle w:val="98"/>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textAlignment w:val="auto"/>
              <w:rPr>
                <w:rFonts w:hint="eastAsia" w:ascii="宋体" w:hAnsi="宋体" w:eastAsia="宋体" w:cs="宋体"/>
                <w:sz w:val="21"/>
                <w:szCs w:val="21"/>
                <w:highlight w:val="none"/>
              </w:rPr>
            </w:pPr>
            <w:r>
              <w:rPr>
                <w:rFonts w:hint="eastAsia" w:ascii="宋体" w:hAnsi="宋体" w:eastAsia="宋体" w:cs="宋体"/>
                <w:color w:val="auto"/>
                <w:kern w:val="2"/>
                <w:sz w:val="21"/>
                <w:szCs w:val="21"/>
                <w:highlight w:val="none"/>
                <w:lang w:val="zh-CN"/>
              </w:rPr>
              <w:t>不退还</w:t>
            </w:r>
          </w:p>
        </w:tc>
      </w:tr>
      <w:tr w14:paraId="27E64B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7" w:hRule="atLeast"/>
        </w:trPr>
        <w:tc>
          <w:tcPr>
            <w:tcW w:w="346" w:type="pct"/>
            <w:tcBorders>
              <w:top w:val="single" w:color="auto" w:sz="4" w:space="0"/>
              <w:left w:val="single" w:color="auto" w:sz="4" w:space="0"/>
              <w:bottom w:val="single" w:color="auto" w:sz="4" w:space="0"/>
              <w:right w:val="single" w:color="auto" w:sz="4" w:space="0"/>
            </w:tcBorders>
            <w:vAlign w:val="center"/>
          </w:tcPr>
          <w:p w14:paraId="39D4573E">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25</w:t>
            </w:r>
          </w:p>
        </w:tc>
        <w:tc>
          <w:tcPr>
            <w:tcW w:w="999" w:type="pct"/>
            <w:tcBorders>
              <w:top w:val="single" w:color="auto" w:sz="4" w:space="0"/>
              <w:left w:val="single" w:color="auto" w:sz="4" w:space="0"/>
              <w:bottom w:val="single" w:color="auto" w:sz="4" w:space="0"/>
              <w:right w:val="single" w:color="auto" w:sz="4" w:space="0"/>
            </w:tcBorders>
            <w:vAlign w:val="center"/>
          </w:tcPr>
          <w:p w14:paraId="31789D62">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开标</w:t>
            </w:r>
          </w:p>
        </w:tc>
        <w:tc>
          <w:tcPr>
            <w:tcW w:w="3654" w:type="pct"/>
            <w:tcBorders>
              <w:top w:val="single" w:color="auto" w:sz="4" w:space="0"/>
              <w:left w:val="single" w:color="auto" w:sz="4" w:space="0"/>
              <w:bottom w:val="single" w:color="auto" w:sz="4" w:space="0"/>
              <w:right w:val="single" w:color="auto" w:sz="4" w:space="0"/>
            </w:tcBorders>
            <w:vAlign w:val="center"/>
          </w:tcPr>
          <w:p w14:paraId="74F935F1">
            <w:pPr>
              <w:pStyle w:val="136"/>
              <w:keepNext w:val="0"/>
              <w:keepLines w:val="0"/>
              <w:widowControl/>
              <w:suppressLineNumbers w:val="0"/>
              <w:wordWrap w:val="0"/>
              <w:spacing w:before="0" w:beforeAutospacing="0" w:after="0" w:afterAutospacing="0" w:line="288" w:lineRule="auto"/>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时间：</w:t>
            </w:r>
            <w:r>
              <w:rPr>
                <w:rFonts w:hint="eastAsia" w:ascii="宋体" w:hAnsi="宋体" w:eastAsia="宋体" w:cs="宋体"/>
                <w:sz w:val="21"/>
                <w:szCs w:val="21"/>
                <w:highlight w:val="none"/>
                <w:lang w:eastAsia="zh-CN"/>
              </w:rPr>
              <w:t>202</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lang w:eastAsia="zh-CN"/>
              </w:rPr>
              <w:t>年</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lang w:eastAsia="zh-CN"/>
              </w:rPr>
              <w:t>月</w:t>
            </w:r>
            <w:r>
              <w:rPr>
                <w:rFonts w:hint="eastAsia" w:ascii="宋体" w:hAnsi="宋体" w:eastAsia="宋体" w:cs="宋体"/>
                <w:sz w:val="21"/>
                <w:szCs w:val="21"/>
                <w:highlight w:val="none"/>
                <w:lang w:val="en-US" w:eastAsia="zh-CN"/>
              </w:rPr>
              <w:t>11</w:t>
            </w:r>
            <w:r>
              <w:rPr>
                <w:rFonts w:hint="eastAsia" w:ascii="宋体" w:hAnsi="宋体" w:eastAsia="宋体" w:cs="宋体"/>
                <w:sz w:val="21"/>
                <w:szCs w:val="21"/>
                <w:highlight w:val="none"/>
                <w:lang w:eastAsia="zh-CN"/>
              </w:rPr>
              <w:t>日</w:t>
            </w:r>
            <w:r>
              <w:rPr>
                <w:rFonts w:hint="eastAsia" w:ascii="宋体" w:hAnsi="宋体" w:eastAsia="宋体" w:cs="宋体"/>
                <w:sz w:val="21"/>
                <w:szCs w:val="21"/>
                <w:highlight w:val="none"/>
                <w:lang w:val="en-US" w:eastAsia="zh-CN"/>
              </w:rPr>
              <w:t>9</w:t>
            </w:r>
            <w:r>
              <w:rPr>
                <w:rFonts w:hint="eastAsia" w:ascii="宋体" w:hAnsi="宋体" w:eastAsia="宋体" w:cs="宋体"/>
                <w:sz w:val="21"/>
                <w:szCs w:val="21"/>
                <w:highlight w:val="none"/>
                <w:lang w:eastAsia="zh-CN"/>
              </w:rPr>
              <w:t>时00分</w:t>
            </w:r>
            <w:r>
              <w:rPr>
                <w:rFonts w:hint="eastAsia" w:ascii="宋体" w:hAnsi="宋体" w:eastAsia="宋体" w:cs="宋体"/>
                <w:sz w:val="21"/>
                <w:szCs w:val="21"/>
                <w:highlight w:val="none"/>
              </w:rPr>
              <w:t>（北京时间）</w:t>
            </w:r>
          </w:p>
          <w:p w14:paraId="220BDD69">
            <w:pPr>
              <w:pStyle w:val="136"/>
              <w:keepNext w:val="0"/>
              <w:keepLines w:val="0"/>
              <w:widowControl/>
              <w:suppressLineNumbers w:val="0"/>
              <w:wordWrap w:val="0"/>
              <w:spacing w:before="0" w:beforeAutospacing="0" w:after="0" w:afterAutospacing="0" w:line="288" w:lineRule="auto"/>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地点：南关区人民大街9999号吉林省公共资源交易中心4楼开标区 联系方式：0431-82752735开标仓-15室</w:t>
            </w:r>
          </w:p>
        </w:tc>
      </w:tr>
      <w:tr w14:paraId="57A9C2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trPr>
        <w:tc>
          <w:tcPr>
            <w:tcW w:w="346" w:type="pct"/>
            <w:tcBorders>
              <w:top w:val="single" w:color="auto" w:sz="4" w:space="0"/>
              <w:left w:val="single" w:color="auto" w:sz="4" w:space="0"/>
              <w:bottom w:val="single" w:color="auto" w:sz="4" w:space="0"/>
              <w:right w:val="single" w:color="auto" w:sz="4" w:space="0"/>
            </w:tcBorders>
            <w:vAlign w:val="center"/>
          </w:tcPr>
          <w:p w14:paraId="3E55DFAE">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26</w:t>
            </w:r>
          </w:p>
        </w:tc>
        <w:tc>
          <w:tcPr>
            <w:tcW w:w="999" w:type="pct"/>
            <w:tcBorders>
              <w:top w:val="single" w:color="auto" w:sz="4" w:space="0"/>
              <w:left w:val="single" w:color="auto" w:sz="4" w:space="0"/>
              <w:bottom w:val="single" w:color="auto" w:sz="4" w:space="0"/>
              <w:right w:val="single" w:color="auto" w:sz="4" w:space="0"/>
            </w:tcBorders>
            <w:vAlign w:val="center"/>
          </w:tcPr>
          <w:p w14:paraId="36C3A798">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评标方法及标准</w:t>
            </w:r>
          </w:p>
        </w:tc>
        <w:tc>
          <w:tcPr>
            <w:tcW w:w="3654" w:type="pct"/>
            <w:tcBorders>
              <w:top w:val="single" w:color="auto" w:sz="4" w:space="0"/>
              <w:left w:val="single" w:color="auto" w:sz="4" w:space="0"/>
              <w:bottom w:val="single" w:color="auto" w:sz="4" w:space="0"/>
              <w:right w:val="single" w:color="auto" w:sz="4" w:space="0"/>
            </w:tcBorders>
            <w:vAlign w:val="center"/>
          </w:tcPr>
          <w:p w14:paraId="2B5D233A">
            <w:pPr>
              <w:pStyle w:val="136"/>
              <w:keepNext w:val="0"/>
              <w:keepLines w:val="0"/>
              <w:widowControl/>
              <w:suppressLineNumbers w:val="0"/>
              <w:wordWrap w:val="0"/>
              <w:spacing w:before="0" w:beforeAutospacing="0" w:after="0" w:afterAutospacing="0" w:line="288" w:lineRule="auto"/>
              <w:ind w:left="0" w:right="0"/>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lang w:eastAsia="zh-CN"/>
              </w:rPr>
              <w:t>综合评分法</w:t>
            </w:r>
          </w:p>
        </w:tc>
      </w:tr>
      <w:tr w14:paraId="28CA68A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33" w:hRule="atLeast"/>
        </w:trPr>
        <w:tc>
          <w:tcPr>
            <w:tcW w:w="346" w:type="pct"/>
            <w:tcBorders>
              <w:top w:val="single" w:color="auto" w:sz="4" w:space="0"/>
              <w:left w:val="single" w:color="auto" w:sz="4" w:space="0"/>
              <w:bottom w:val="single" w:color="auto" w:sz="4" w:space="0"/>
              <w:right w:val="single" w:color="auto" w:sz="4" w:space="0"/>
            </w:tcBorders>
            <w:vAlign w:val="center"/>
          </w:tcPr>
          <w:p w14:paraId="728CAE28">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27</w:t>
            </w:r>
          </w:p>
        </w:tc>
        <w:tc>
          <w:tcPr>
            <w:tcW w:w="999" w:type="pct"/>
            <w:tcBorders>
              <w:top w:val="single" w:color="auto" w:sz="4" w:space="0"/>
              <w:left w:val="single" w:color="auto" w:sz="4" w:space="0"/>
              <w:bottom w:val="single" w:color="auto" w:sz="4" w:space="0"/>
              <w:right w:val="single" w:color="auto" w:sz="4" w:space="0"/>
            </w:tcBorders>
            <w:vAlign w:val="center"/>
          </w:tcPr>
          <w:p w14:paraId="55F6BC11">
            <w:pPr>
              <w:keepNext w:val="0"/>
              <w:keepLines w:val="0"/>
              <w:widowControl/>
              <w:suppressLineNumbers w:val="0"/>
              <w:wordWrap w:val="0"/>
              <w:autoSpaceDE w:val="0"/>
              <w:autoSpaceDN w:val="0"/>
              <w:adjustRightInd w:val="0"/>
              <w:spacing w:before="0" w:beforeAutospacing="0" w:after="0" w:afterAutospacing="0" w:line="288" w:lineRule="auto"/>
              <w:ind w:left="0" w:right="0"/>
              <w:jc w:val="center"/>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评标委员会的组建</w:t>
            </w:r>
          </w:p>
        </w:tc>
        <w:tc>
          <w:tcPr>
            <w:tcW w:w="3654" w:type="pct"/>
            <w:tcBorders>
              <w:top w:val="single" w:color="auto" w:sz="4" w:space="0"/>
              <w:left w:val="single" w:color="auto" w:sz="4" w:space="0"/>
              <w:bottom w:val="single" w:color="auto" w:sz="4" w:space="0"/>
              <w:right w:val="single" w:color="auto" w:sz="4" w:space="0"/>
            </w:tcBorders>
            <w:vAlign w:val="center"/>
          </w:tcPr>
          <w:p w14:paraId="311E5974">
            <w:pPr>
              <w:pStyle w:val="136"/>
              <w:keepNext w:val="0"/>
              <w:keepLines w:val="0"/>
              <w:widowControl/>
              <w:suppressLineNumbers w:val="0"/>
              <w:wordWrap w:val="0"/>
              <w:spacing w:before="0" w:beforeAutospacing="0" w:after="0" w:afterAutospacing="0" w:line="288" w:lineRule="auto"/>
              <w:ind w:left="0" w:right="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评标委员会构成：采购人代表1人，技术、经济相关专业专家4人；</w:t>
            </w:r>
          </w:p>
          <w:p w14:paraId="18A4070B">
            <w:pPr>
              <w:keepNext w:val="0"/>
              <w:keepLines w:val="0"/>
              <w:widowControl/>
              <w:suppressLineNumbers w:val="0"/>
              <w:wordWrap w:val="0"/>
              <w:spacing w:before="0" w:beforeAutospacing="0" w:after="0" w:afterAutospacing="0" w:line="288" w:lineRule="auto"/>
              <w:ind w:left="0" w:right="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评标专家确定方式：</w:t>
            </w:r>
            <w:r>
              <w:rPr>
                <w:rFonts w:hint="eastAsia" w:ascii="宋体" w:hAnsi="宋体" w:eastAsia="宋体" w:cs="宋体"/>
                <w:sz w:val="21"/>
                <w:szCs w:val="21"/>
              </w:rPr>
              <w:t>从</w:t>
            </w:r>
            <w:r>
              <w:rPr>
                <w:rFonts w:hint="eastAsia" w:ascii="宋体" w:hAnsi="宋体" w:eastAsia="宋体" w:cs="宋体"/>
                <w:sz w:val="21"/>
                <w:szCs w:val="21"/>
                <w:lang w:val="zh-CN"/>
              </w:rPr>
              <w:t>政采云平台专家库中随机抽取</w:t>
            </w:r>
            <w:r>
              <w:rPr>
                <w:rFonts w:hint="eastAsia" w:ascii="宋体" w:hAnsi="宋体" w:eastAsia="宋体" w:cs="宋体"/>
                <w:color w:val="auto"/>
                <w:sz w:val="21"/>
                <w:szCs w:val="21"/>
                <w:highlight w:val="none"/>
              </w:rPr>
              <w:t>。</w:t>
            </w:r>
          </w:p>
        </w:tc>
      </w:tr>
      <w:tr w14:paraId="78543A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346" w:type="pct"/>
            <w:tcBorders>
              <w:top w:val="single" w:color="auto" w:sz="4" w:space="0"/>
              <w:left w:val="single" w:color="auto" w:sz="4" w:space="0"/>
              <w:bottom w:val="single" w:color="auto" w:sz="4" w:space="0"/>
              <w:right w:val="single" w:color="auto" w:sz="4" w:space="0"/>
            </w:tcBorders>
            <w:vAlign w:val="center"/>
          </w:tcPr>
          <w:p w14:paraId="678D70D4">
            <w:pPr>
              <w:keepNext w:val="0"/>
              <w:keepLines w:val="0"/>
              <w:widowControl w:val="0"/>
              <w:suppressLineNumbers w:val="0"/>
              <w:tabs>
                <w:tab w:val="left" w:pos="420"/>
              </w:tabs>
              <w:spacing w:before="0" w:beforeAutospacing="0" w:after="0" w:afterAutospacing="0" w:line="288" w:lineRule="auto"/>
              <w:ind w:left="0" w:right="0"/>
              <w:jc w:val="center"/>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2</w:t>
            </w:r>
            <w:r>
              <w:rPr>
                <w:rFonts w:hint="eastAsia" w:ascii="宋体" w:hAnsi="宋体" w:eastAsia="宋体" w:cs="宋体"/>
                <w:sz w:val="21"/>
                <w:szCs w:val="21"/>
                <w:highlight w:val="none"/>
                <w:lang w:val="en-US" w:eastAsia="zh-CN"/>
              </w:rPr>
              <w:t>8</w:t>
            </w:r>
          </w:p>
        </w:tc>
        <w:tc>
          <w:tcPr>
            <w:tcW w:w="999" w:type="pct"/>
            <w:tcBorders>
              <w:top w:val="single" w:color="auto" w:sz="4" w:space="0"/>
              <w:left w:val="single" w:color="auto" w:sz="4" w:space="0"/>
              <w:bottom w:val="single" w:color="auto" w:sz="4" w:space="0"/>
              <w:right w:val="single" w:color="auto" w:sz="4" w:space="0"/>
            </w:tcBorders>
            <w:vAlign w:val="center"/>
          </w:tcPr>
          <w:p w14:paraId="3534332B">
            <w:pPr>
              <w:keepNext w:val="0"/>
              <w:keepLines w:val="0"/>
              <w:widowControl/>
              <w:suppressLineNumbers w:val="0"/>
              <w:wordWrap w:val="0"/>
              <w:autoSpaceDE w:val="0"/>
              <w:autoSpaceDN w:val="0"/>
              <w:adjustRightInd w:val="0"/>
              <w:spacing w:before="0" w:beforeAutospacing="0" w:after="0" w:afterAutospacing="0" w:line="288" w:lineRule="auto"/>
              <w:ind w:left="0" w:right="0"/>
              <w:jc w:val="center"/>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是否授权评标委员会确定中标人</w:t>
            </w:r>
          </w:p>
        </w:tc>
        <w:tc>
          <w:tcPr>
            <w:tcW w:w="3654" w:type="pct"/>
            <w:tcBorders>
              <w:top w:val="single" w:color="auto" w:sz="4" w:space="0"/>
              <w:left w:val="single" w:color="auto" w:sz="4" w:space="0"/>
              <w:bottom w:val="single" w:color="auto" w:sz="4" w:space="0"/>
              <w:right w:val="single" w:color="auto" w:sz="4" w:space="0"/>
            </w:tcBorders>
            <w:vAlign w:val="center"/>
          </w:tcPr>
          <w:p w14:paraId="69BBBCA8">
            <w:pPr>
              <w:keepNext w:val="0"/>
              <w:keepLines w:val="0"/>
              <w:widowControl/>
              <w:suppressLineNumbers w:val="0"/>
              <w:wordWrap w:val="0"/>
              <w:spacing w:before="0" w:beforeAutospacing="0" w:after="0" w:afterAutospacing="0" w:line="288" w:lineRule="auto"/>
              <w:ind w:left="0" w:right="0"/>
              <w:rPr>
                <w:rFonts w:hint="eastAsia" w:ascii="宋体" w:hAnsi="宋体" w:eastAsia="宋体" w:cs="宋体"/>
                <w:bCs/>
                <w:color w:val="auto"/>
                <w:kern w:val="15"/>
                <w:sz w:val="21"/>
                <w:szCs w:val="21"/>
                <w:highlight w:val="none"/>
              </w:rPr>
            </w:pPr>
            <w:r>
              <w:rPr>
                <w:rFonts w:hint="eastAsia" w:ascii="宋体" w:hAnsi="宋体" w:eastAsia="宋体" w:cs="宋体"/>
                <w:bCs/>
                <w:color w:val="auto"/>
                <w:sz w:val="21"/>
                <w:szCs w:val="21"/>
                <w:highlight w:val="none"/>
                <w:lang w:val="zh-CN"/>
              </w:rPr>
              <w:t>否，推荐3名中标候选人</w:t>
            </w:r>
          </w:p>
        </w:tc>
      </w:tr>
      <w:tr w14:paraId="5F7F2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346" w:type="pct"/>
            <w:tcBorders>
              <w:top w:val="single" w:color="auto" w:sz="4" w:space="0"/>
              <w:left w:val="single" w:color="auto" w:sz="4" w:space="0"/>
              <w:bottom w:val="single" w:color="auto" w:sz="4" w:space="0"/>
              <w:right w:val="single" w:color="auto" w:sz="4" w:space="0"/>
            </w:tcBorders>
            <w:vAlign w:val="center"/>
          </w:tcPr>
          <w:p w14:paraId="38970D22">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29</w:t>
            </w:r>
          </w:p>
        </w:tc>
        <w:tc>
          <w:tcPr>
            <w:tcW w:w="1937" w:type="dxa"/>
            <w:tcBorders>
              <w:top w:val="single" w:color="auto" w:sz="4" w:space="0"/>
              <w:left w:val="single" w:color="auto" w:sz="4" w:space="0"/>
              <w:bottom w:val="single" w:color="auto" w:sz="4" w:space="0"/>
              <w:right w:val="single" w:color="auto" w:sz="4" w:space="0"/>
            </w:tcBorders>
            <w:vAlign w:val="center"/>
          </w:tcPr>
          <w:p w14:paraId="3BA40499">
            <w:pPr>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jc w:val="center"/>
              <w:textAlignment w:val="auto"/>
              <w:rPr>
                <w:rFonts w:hint="eastAsia" w:ascii="宋体" w:hAnsi="宋体" w:eastAsia="宋体" w:cs="宋体"/>
                <w:bCs/>
                <w:sz w:val="21"/>
                <w:szCs w:val="21"/>
                <w:highlight w:val="none"/>
                <w:lang w:val="zh-CN"/>
              </w:rPr>
            </w:pPr>
            <w:r>
              <w:rPr>
                <w:rFonts w:hint="eastAsia" w:ascii="宋体" w:hAnsi="宋体" w:eastAsia="宋体" w:cs="宋体"/>
                <w:bCs/>
                <w:kern w:val="15"/>
                <w:sz w:val="21"/>
                <w:szCs w:val="21"/>
                <w:highlight w:val="none"/>
                <w:lang w:val="en-US" w:eastAsia="zh-CN"/>
              </w:rPr>
              <w:t>中标</w:t>
            </w:r>
            <w:r>
              <w:rPr>
                <w:rFonts w:hint="eastAsia" w:ascii="宋体" w:hAnsi="宋体" w:eastAsia="宋体" w:cs="宋体"/>
                <w:bCs/>
                <w:kern w:val="15"/>
                <w:sz w:val="21"/>
                <w:szCs w:val="21"/>
                <w:highlight w:val="none"/>
              </w:rPr>
              <w:t>结果公告媒介及期限</w:t>
            </w:r>
          </w:p>
        </w:tc>
        <w:tc>
          <w:tcPr>
            <w:tcW w:w="7086" w:type="dxa"/>
            <w:tcBorders>
              <w:top w:val="single" w:color="auto" w:sz="4" w:space="0"/>
              <w:left w:val="single" w:color="auto" w:sz="4" w:space="0"/>
              <w:bottom w:val="single" w:color="auto" w:sz="4" w:space="0"/>
              <w:right w:val="single" w:color="auto" w:sz="4" w:space="0"/>
            </w:tcBorders>
            <w:vAlign w:val="center"/>
          </w:tcPr>
          <w:p w14:paraId="72F1F857">
            <w:pPr>
              <w:pStyle w:val="98"/>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textAlignment w:val="auto"/>
              <w:rPr>
                <w:rFonts w:hint="eastAsia" w:ascii="宋体" w:hAnsi="宋体" w:eastAsia="宋体" w:cs="宋体"/>
                <w:b w:val="0"/>
                <w:sz w:val="21"/>
                <w:szCs w:val="21"/>
                <w:highlight w:val="none"/>
                <w:lang w:val="en-US" w:eastAsia="zh-CN"/>
              </w:rPr>
            </w:pPr>
            <w:r>
              <w:rPr>
                <w:rFonts w:hint="eastAsia" w:ascii="宋体" w:hAnsi="宋体" w:eastAsia="宋体" w:cs="宋体"/>
                <w:b w:val="0"/>
                <w:sz w:val="21"/>
                <w:szCs w:val="21"/>
                <w:highlight w:val="none"/>
                <w:lang w:val="en-US" w:eastAsia="zh-CN"/>
              </w:rPr>
              <w:t>公告媒介：政采云平台同步推送至吉林省政府采购网和中国政府采购网。</w:t>
            </w:r>
          </w:p>
          <w:p w14:paraId="6B21293A">
            <w:pPr>
              <w:pStyle w:val="98"/>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textAlignment w:val="auto"/>
              <w:rPr>
                <w:rFonts w:hint="eastAsia" w:ascii="宋体" w:hAnsi="宋体" w:eastAsia="宋体" w:cs="宋体"/>
                <w:bCs/>
                <w:color w:val="auto"/>
                <w:sz w:val="21"/>
                <w:szCs w:val="21"/>
                <w:highlight w:val="none"/>
                <w:lang w:val="zh-CN"/>
              </w:rPr>
            </w:pPr>
            <w:r>
              <w:rPr>
                <w:rFonts w:hint="eastAsia" w:ascii="宋体" w:hAnsi="宋体" w:eastAsia="宋体" w:cs="宋体"/>
                <w:color w:val="auto"/>
                <w:kern w:val="2"/>
                <w:sz w:val="21"/>
                <w:szCs w:val="21"/>
                <w:highlight w:val="none"/>
                <w:lang w:val="zh-CN"/>
              </w:rPr>
              <w:t>公示期限：</w:t>
            </w:r>
            <w:r>
              <w:rPr>
                <w:rFonts w:hint="eastAsia" w:ascii="宋体" w:hAnsi="宋体" w:eastAsia="宋体" w:cs="宋体"/>
                <w:color w:val="auto"/>
                <w:sz w:val="21"/>
                <w:szCs w:val="21"/>
                <w:highlight w:val="none"/>
              </w:rPr>
              <w:t>1个工作日</w:t>
            </w:r>
          </w:p>
        </w:tc>
      </w:tr>
      <w:tr w14:paraId="6D01BB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8" w:hRule="atLeast"/>
        </w:trPr>
        <w:tc>
          <w:tcPr>
            <w:tcW w:w="346" w:type="pct"/>
            <w:tcBorders>
              <w:top w:val="single" w:color="auto" w:sz="4" w:space="0"/>
              <w:left w:val="single" w:color="auto" w:sz="4" w:space="0"/>
              <w:bottom w:val="single" w:color="auto" w:sz="4" w:space="0"/>
              <w:right w:val="single" w:color="auto" w:sz="4" w:space="0"/>
            </w:tcBorders>
            <w:vAlign w:val="center"/>
          </w:tcPr>
          <w:p w14:paraId="6ABC4A8B">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30</w:t>
            </w:r>
          </w:p>
        </w:tc>
        <w:tc>
          <w:tcPr>
            <w:tcW w:w="999" w:type="pct"/>
            <w:tcBorders>
              <w:top w:val="single" w:color="auto" w:sz="4" w:space="0"/>
              <w:left w:val="single" w:color="auto" w:sz="4" w:space="0"/>
              <w:bottom w:val="single" w:color="auto" w:sz="4" w:space="0"/>
              <w:right w:val="single" w:color="auto" w:sz="4" w:space="0"/>
            </w:tcBorders>
            <w:vAlign w:val="center"/>
          </w:tcPr>
          <w:p w14:paraId="626FE351">
            <w:pPr>
              <w:keepNext w:val="0"/>
              <w:keepLines w:val="0"/>
              <w:widowControl/>
              <w:suppressLineNumbers w:val="0"/>
              <w:adjustRightInd w:val="0"/>
              <w:snapToGrid w:val="0"/>
              <w:spacing w:before="0" w:beforeAutospacing="0" w:after="0" w:afterAutospacing="0" w:line="288" w:lineRule="auto"/>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签订合同</w:t>
            </w:r>
          </w:p>
        </w:tc>
        <w:tc>
          <w:tcPr>
            <w:tcW w:w="3654" w:type="pct"/>
            <w:tcBorders>
              <w:top w:val="single" w:color="auto" w:sz="4" w:space="0"/>
              <w:left w:val="single" w:color="auto" w:sz="4" w:space="0"/>
              <w:bottom w:val="single" w:color="auto" w:sz="4" w:space="0"/>
              <w:right w:val="single" w:color="auto" w:sz="4" w:space="0"/>
            </w:tcBorders>
            <w:vAlign w:val="center"/>
          </w:tcPr>
          <w:p w14:paraId="0A05D2EF">
            <w:pPr>
              <w:keepNext w:val="0"/>
              <w:keepLines w:val="0"/>
              <w:widowControl/>
              <w:suppressLineNumbers w:val="0"/>
              <w:adjustRightInd w:val="0"/>
              <w:snapToGrid w:val="0"/>
              <w:spacing w:before="0" w:beforeAutospacing="0" w:after="0" w:afterAutospacing="0"/>
              <w:ind w:left="0" w:right="0"/>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rPr>
              <w:t>应在</w:t>
            </w:r>
            <w:r>
              <w:rPr>
                <w:rFonts w:hint="eastAsia" w:ascii="宋体" w:hAnsi="宋体" w:eastAsia="宋体" w:cs="宋体"/>
                <w:color w:val="000000"/>
                <w:sz w:val="21"/>
                <w:szCs w:val="21"/>
                <w:highlight w:val="none"/>
                <w:lang w:bidi="ar"/>
              </w:rPr>
              <w:t>中标通知书发出之日起 30 日内</w:t>
            </w:r>
            <w:r>
              <w:rPr>
                <w:rFonts w:hint="eastAsia" w:ascii="宋体" w:hAnsi="宋体" w:eastAsia="宋体" w:cs="宋体"/>
                <w:sz w:val="21"/>
                <w:szCs w:val="21"/>
                <w:highlight w:val="none"/>
              </w:rPr>
              <w:t>签订采购合同。</w:t>
            </w:r>
          </w:p>
        </w:tc>
      </w:tr>
      <w:tr w14:paraId="540CD5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76" w:hRule="atLeast"/>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5F4D7D36">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31</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02E7E814">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bCs/>
                <w:kern w:val="15"/>
                <w:sz w:val="21"/>
                <w:szCs w:val="21"/>
                <w:highlight w:val="none"/>
              </w:rPr>
            </w:pPr>
            <w:r>
              <w:rPr>
                <w:rFonts w:hint="eastAsia" w:ascii="宋体" w:hAnsi="宋体" w:eastAsia="宋体" w:cs="宋体"/>
                <w:bCs/>
                <w:kern w:val="15"/>
                <w:sz w:val="21"/>
                <w:szCs w:val="21"/>
                <w:highlight w:val="none"/>
              </w:rPr>
              <w:t>付款方式</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4A84C1F0">
            <w:pPr>
              <w:keepNext w:val="0"/>
              <w:keepLines w:val="0"/>
              <w:widowControl/>
              <w:suppressLineNumbers w:val="0"/>
              <w:spacing w:before="0" w:beforeAutospacing="0" w:after="0" w:afterAutospacing="0"/>
              <w:ind w:left="0" w:right="0"/>
              <w:jc w:val="left"/>
              <w:rPr>
                <w:rFonts w:hint="eastAsia" w:ascii="宋体" w:hAnsi="宋体" w:eastAsia="宋体" w:cs="宋体"/>
                <w:bCs/>
                <w:color w:val="auto"/>
                <w:kern w:val="15"/>
                <w:sz w:val="21"/>
                <w:szCs w:val="21"/>
                <w:highlight w:val="none"/>
              </w:rPr>
            </w:pPr>
            <w:r>
              <w:rPr>
                <w:rFonts w:hint="eastAsia" w:ascii="宋体" w:hAnsi="宋体" w:eastAsia="宋体" w:cs="宋体"/>
                <w:color w:val="000000"/>
                <w:kern w:val="0"/>
                <w:sz w:val="21"/>
                <w:szCs w:val="21"/>
                <w:highlight w:val="none"/>
                <w:lang w:val="en-US" w:eastAsia="zh-CN" w:bidi="ar"/>
              </w:rPr>
              <w:t>签订合同中约定。</w:t>
            </w:r>
          </w:p>
        </w:tc>
      </w:tr>
      <w:tr w14:paraId="19A3135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1" w:hRule="atLeast"/>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5DA56C59">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32</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1653CAD6">
            <w:pPr>
              <w:keepNext w:val="0"/>
              <w:keepLines w:val="0"/>
              <w:widowControl/>
              <w:suppressLineNumbers w:val="0"/>
              <w:adjustRightInd w:val="0"/>
              <w:snapToGrid w:val="0"/>
              <w:spacing w:before="0" w:beforeAutospacing="0" w:after="0" w:afterAutospacing="0" w:line="288" w:lineRule="auto"/>
              <w:ind w:left="0" w:right="0"/>
              <w:jc w:val="center"/>
              <w:rPr>
                <w:rFonts w:hint="eastAsia" w:ascii="宋体" w:hAnsi="宋体" w:eastAsia="宋体" w:cs="宋体"/>
                <w:bCs/>
                <w:kern w:val="15"/>
                <w:sz w:val="21"/>
                <w:szCs w:val="21"/>
                <w:highlight w:val="none"/>
              </w:rPr>
            </w:pPr>
            <w:r>
              <w:rPr>
                <w:rFonts w:hint="eastAsia" w:ascii="宋体" w:hAnsi="宋体" w:eastAsia="宋体" w:cs="宋体"/>
                <w:bCs/>
                <w:kern w:val="15"/>
                <w:sz w:val="21"/>
                <w:szCs w:val="21"/>
                <w:highlight w:val="none"/>
              </w:rPr>
              <w:t>履约担保</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64C0044F">
            <w:pPr>
              <w:keepNext w:val="0"/>
              <w:keepLines w:val="0"/>
              <w:widowControl/>
              <w:suppressLineNumbers w:val="0"/>
              <w:adjustRightInd w:val="0"/>
              <w:snapToGrid w:val="0"/>
              <w:spacing w:before="0" w:beforeAutospacing="0" w:after="0" w:afterAutospacing="0" w:line="288" w:lineRule="auto"/>
              <w:ind w:left="0" w:right="0"/>
              <w:rPr>
                <w:rFonts w:hint="eastAsia" w:ascii="宋体" w:hAnsi="宋体" w:eastAsia="宋体" w:cs="宋体"/>
                <w:bCs/>
                <w:color w:val="auto"/>
                <w:kern w:val="15"/>
                <w:sz w:val="21"/>
                <w:szCs w:val="21"/>
                <w:highlight w:val="none"/>
              </w:rPr>
            </w:pPr>
            <w:r>
              <w:rPr>
                <w:rFonts w:hint="eastAsia" w:ascii="宋体" w:hAnsi="宋体" w:eastAsia="宋体" w:cs="宋体"/>
                <w:bCs/>
                <w:color w:val="auto"/>
                <w:kern w:val="15"/>
                <w:sz w:val="21"/>
                <w:szCs w:val="21"/>
                <w:highlight w:val="none"/>
                <w:lang w:val="en-US" w:eastAsia="zh-CN"/>
              </w:rPr>
              <w:t>签订</w:t>
            </w:r>
            <w:r>
              <w:rPr>
                <w:rFonts w:hint="eastAsia" w:ascii="宋体" w:hAnsi="宋体" w:eastAsia="宋体" w:cs="宋体"/>
                <w:bCs/>
                <w:color w:val="auto"/>
                <w:kern w:val="15"/>
                <w:sz w:val="21"/>
                <w:szCs w:val="21"/>
                <w:highlight w:val="none"/>
              </w:rPr>
              <w:t>合同</w:t>
            </w:r>
            <w:r>
              <w:rPr>
                <w:rFonts w:hint="eastAsia" w:ascii="宋体" w:hAnsi="宋体" w:eastAsia="宋体" w:cs="宋体"/>
                <w:bCs/>
                <w:color w:val="auto"/>
                <w:kern w:val="15"/>
                <w:sz w:val="21"/>
                <w:szCs w:val="21"/>
                <w:highlight w:val="none"/>
                <w:lang w:val="en-US" w:eastAsia="zh-CN"/>
              </w:rPr>
              <w:t>中约定。</w:t>
            </w:r>
          </w:p>
        </w:tc>
      </w:tr>
      <w:tr w14:paraId="4A6837E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810" w:hRule="atLeast"/>
        </w:trPr>
        <w:tc>
          <w:tcPr>
            <w:tcW w:w="346" w:type="pct"/>
            <w:tcBorders>
              <w:top w:val="single" w:color="auto" w:sz="4" w:space="0"/>
              <w:left w:val="single" w:color="auto" w:sz="4" w:space="0"/>
              <w:bottom w:val="single" w:color="auto" w:sz="4" w:space="0"/>
              <w:right w:val="single" w:color="auto" w:sz="4" w:space="0"/>
            </w:tcBorders>
            <w:shd w:val="clear" w:color="auto" w:fill="auto"/>
            <w:vAlign w:val="center"/>
          </w:tcPr>
          <w:p w14:paraId="4C4B1A9B">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33</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53F07102">
            <w:pPr>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jc w:val="center"/>
              <w:textAlignment w:val="auto"/>
              <w:rPr>
                <w:rFonts w:hint="eastAsia" w:ascii="宋体" w:hAnsi="宋体" w:eastAsia="宋体" w:cs="宋体"/>
                <w:bCs/>
                <w:kern w:val="15"/>
                <w:sz w:val="21"/>
                <w:szCs w:val="21"/>
                <w:highlight w:val="none"/>
              </w:rPr>
            </w:pPr>
            <w:r>
              <w:rPr>
                <w:rFonts w:hint="eastAsia" w:ascii="宋体" w:hAnsi="宋体" w:eastAsia="宋体" w:cs="宋体"/>
                <w:bCs/>
                <w:kern w:val="15"/>
                <w:sz w:val="21"/>
                <w:szCs w:val="21"/>
                <w:highlight w:val="none"/>
                <w:lang w:val="zh-CN"/>
              </w:rPr>
              <w:t>履约管理与违约责任</w:t>
            </w:r>
          </w:p>
        </w:tc>
        <w:tc>
          <w:tcPr>
            <w:tcW w:w="3654" w:type="pct"/>
            <w:tcBorders>
              <w:top w:val="single" w:color="auto" w:sz="4" w:space="0"/>
              <w:left w:val="single" w:color="auto" w:sz="4" w:space="0"/>
              <w:bottom w:val="single" w:color="auto" w:sz="4" w:space="0"/>
              <w:right w:val="single" w:color="auto" w:sz="4" w:space="0"/>
            </w:tcBorders>
            <w:shd w:val="clear" w:color="auto" w:fill="auto"/>
            <w:vAlign w:val="center"/>
          </w:tcPr>
          <w:p w14:paraId="7A9224A8">
            <w:pPr>
              <w:pStyle w:val="98"/>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textAlignment w:val="auto"/>
              <w:rPr>
                <w:rFonts w:hint="eastAsia" w:ascii="宋体" w:hAnsi="宋体" w:eastAsia="宋体" w:cs="宋体"/>
                <w:color w:val="auto"/>
                <w:kern w:val="2"/>
                <w:sz w:val="21"/>
                <w:szCs w:val="21"/>
                <w:highlight w:val="none"/>
                <w:lang w:val="zh-CN"/>
              </w:rPr>
            </w:pPr>
            <w:r>
              <w:rPr>
                <w:rFonts w:hint="eastAsia" w:ascii="宋体" w:hAnsi="宋体" w:eastAsia="宋体" w:cs="宋体"/>
                <w:color w:val="auto"/>
                <w:kern w:val="2"/>
                <w:sz w:val="21"/>
                <w:szCs w:val="21"/>
                <w:highlight w:val="none"/>
                <w:lang w:val="zh-CN"/>
              </w:rPr>
              <w:t>1.投标人未能按照</w:t>
            </w:r>
            <w:r>
              <w:rPr>
                <w:rFonts w:hint="eastAsia" w:ascii="宋体" w:hAnsi="宋体" w:eastAsia="宋体" w:cs="宋体"/>
                <w:color w:val="auto"/>
                <w:kern w:val="2"/>
                <w:sz w:val="21"/>
                <w:szCs w:val="21"/>
                <w:highlight w:val="none"/>
                <w:lang w:val="en-US" w:eastAsia="zh-CN"/>
              </w:rPr>
              <w:t>服务</w:t>
            </w:r>
            <w:r>
              <w:rPr>
                <w:rFonts w:hint="eastAsia" w:ascii="宋体" w:hAnsi="宋体" w:eastAsia="宋体" w:cs="宋体"/>
                <w:color w:val="auto"/>
                <w:kern w:val="2"/>
                <w:sz w:val="21"/>
                <w:szCs w:val="21"/>
                <w:highlight w:val="none"/>
                <w:lang w:val="zh-CN"/>
              </w:rPr>
              <w:t>需求履约，采购人有权责令投标人按</w:t>
            </w:r>
            <w:r>
              <w:rPr>
                <w:rFonts w:hint="eastAsia" w:ascii="宋体" w:hAnsi="宋体" w:eastAsia="宋体" w:cs="宋体"/>
                <w:color w:val="auto"/>
                <w:kern w:val="2"/>
                <w:sz w:val="21"/>
                <w:szCs w:val="21"/>
                <w:highlight w:val="none"/>
                <w:lang w:val="en-US" w:eastAsia="zh-CN"/>
              </w:rPr>
              <w:t>服务</w:t>
            </w:r>
            <w:r>
              <w:rPr>
                <w:rFonts w:hint="eastAsia" w:ascii="宋体" w:hAnsi="宋体" w:eastAsia="宋体" w:cs="宋体"/>
                <w:color w:val="auto"/>
                <w:kern w:val="2"/>
                <w:sz w:val="21"/>
                <w:szCs w:val="21"/>
                <w:highlight w:val="none"/>
                <w:lang w:val="zh-CN"/>
              </w:rPr>
              <w:t>需求进行限期整改，如整改后仍不符合</w:t>
            </w:r>
            <w:r>
              <w:rPr>
                <w:rFonts w:hint="eastAsia" w:ascii="宋体" w:hAnsi="宋体" w:eastAsia="宋体" w:cs="宋体"/>
                <w:color w:val="auto"/>
                <w:kern w:val="2"/>
                <w:sz w:val="21"/>
                <w:szCs w:val="21"/>
                <w:highlight w:val="none"/>
                <w:lang w:val="en-US" w:eastAsia="zh-CN"/>
              </w:rPr>
              <w:t>服务</w:t>
            </w:r>
            <w:r>
              <w:rPr>
                <w:rFonts w:hint="eastAsia" w:ascii="宋体" w:hAnsi="宋体" w:eastAsia="宋体" w:cs="宋体"/>
                <w:color w:val="auto"/>
                <w:kern w:val="2"/>
                <w:sz w:val="21"/>
                <w:szCs w:val="21"/>
                <w:highlight w:val="none"/>
                <w:lang w:val="zh-CN"/>
              </w:rPr>
              <w:t>需求，可最高扣除相应不符合要求部分的100%费用；如投标人拒不整改，影响正常</w:t>
            </w:r>
            <w:r>
              <w:rPr>
                <w:rFonts w:hint="eastAsia" w:ascii="宋体" w:hAnsi="宋体" w:eastAsia="宋体" w:cs="宋体"/>
                <w:color w:val="auto"/>
                <w:kern w:val="2"/>
                <w:sz w:val="21"/>
                <w:szCs w:val="21"/>
                <w:highlight w:val="none"/>
                <w:lang w:val="en-US" w:eastAsia="zh-CN"/>
              </w:rPr>
              <w:t>使用</w:t>
            </w:r>
            <w:r>
              <w:rPr>
                <w:rFonts w:hint="eastAsia" w:ascii="宋体" w:hAnsi="宋体" w:eastAsia="宋体" w:cs="宋体"/>
                <w:color w:val="auto"/>
                <w:kern w:val="2"/>
                <w:sz w:val="21"/>
                <w:szCs w:val="21"/>
                <w:highlight w:val="none"/>
                <w:lang w:val="zh-CN"/>
              </w:rPr>
              <w:t>的，采购人有权立即解除合同，追回已支付合同价款，并保留追究投标人责任的权利。</w:t>
            </w:r>
          </w:p>
          <w:p w14:paraId="6519E1BE">
            <w:pPr>
              <w:pStyle w:val="98"/>
              <w:keepNext w:val="0"/>
              <w:keepLines w:val="0"/>
              <w:pageBreakBefore w:val="0"/>
              <w:widowControl w:val="0"/>
              <w:suppressLineNumbers w:val="0"/>
              <w:kinsoku/>
              <w:wordWrap/>
              <w:overflowPunct/>
              <w:topLinePunct w:val="0"/>
              <w:bidi w:val="0"/>
              <w:spacing w:before="0" w:beforeAutospacing="0" w:after="0" w:afterAutospacing="0" w:line="340" w:lineRule="exact"/>
              <w:ind w:left="0" w:right="0"/>
              <w:textAlignment w:val="auto"/>
              <w:rPr>
                <w:rFonts w:hint="eastAsia" w:ascii="宋体" w:hAnsi="宋体" w:eastAsia="宋体" w:cs="宋体"/>
                <w:bCs/>
                <w:color w:val="auto"/>
                <w:kern w:val="15"/>
                <w:sz w:val="21"/>
                <w:szCs w:val="21"/>
                <w:highlight w:val="none"/>
                <w:lang w:val="en-US" w:eastAsia="zh-CN"/>
              </w:rPr>
            </w:pPr>
            <w:r>
              <w:rPr>
                <w:rFonts w:hint="eastAsia" w:ascii="宋体" w:hAnsi="宋体" w:eastAsia="宋体" w:cs="宋体"/>
                <w:color w:val="auto"/>
                <w:kern w:val="2"/>
                <w:sz w:val="21"/>
                <w:szCs w:val="21"/>
                <w:highlight w:val="none"/>
                <w:lang w:val="zh-CN"/>
              </w:rPr>
              <w:t>2.由于投标人的原因造成财产损失或人员伤害的，由投标人承担全部责任。</w:t>
            </w:r>
          </w:p>
        </w:tc>
      </w:tr>
      <w:tr w14:paraId="3A4594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2" w:hRule="atLeast"/>
        </w:trPr>
        <w:tc>
          <w:tcPr>
            <w:tcW w:w="346" w:type="pct"/>
            <w:tcBorders>
              <w:top w:val="single" w:color="auto" w:sz="4" w:space="0"/>
              <w:left w:val="single" w:color="auto" w:sz="4" w:space="0"/>
              <w:bottom w:val="single" w:color="auto" w:sz="4" w:space="0"/>
              <w:right w:val="single" w:color="auto" w:sz="4" w:space="0"/>
            </w:tcBorders>
            <w:vAlign w:val="center"/>
          </w:tcPr>
          <w:p w14:paraId="20CA8432">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34</w:t>
            </w:r>
          </w:p>
        </w:tc>
        <w:tc>
          <w:tcPr>
            <w:tcW w:w="999" w:type="pct"/>
            <w:tcBorders>
              <w:top w:val="single" w:color="auto" w:sz="4" w:space="0"/>
              <w:left w:val="single" w:color="auto" w:sz="4" w:space="0"/>
              <w:bottom w:val="single" w:color="auto" w:sz="4" w:space="0"/>
              <w:right w:val="single" w:color="auto" w:sz="4" w:space="0"/>
            </w:tcBorders>
            <w:vAlign w:val="center"/>
          </w:tcPr>
          <w:p w14:paraId="4675EBE6">
            <w:pPr>
              <w:keepNext w:val="0"/>
              <w:keepLines w:val="0"/>
              <w:widowControl/>
              <w:suppressLineNumbers w:val="0"/>
              <w:spacing w:before="0" w:beforeAutospacing="0" w:after="0" w:afterAutospacing="0"/>
              <w:ind w:left="0" w:right="0"/>
              <w:jc w:val="center"/>
              <w:rPr>
                <w:rFonts w:hint="eastAsia" w:ascii="宋体" w:hAnsi="宋体" w:eastAsia="宋体" w:cs="宋体"/>
                <w:bCs/>
                <w:kern w:val="15"/>
                <w:sz w:val="21"/>
                <w:szCs w:val="21"/>
                <w:highlight w:val="none"/>
              </w:rPr>
            </w:pPr>
            <w:r>
              <w:rPr>
                <w:rFonts w:hint="eastAsia" w:ascii="宋体" w:hAnsi="宋体" w:eastAsia="宋体" w:cs="宋体"/>
                <w:bCs/>
                <w:kern w:val="15"/>
                <w:sz w:val="21"/>
                <w:szCs w:val="21"/>
                <w:highlight w:val="none"/>
              </w:rPr>
              <w:t>合同公示</w:t>
            </w:r>
          </w:p>
        </w:tc>
        <w:tc>
          <w:tcPr>
            <w:tcW w:w="3654" w:type="pct"/>
            <w:tcBorders>
              <w:top w:val="single" w:color="auto" w:sz="4" w:space="0"/>
              <w:left w:val="single" w:color="auto" w:sz="4" w:space="0"/>
              <w:bottom w:val="single" w:color="auto" w:sz="4" w:space="0"/>
              <w:right w:val="single" w:color="auto" w:sz="4" w:space="0"/>
            </w:tcBorders>
            <w:vAlign w:val="center"/>
          </w:tcPr>
          <w:p w14:paraId="5B4CF8EA">
            <w:pPr>
              <w:keepNext w:val="0"/>
              <w:keepLines w:val="0"/>
              <w:widowControl/>
              <w:suppressLineNumbers w:val="0"/>
              <w:spacing w:before="0" w:beforeAutospacing="0" w:after="0" w:afterAutospacing="0"/>
              <w:ind w:left="0" w:right="0"/>
              <w:jc w:val="both"/>
              <w:rPr>
                <w:rFonts w:hint="eastAsia" w:ascii="宋体" w:hAnsi="宋体" w:eastAsia="宋体" w:cs="宋体"/>
                <w:bCs/>
                <w:color w:val="auto"/>
                <w:kern w:val="15"/>
                <w:sz w:val="21"/>
                <w:szCs w:val="21"/>
                <w:highlight w:val="none"/>
              </w:rPr>
            </w:pPr>
            <w:r>
              <w:rPr>
                <w:rFonts w:hint="eastAsia" w:ascii="宋体" w:hAnsi="宋体" w:eastAsia="宋体" w:cs="宋体"/>
                <w:bCs/>
                <w:kern w:val="15"/>
                <w:sz w:val="21"/>
                <w:szCs w:val="21"/>
                <w:highlight w:val="none"/>
              </w:rPr>
              <w:t>中标人与采购人签订合同后</w:t>
            </w:r>
            <w:r>
              <w:rPr>
                <w:rFonts w:hint="eastAsia" w:ascii="宋体" w:hAnsi="宋体" w:eastAsia="宋体" w:cs="宋体"/>
                <w:bCs/>
                <w:kern w:val="15"/>
                <w:sz w:val="21"/>
                <w:szCs w:val="21"/>
                <w:highlight w:val="none"/>
                <w:u w:val="single"/>
              </w:rPr>
              <w:t xml:space="preserve"> 2 </w:t>
            </w:r>
            <w:r>
              <w:rPr>
                <w:rFonts w:hint="eastAsia" w:ascii="宋体" w:hAnsi="宋体" w:eastAsia="宋体" w:cs="宋体"/>
                <w:bCs/>
                <w:kern w:val="15"/>
                <w:sz w:val="21"/>
                <w:szCs w:val="21"/>
                <w:highlight w:val="none"/>
              </w:rPr>
              <w:t>个工作日内将采购合同扫描件发送至采购代理机构进行合同公示。</w:t>
            </w:r>
          </w:p>
        </w:tc>
      </w:tr>
      <w:tr w14:paraId="759464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25" w:hRule="atLeast"/>
        </w:trPr>
        <w:tc>
          <w:tcPr>
            <w:tcW w:w="346" w:type="pct"/>
            <w:tcBorders>
              <w:top w:val="single" w:color="auto" w:sz="4" w:space="0"/>
              <w:left w:val="single" w:color="auto" w:sz="4" w:space="0"/>
              <w:bottom w:val="single" w:color="auto" w:sz="4" w:space="0"/>
              <w:right w:val="single" w:color="auto" w:sz="4" w:space="0"/>
            </w:tcBorders>
            <w:vAlign w:val="center"/>
          </w:tcPr>
          <w:p w14:paraId="3740743C">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35</w:t>
            </w:r>
          </w:p>
        </w:tc>
        <w:tc>
          <w:tcPr>
            <w:tcW w:w="999" w:type="pct"/>
            <w:tcBorders>
              <w:top w:val="single" w:color="auto" w:sz="4" w:space="0"/>
              <w:left w:val="single" w:color="auto" w:sz="4" w:space="0"/>
              <w:bottom w:val="single" w:color="auto" w:sz="4" w:space="0"/>
              <w:right w:val="single" w:color="auto" w:sz="4" w:space="0"/>
            </w:tcBorders>
            <w:vAlign w:val="center"/>
          </w:tcPr>
          <w:p w14:paraId="2539B1F3">
            <w:pPr>
              <w:keepNext w:val="0"/>
              <w:keepLines w:val="0"/>
              <w:widowControl/>
              <w:suppressLineNumbers w:val="0"/>
              <w:adjustRightInd w:val="0"/>
              <w:snapToGrid w:val="0"/>
              <w:spacing w:before="60" w:beforeLines="25" w:beforeAutospacing="0" w:after="60" w:afterLines="25" w:afterAutospacing="0" w:line="288" w:lineRule="auto"/>
              <w:ind w:left="0" w:right="0"/>
              <w:jc w:val="center"/>
              <w:rPr>
                <w:rFonts w:hint="eastAsia" w:ascii="宋体" w:hAnsi="宋体" w:eastAsia="宋体" w:cs="宋体"/>
                <w:bCs/>
                <w:kern w:val="15"/>
                <w:sz w:val="21"/>
                <w:szCs w:val="21"/>
                <w:highlight w:val="none"/>
              </w:rPr>
            </w:pPr>
            <w:r>
              <w:rPr>
                <w:rFonts w:hint="eastAsia" w:ascii="宋体" w:hAnsi="宋体" w:eastAsia="宋体" w:cs="宋体"/>
                <w:bCs/>
                <w:kern w:val="15"/>
                <w:sz w:val="21"/>
                <w:szCs w:val="21"/>
                <w:highlight w:val="none"/>
              </w:rPr>
              <w:t>招标代理服务费</w:t>
            </w:r>
          </w:p>
        </w:tc>
        <w:tc>
          <w:tcPr>
            <w:tcW w:w="3654" w:type="pct"/>
            <w:tcBorders>
              <w:top w:val="single" w:color="auto" w:sz="4" w:space="0"/>
              <w:left w:val="single" w:color="auto" w:sz="4" w:space="0"/>
              <w:bottom w:val="single" w:color="auto" w:sz="4" w:space="0"/>
              <w:right w:val="single" w:color="auto" w:sz="4" w:space="0"/>
            </w:tcBorders>
            <w:vAlign w:val="center"/>
          </w:tcPr>
          <w:p w14:paraId="51EA3DC6">
            <w:pPr>
              <w:keepNext w:val="0"/>
              <w:keepLines w:val="0"/>
              <w:widowControl/>
              <w:suppressLineNumbers w:val="0"/>
              <w:spacing w:before="0" w:beforeAutospacing="0" w:after="0" w:afterAutospacing="0" w:line="288"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执行发改价格【2015】299号文件《国家发展改革委关于进一步放开建设项目专业服务价格的通知》的相关规定</w:t>
            </w:r>
            <w:r>
              <w:rPr>
                <w:rFonts w:hint="eastAsia" w:ascii="宋体" w:hAnsi="宋体" w:eastAsia="宋体" w:cs="宋体"/>
                <w:color w:val="auto"/>
                <w:sz w:val="21"/>
                <w:szCs w:val="21"/>
                <w:highlight w:val="none"/>
                <w:lang w:val="en-US" w:eastAsia="zh-CN"/>
              </w:rPr>
              <w:t>按成交金额的1%向成交人收取，当代理服务费过低无法覆盖招标成本时向成交人固定收取3000元代理服务费</w:t>
            </w:r>
            <w:r>
              <w:rPr>
                <w:rFonts w:hint="eastAsia" w:ascii="宋体" w:hAnsi="宋体" w:eastAsia="宋体" w:cs="宋体"/>
                <w:color w:val="auto"/>
                <w:sz w:val="21"/>
                <w:szCs w:val="21"/>
                <w:highlight w:val="none"/>
                <w:lang w:val="zh-CN"/>
              </w:rPr>
              <w:t>。</w:t>
            </w:r>
          </w:p>
        </w:tc>
      </w:tr>
      <w:tr w14:paraId="333A359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88" w:hRule="atLeast"/>
        </w:trPr>
        <w:tc>
          <w:tcPr>
            <w:tcW w:w="346" w:type="pct"/>
            <w:tcBorders>
              <w:top w:val="single" w:color="auto" w:sz="4" w:space="0"/>
              <w:left w:val="single" w:color="auto" w:sz="4" w:space="0"/>
              <w:bottom w:val="single" w:color="auto" w:sz="4" w:space="0"/>
              <w:right w:val="single" w:color="auto" w:sz="4" w:space="0"/>
            </w:tcBorders>
            <w:vAlign w:val="center"/>
          </w:tcPr>
          <w:p w14:paraId="37D652AE">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36</w:t>
            </w:r>
          </w:p>
        </w:tc>
        <w:tc>
          <w:tcPr>
            <w:tcW w:w="999" w:type="pct"/>
            <w:tcBorders>
              <w:top w:val="single" w:color="auto" w:sz="4" w:space="0"/>
              <w:left w:val="single" w:color="auto" w:sz="4" w:space="0"/>
              <w:bottom w:val="single" w:color="auto" w:sz="4" w:space="0"/>
              <w:right w:val="single" w:color="auto" w:sz="4" w:space="0"/>
            </w:tcBorders>
            <w:shd w:val="clear" w:color="auto" w:fill="auto"/>
            <w:vAlign w:val="center"/>
          </w:tcPr>
          <w:p w14:paraId="504D1224">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center"/>
              <w:textAlignment w:val="auto"/>
              <w:rPr>
                <w:rFonts w:hint="eastAsia" w:ascii="宋体" w:hAnsi="宋体" w:eastAsia="宋体" w:cs="宋体"/>
                <w:bCs/>
                <w:sz w:val="21"/>
                <w:szCs w:val="21"/>
                <w:lang w:val="en-US" w:eastAsia="zh-CN" w:bidi="ar-SA"/>
              </w:rPr>
            </w:pPr>
            <w:r>
              <w:rPr>
                <w:rFonts w:hint="eastAsia" w:ascii="宋体" w:hAnsi="宋体" w:eastAsia="宋体" w:cs="宋体"/>
                <w:color w:val="auto"/>
                <w:sz w:val="21"/>
                <w:szCs w:val="21"/>
                <w:highlight w:val="none"/>
              </w:rPr>
              <w:t>解密方式</w:t>
            </w:r>
          </w:p>
        </w:tc>
        <w:tc>
          <w:tcPr>
            <w:tcW w:w="0" w:type="auto"/>
            <w:tcBorders>
              <w:top w:val="single" w:color="auto" w:sz="4" w:space="0"/>
              <w:left w:val="single" w:color="auto" w:sz="4" w:space="0"/>
              <w:bottom w:val="single" w:color="auto" w:sz="4" w:space="0"/>
              <w:right w:val="single" w:color="auto" w:sz="4" w:space="0"/>
            </w:tcBorders>
            <w:shd w:val="clear" w:color="auto" w:fill="auto"/>
            <w:vAlign w:val="center"/>
          </w:tcPr>
          <w:p w14:paraId="3E11B706">
            <w:pPr>
              <w:keepNext w:val="0"/>
              <w:keepLines w:val="0"/>
              <w:pageBreakBefore w:val="0"/>
              <w:widowControl/>
              <w:suppressLineNumbers w:val="0"/>
              <w:kinsoku/>
              <w:overflowPunct/>
              <w:topLinePunct w:val="0"/>
              <w:bidi w:val="0"/>
              <w:spacing w:before="0" w:beforeAutospacing="0" w:after="0" w:afterAutospacing="0" w:line="312" w:lineRule="auto"/>
              <w:ind w:left="0" w:right="0"/>
              <w:jc w:val="both"/>
              <w:textAlignment w:val="auto"/>
              <w:rPr>
                <w:rFonts w:hint="eastAsia" w:ascii="宋体" w:hAnsi="宋体" w:eastAsia="宋体" w:cs="宋体"/>
                <w:sz w:val="21"/>
                <w:szCs w:val="21"/>
              </w:rPr>
            </w:pPr>
            <w:r>
              <w:rPr>
                <w:rFonts w:hint="eastAsia" w:ascii="宋体" w:hAnsi="宋体" w:eastAsia="宋体" w:cs="宋体"/>
                <w:sz w:val="21"/>
                <w:szCs w:val="21"/>
              </w:rPr>
              <w:t>（1）本项目采用全流程电子化招投标，开标方式为远程开标，并按照现场工作人员通知使用CA锁进行投标文件远程解密。</w:t>
            </w:r>
          </w:p>
          <w:p w14:paraId="1D8FE87C">
            <w:pPr>
              <w:keepNext w:val="0"/>
              <w:keepLines w:val="0"/>
              <w:pageBreakBefore w:val="0"/>
              <w:widowControl/>
              <w:suppressLineNumbers w:val="0"/>
              <w:kinsoku/>
              <w:overflowPunct/>
              <w:topLinePunct w:val="0"/>
              <w:bidi w:val="0"/>
              <w:spacing w:before="0" w:beforeAutospacing="0" w:after="0" w:afterAutospacing="0" w:line="312" w:lineRule="auto"/>
              <w:ind w:left="0" w:right="0"/>
              <w:jc w:val="both"/>
              <w:textAlignment w:val="auto"/>
              <w:rPr>
                <w:rFonts w:hint="eastAsia" w:ascii="宋体" w:hAnsi="宋体" w:eastAsia="宋体" w:cs="宋体"/>
                <w:sz w:val="21"/>
                <w:szCs w:val="21"/>
              </w:rPr>
            </w:pPr>
            <w:r>
              <w:rPr>
                <w:rFonts w:hint="eastAsia" w:ascii="宋体" w:hAnsi="宋体" w:eastAsia="宋体" w:cs="宋体"/>
                <w:sz w:val="21"/>
                <w:szCs w:val="21"/>
              </w:rPr>
              <w:t>（2）电子投标文件提交方式：本项目为全流程电子化项目，通过“政采云”平台（http：//www.zcygov.cn）实行在线电子投标，投标人应先安装“政采云投标客户端”（请自行前往“政采云”平台进行下载），并按照本项目招标文件和“政采云”平台的要求编制、加密后在提交投标文件截止时间前通过网络将电子投标文件上传至“政采云”平台（http：//www.zcygov.cn），投标人在“政采云”平台（http：//www.zcygov.cn）提交电子投标文件时，请填写参加采购活动经办人联系方式。</w:t>
            </w:r>
          </w:p>
          <w:p w14:paraId="50AA11D6">
            <w:pPr>
              <w:keepNext w:val="0"/>
              <w:keepLines w:val="0"/>
              <w:pageBreakBefore w:val="0"/>
              <w:widowControl/>
              <w:suppressLineNumbers w:val="0"/>
              <w:kinsoku/>
              <w:overflowPunct/>
              <w:topLinePunct w:val="0"/>
              <w:bidi w:val="0"/>
              <w:spacing w:before="0" w:beforeAutospacing="0" w:after="0" w:afterAutospacing="0" w:line="312" w:lineRule="auto"/>
              <w:ind w:left="0" w:right="0"/>
              <w:jc w:val="both"/>
              <w:textAlignment w:val="auto"/>
              <w:rPr>
                <w:rFonts w:hint="eastAsia" w:ascii="宋体" w:hAnsi="宋体" w:eastAsia="宋体" w:cs="宋体"/>
                <w:sz w:val="21"/>
                <w:szCs w:val="21"/>
              </w:rPr>
            </w:pPr>
            <w:r>
              <w:rPr>
                <w:rFonts w:hint="eastAsia" w:ascii="宋体" w:hAnsi="宋体" w:eastAsia="宋体" w:cs="宋体"/>
                <w:sz w:val="21"/>
                <w:szCs w:val="21"/>
              </w:rPr>
              <w:t>（3）电子投标文件解密期限及方式：开标时间后30分钟内，由投标人持制作该电子投标文件的同一数字证书（CA锁）及电脑进行远程解密（各投标人开标前及网上开评标系统公布投标人名单前，不要提前进行远程解密；当采购代理机构开启解密程序后，各投标人再进行解密）。</w:t>
            </w:r>
          </w:p>
          <w:p w14:paraId="0E268E22">
            <w:pPr>
              <w:keepNext w:val="0"/>
              <w:keepLines w:val="0"/>
              <w:pageBreakBefore w:val="0"/>
              <w:widowControl/>
              <w:suppressLineNumbers w:val="0"/>
              <w:kinsoku/>
              <w:overflowPunct/>
              <w:topLinePunct w:val="0"/>
              <w:bidi w:val="0"/>
              <w:spacing w:before="0" w:beforeAutospacing="0" w:after="0" w:afterAutospacing="0" w:line="312" w:lineRule="auto"/>
              <w:ind w:left="0" w:leftChars="0" w:right="0" w:rightChars="0"/>
              <w:jc w:val="both"/>
              <w:textAlignment w:val="auto"/>
              <w:rPr>
                <w:rFonts w:hint="eastAsia" w:ascii="宋体" w:hAnsi="宋体" w:eastAsia="宋体" w:cs="宋体"/>
                <w:bCs/>
                <w:sz w:val="21"/>
                <w:szCs w:val="21"/>
                <w:highlight w:val="yellow"/>
                <w:lang w:val="en-US" w:eastAsia="zh-CN" w:bidi="ar-SA"/>
              </w:rPr>
            </w:pPr>
            <w:r>
              <w:rPr>
                <w:rFonts w:hint="eastAsia" w:ascii="宋体" w:hAnsi="宋体" w:eastAsia="宋体" w:cs="宋体"/>
                <w:sz w:val="21"/>
                <w:szCs w:val="21"/>
              </w:rPr>
              <w:t>（4）投标文件解密截止时间后，“政采云”平台（http：//www.zcygov.cn）公布投标报价信息，投标人持企业数字证书登录“政采云”平台在线查询投标报价信息。因投标投标人自身原因未能按时完成解密的，视为逾期未提交投标文件，其投标无效。</w:t>
            </w:r>
          </w:p>
        </w:tc>
      </w:tr>
      <w:tr w14:paraId="7D9445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6" w:type="pct"/>
            <w:tcBorders>
              <w:top w:val="single" w:color="auto" w:sz="4" w:space="0"/>
              <w:left w:val="single" w:color="auto" w:sz="4" w:space="0"/>
              <w:bottom w:val="single" w:color="auto" w:sz="4" w:space="0"/>
              <w:right w:val="single" w:color="auto" w:sz="4" w:space="0"/>
            </w:tcBorders>
            <w:vAlign w:val="center"/>
          </w:tcPr>
          <w:p w14:paraId="469C2594">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37</w:t>
            </w:r>
          </w:p>
        </w:tc>
        <w:tc>
          <w:tcPr>
            <w:tcW w:w="1937" w:type="dxa"/>
            <w:tcBorders>
              <w:top w:val="single" w:color="auto" w:sz="4" w:space="0"/>
              <w:left w:val="single" w:color="auto" w:sz="4" w:space="0"/>
              <w:bottom w:val="single" w:color="auto" w:sz="4" w:space="0"/>
              <w:right w:val="single" w:color="auto" w:sz="4" w:space="0"/>
            </w:tcBorders>
            <w:shd w:val="clear" w:color="auto" w:fill="auto"/>
            <w:vAlign w:val="center"/>
          </w:tcPr>
          <w:p w14:paraId="57D7F58A">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报价低于成本价</w:t>
            </w:r>
          </w:p>
          <w:p w14:paraId="1DDF51DB">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不正当竞争措施</w:t>
            </w:r>
          </w:p>
        </w:tc>
        <w:tc>
          <w:tcPr>
            <w:tcW w:w="7086" w:type="dxa"/>
            <w:tcBorders>
              <w:top w:val="single" w:color="auto" w:sz="4" w:space="0"/>
              <w:left w:val="single" w:color="auto" w:sz="4" w:space="0"/>
              <w:bottom w:val="single" w:color="auto" w:sz="4" w:space="0"/>
              <w:right w:val="single" w:color="auto" w:sz="4" w:space="0"/>
            </w:tcBorders>
            <w:shd w:val="clear" w:color="auto" w:fill="auto"/>
            <w:vAlign w:val="center"/>
          </w:tcPr>
          <w:p w14:paraId="71B2339A">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本项目异常低价审查严格按照《财政部关于政府采购项目异常低价认定及风险防范有关事项的通知》（财库〔2026〕2号）规定执行。采购人结合本项目实际履约风险及行业特性，提高异常低价审查启动数值标准，最高不超过文件规定65%上限，具体审查触发标准如下：</w:t>
            </w:r>
          </w:p>
          <w:p w14:paraId="066BA71B">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1.</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报价低于全部通过符合性审查</w:t>
            </w:r>
            <w:r>
              <w:rPr>
                <w:rFonts w:hint="eastAsia" w:ascii="宋体" w:hAnsi="宋体" w:eastAsia="宋体" w:cs="宋体"/>
                <w:color w:val="auto"/>
                <w:sz w:val="21"/>
                <w:szCs w:val="21"/>
                <w:highlight w:val="none"/>
                <w:lang w:val="en-US" w:eastAsia="zh-CN"/>
              </w:rPr>
              <w:t>投标人投标</w:t>
            </w:r>
            <w:r>
              <w:rPr>
                <w:rFonts w:hint="eastAsia" w:ascii="宋体" w:hAnsi="宋体" w:eastAsia="宋体" w:cs="宋体"/>
                <w:color w:val="auto"/>
                <w:sz w:val="21"/>
                <w:szCs w:val="21"/>
                <w:highlight w:val="none"/>
                <w:lang w:val="zh-CN" w:eastAsia="zh-CN"/>
              </w:rPr>
              <w:t>报价平均值65%的，即</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报价&lt;全部通过符合性审查</w:t>
            </w:r>
            <w:r>
              <w:rPr>
                <w:rFonts w:hint="eastAsia" w:ascii="宋体" w:hAnsi="宋体" w:eastAsia="宋体" w:cs="宋体"/>
                <w:color w:val="auto"/>
                <w:sz w:val="21"/>
                <w:szCs w:val="21"/>
                <w:highlight w:val="none"/>
                <w:lang w:val="en-US" w:eastAsia="zh-CN"/>
              </w:rPr>
              <w:t>投标人投标</w:t>
            </w:r>
            <w:r>
              <w:rPr>
                <w:rFonts w:hint="eastAsia" w:ascii="宋体" w:hAnsi="宋体" w:eastAsia="宋体" w:cs="宋体"/>
                <w:color w:val="auto"/>
                <w:sz w:val="21"/>
                <w:szCs w:val="21"/>
                <w:highlight w:val="none"/>
                <w:lang w:val="zh-CN" w:eastAsia="zh-CN"/>
              </w:rPr>
              <w:t>报价平均值×65%；</w:t>
            </w:r>
          </w:p>
          <w:p w14:paraId="211A8D38">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2.</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报价低于通过符合性审查的次低报价</w:t>
            </w:r>
            <w:r>
              <w:rPr>
                <w:rFonts w:hint="eastAsia" w:ascii="宋体" w:hAnsi="宋体" w:eastAsia="宋体" w:cs="宋体"/>
                <w:color w:val="auto"/>
                <w:sz w:val="21"/>
                <w:szCs w:val="21"/>
                <w:highlight w:val="none"/>
                <w:lang w:val="en-US" w:eastAsia="zh-CN"/>
              </w:rPr>
              <w:t>投标人投标</w:t>
            </w:r>
            <w:r>
              <w:rPr>
                <w:rFonts w:hint="eastAsia" w:ascii="宋体" w:hAnsi="宋体" w:eastAsia="宋体" w:cs="宋体"/>
                <w:color w:val="auto"/>
                <w:sz w:val="21"/>
                <w:szCs w:val="21"/>
                <w:highlight w:val="none"/>
                <w:lang w:val="zh-CN" w:eastAsia="zh-CN"/>
              </w:rPr>
              <w:t>报价65%的，即</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报价&lt;通过符合性审查的次低报价</w:t>
            </w:r>
            <w:r>
              <w:rPr>
                <w:rFonts w:hint="eastAsia" w:ascii="宋体" w:hAnsi="宋体" w:eastAsia="宋体" w:cs="宋体"/>
                <w:color w:val="auto"/>
                <w:sz w:val="21"/>
                <w:szCs w:val="21"/>
                <w:highlight w:val="none"/>
                <w:lang w:val="en-US" w:eastAsia="zh-CN"/>
              </w:rPr>
              <w:t>投标人投标</w:t>
            </w:r>
            <w:r>
              <w:rPr>
                <w:rFonts w:hint="eastAsia" w:ascii="宋体" w:hAnsi="宋体" w:eastAsia="宋体" w:cs="宋体"/>
                <w:color w:val="auto"/>
                <w:sz w:val="21"/>
                <w:szCs w:val="21"/>
                <w:highlight w:val="none"/>
                <w:lang w:val="zh-CN" w:eastAsia="zh-CN"/>
              </w:rPr>
              <w:t>报价×65%；</w:t>
            </w:r>
          </w:p>
          <w:p w14:paraId="5A3854B3">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3.</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报价低于采购项目最高限价65%的，即</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报价&lt;采购项目最高限价×65%；</w:t>
            </w:r>
          </w:p>
          <w:p w14:paraId="23AF68BC">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4.评审委员会基于专业判断，认为</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zh-CN" w:eastAsia="zh-CN"/>
              </w:rPr>
              <w:t>报价过低，有可能影响产品质量或者不能诚信履约的其他情形。</w:t>
            </w:r>
          </w:p>
          <w:p w14:paraId="44E684F8">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zh-CN" w:eastAsia="zh-CN"/>
              </w:rPr>
              <w:t>相关法律法规对</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报价有规定的，从其规定。</w:t>
            </w:r>
          </w:p>
          <w:p w14:paraId="70686BE7">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sz w:val="21"/>
                <w:szCs w:val="21"/>
              </w:rPr>
            </w:pPr>
            <w:r>
              <w:rPr>
                <w:rFonts w:hint="eastAsia" w:ascii="宋体" w:hAnsi="宋体" w:eastAsia="宋体" w:cs="宋体"/>
                <w:color w:val="auto"/>
                <w:sz w:val="21"/>
                <w:szCs w:val="21"/>
                <w:highlight w:val="none"/>
                <w:lang w:val="zh-CN" w:eastAsia="zh-CN"/>
              </w:rPr>
              <w:t>凡符合上述任一情形的，评审委员会应当立即启动异常低价专项审查，要求</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zh-CN" w:eastAsia="zh-CN"/>
              </w:rPr>
              <w:t>合理时间内现场书面说明报价合理性、成本构成、服务保障、履约措施等，并提供相关佐证材料；</w:t>
            </w:r>
            <w:r>
              <w:rPr>
                <w:rFonts w:hint="eastAsia" w:ascii="宋体" w:hAnsi="宋体" w:eastAsia="宋体" w:cs="宋体"/>
                <w:color w:val="auto"/>
                <w:sz w:val="21"/>
                <w:szCs w:val="21"/>
                <w:highlight w:val="none"/>
                <w:lang w:val="en-US" w:eastAsia="zh-CN"/>
              </w:rPr>
              <w:t>投标人</w:t>
            </w:r>
            <w:r>
              <w:rPr>
                <w:rFonts w:hint="eastAsia" w:ascii="宋体" w:hAnsi="宋体" w:eastAsia="宋体" w:cs="宋体"/>
                <w:color w:val="auto"/>
                <w:sz w:val="21"/>
                <w:szCs w:val="21"/>
                <w:highlight w:val="none"/>
                <w:lang w:val="zh-CN" w:eastAsia="zh-CN"/>
              </w:rPr>
              <w:t>无法合理解释、不能提供有效佐证或明显低于合理成本、存在恶意低价竞争及履约风险的，评审委员会应当作无效</w:t>
            </w:r>
            <w:r>
              <w:rPr>
                <w:rFonts w:hint="eastAsia" w:ascii="宋体" w:hAnsi="宋体" w:eastAsia="宋体" w:cs="宋体"/>
                <w:color w:val="auto"/>
                <w:sz w:val="21"/>
                <w:szCs w:val="21"/>
                <w:highlight w:val="none"/>
                <w:lang w:val="en-US" w:eastAsia="zh-CN"/>
              </w:rPr>
              <w:t>投标</w:t>
            </w:r>
            <w:r>
              <w:rPr>
                <w:rFonts w:hint="eastAsia" w:ascii="宋体" w:hAnsi="宋体" w:eastAsia="宋体" w:cs="宋体"/>
                <w:color w:val="auto"/>
                <w:sz w:val="21"/>
                <w:szCs w:val="21"/>
                <w:highlight w:val="none"/>
                <w:lang w:val="zh-CN" w:eastAsia="zh-CN"/>
              </w:rPr>
              <w:t>处理。</w:t>
            </w:r>
          </w:p>
        </w:tc>
      </w:tr>
      <w:tr w14:paraId="1C266BE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346" w:type="pct"/>
            <w:tcBorders>
              <w:top w:val="single" w:color="auto" w:sz="4" w:space="0"/>
              <w:left w:val="single" w:color="auto" w:sz="4" w:space="0"/>
              <w:bottom w:val="single" w:color="auto" w:sz="4" w:space="0"/>
              <w:right w:val="single" w:color="auto" w:sz="4" w:space="0"/>
            </w:tcBorders>
            <w:vAlign w:val="center"/>
          </w:tcPr>
          <w:p w14:paraId="3329FFD1">
            <w:pPr>
              <w:keepNext w:val="0"/>
              <w:keepLines w:val="0"/>
              <w:widowControl w:val="0"/>
              <w:suppressLineNumbers w:val="0"/>
              <w:tabs>
                <w:tab w:val="left" w:pos="420"/>
              </w:tabs>
              <w:spacing w:before="0" w:beforeAutospacing="0" w:after="0" w:afterAutospacing="0" w:line="288" w:lineRule="auto"/>
              <w:ind w:left="0" w:right="0"/>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38</w:t>
            </w:r>
          </w:p>
        </w:tc>
        <w:tc>
          <w:tcPr>
            <w:tcW w:w="1937" w:type="dxa"/>
            <w:tcBorders>
              <w:top w:val="single" w:color="auto" w:sz="4" w:space="0"/>
              <w:left w:val="single" w:color="auto" w:sz="4" w:space="0"/>
              <w:bottom w:val="single" w:color="auto" w:sz="4" w:space="0"/>
              <w:right w:val="single" w:color="auto" w:sz="4" w:space="0"/>
            </w:tcBorders>
            <w:shd w:val="clear" w:color="auto" w:fill="auto"/>
            <w:vAlign w:val="center"/>
          </w:tcPr>
          <w:p w14:paraId="7D461909">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en-US"/>
              </w:rPr>
              <w:t>“双盲”评审</w:t>
            </w:r>
          </w:p>
        </w:tc>
        <w:tc>
          <w:tcPr>
            <w:tcW w:w="7086" w:type="dxa"/>
            <w:tcBorders>
              <w:top w:val="single" w:color="auto" w:sz="4" w:space="0"/>
              <w:left w:val="single" w:color="auto" w:sz="4" w:space="0"/>
              <w:bottom w:val="single" w:color="auto" w:sz="4" w:space="0"/>
              <w:right w:val="single" w:color="auto" w:sz="4" w:space="0"/>
            </w:tcBorders>
            <w:shd w:val="clear" w:color="auto" w:fill="auto"/>
            <w:vAlign w:val="center"/>
          </w:tcPr>
          <w:p w14:paraId="4A9ABC1C">
            <w:pPr>
              <w:keepNext w:val="0"/>
              <w:keepLines w:val="0"/>
              <w:pageBreakBefore w:val="0"/>
              <w:widowControl/>
              <w:suppressLineNumbers w:val="0"/>
              <w:kinsoku/>
              <w:overflowPunct/>
              <w:topLinePunct w:val="0"/>
              <w:bidi w:val="0"/>
              <w:adjustRightInd w:val="0"/>
              <w:snapToGrid w:val="0"/>
              <w:spacing w:before="60" w:beforeLines="25" w:beforeAutospacing="0" w:after="60" w:afterLines="25" w:afterAutospacing="0" w:line="312" w:lineRule="auto"/>
              <w:ind w:left="0" w:leftChars="0" w:right="0" w:rightChars="0"/>
              <w:jc w:val="left"/>
              <w:textAlignment w:val="auto"/>
              <w:rPr>
                <w:rFonts w:hint="eastAsia" w:ascii="宋体" w:hAnsi="宋体" w:eastAsia="宋体" w:cs="宋体"/>
                <w:color w:val="auto"/>
                <w:sz w:val="21"/>
                <w:szCs w:val="21"/>
                <w:highlight w:val="none"/>
                <w:lang w:val="zh-CN" w:eastAsia="zh-CN"/>
              </w:rPr>
            </w:pPr>
            <w:r>
              <w:rPr>
                <w:rFonts w:hint="eastAsia" w:ascii="宋体" w:hAnsi="宋体" w:eastAsia="宋体" w:cs="宋体"/>
                <w:color w:val="auto"/>
                <w:sz w:val="21"/>
                <w:szCs w:val="21"/>
                <w:highlight w:val="none"/>
                <w:lang w:val="en-US" w:eastAsia="zh-CN"/>
              </w:rPr>
              <w:t>本项目采用“双盲”评审，即评标专家“盲抽”和“盲评”，投标文件的项目实施方案部分采用“暗标”形式，投标人应严格按照“暗标”格式要求编制项目实施方案。 投标文件技术标（暗标部分）必须遵守的统一格式和规范。 技术标文件（暗标）存在违规未按“盲评”要求制作的，为无效投标。</w:t>
            </w:r>
          </w:p>
        </w:tc>
      </w:tr>
      <w:tr w14:paraId="5B6D0A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trPr>
        <w:tc>
          <w:tcPr>
            <w:tcW w:w="5000" w:type="pct"/>
            <w:gridSpan w:val="3"/>
            <w:tcBorders>
              <w:top w:val="single" w:color="auto" w:sz="4" w:space="0"/>
              <w:left w:val="single" w:color="auto" w:sz="4" w:space="0"/>
              <w:bottom w:val="single" w:color="auto" w:sz="4" w:space="0"/>
              <w:right w:val="single" w:color="auto" w:sz="4" w:space="0"/>
            </w:tcBorders>
            <w:vAlign w:val="center"/>
          </w:tcPr>
          <w:p w14:paraId="728C044C">
            <w:pPr>
              <w:keepNext w:val="0"/>
              <w:keepLines w:val="0"/>
              <w:widowControl/>
              <w:suppressLineNumbers w:val="0"/>
              <w:spacing w:before="0" w:beforeAutospacing="0" w:after="0" w:afterAutospacing="0" w:line="288" w:lineRule="auto"/>
              <w:ind w:left="0" w:right="0"/>
              <w:rPr>
                <w:rFonts w:hint="eastAsia" w:ascii="宋体" w:hAnsi="宋体" w:eastAsia="宋体" w:cs="宋体"/>
                <w:sz w:val="21"/>
                <w:szCs w:val="21"/>
                <w:highlight w:val="none"/>
              </w:rPr>
            </w:pPr>
            <w:r>
              <w:rPr>
                <w:rFonts w:hint="eastAsia" w:ascii="宋体" w:hAnsi="宋体" w:eastAsia="宋体" w:cs="宋体"/>
                <w:bCs/>
                <w:kern w:val="15"/>
                <w:sz w:val="21"/>
                <w:szCs w:val="21"/>
                <w:highlight w:val="none"/>
              </w:rPr>
              <w:t>本项目招标公告与招标文件中内容有不符之处，以本招标文件中内容为准。</w:t>
            </w:r>
          </w:p>
        </w:tc>
      </w:tr>
    </w:tbl>
    <w:p w14:paraId="462CF9CC">
      <w:pPr>
        <w:spacing w:line="288" w:lineRule="auto"/>
        <w:rPr>
          <w:rFonts w:ascii="宋体" w:hAnsi="宋体" w:cs="宋体"/>
          <w:b/>
          <w:kern w:val="2"/>
          <w:sz w:val="24"/>
          <w:szCs w:val="24"/>
          <w:highlight w:val="none"/>
        </w:rPr>
      </w:pPr>
      <w:r>
        <w:rPr>
          <w:rFonts w:hint="eastAsia" w:ascii="宋体" w:hAnsi="宋体" w:cs="宋体"/>
          <w:sz w:val="24"/>
          <w:szCs w:val="24"/>
          <w:highlight w:val="none"/>
        </w:rPr>
        <w:br w:type="page"/>
      </w:r>
    </w:p>
    <w:p w14:paraId="7E8ACC59">
      <w:pPr>
        <w:pStyle w:val="9"/>
        <w:spacing w:line="288" w:lineRule="auto"/>
        <w:ind w:left="0" w:firstLine="0"/>
        <w:rPr>
          <w:rFonts w:ascii="宋体" w:hAnsi="宋体" w:cs="宋体"/>
          <w:szCs w:val="24"/>
          <w:highlight w:val="none"/>
        </w:rPr>
      </w:pPr>
      <w:r>
        <w:rPr>
          <w:rFonts w:hint="eastAsia" w:ascii="宋体" w:hAnsi="宋体" w:cs="宋体"/>
          <w:szCs w:val="24"/>
          <w:highlight w:val="none"/>
        </w:rPr>
        <w:t>二、投标人须知</w:t>
      </w:r>
      <w:bookmarkEnd w:id="0"/>
    </w:p>
    <w:p w14:paraId="3881E988">
      <w:pPr>
        <w:pStyle w:val="3"/>
        <w:spacing w:before="0" w:after="0" w:line="288" w:lineRule="auto"/>
        <w:jc w:val="center"/>
        <w:rPr>
          <w:rFonts w:ascii="宋体" w:hAnsi="宋体" w:eastAsia="宋体" w:cs="宋体"/>
          <w:sz w:val="24"/>
          <w:szCs w:val="24"/>
          <w:highlight w:val="none"/>
        </w:rPr>
      </w:pPr>
      <w:bookmarkStart w:id="24" w:name="_Toc98580391"/>
      <w:r>
        <w:rPr>
          <w:rFonts w:hint="eastAsia" w:ascii="宋体" w:hAnsi="宋体" w:eastAsia="宋体" w:cs="宋体"/>
          <w:sz w:val="24"/>
          <w:szCs w:val="24"/>
          <w:highlight w:val="none"/>
        </w:rPr>
        <w:t>A 说明</w:t>
      </w:r>
      <w:bookmarkEnd w:id="24"/>
    </w:p>
    <w:p w14:paraId="3A427EB5">
      <w:pPr>
        <w:pStyle w:val="4"/>
        <w:spacing w:before="0" w:after="0" w:line="288" w:lineRule="auto"/>
        <w:rPr>
          <w:rFonts w:ascii="宋体" w:hAnsi="宋体" w:cs="宋体"/>
          <w:b w:val="0"/>
          <w:spacing w:val="6"/>
          <w:sz w:val="24"/>
          <w:szCs w:val="24"/>
          <w:highlight w:val="none"/>
        </w:rPr>
      </w:pPr>
      <w:bookmarkStart w:id="25" w:name="_Toc98580392"/>
      <w:bookmarkStart w:id="26" w:name="_Toc98580422"/>
      <w:bookmarkStart w:id="27" w:name="_Toc24696155"/>
      <w:r>
        <w:rPr>
          <w:rFonts w:hint="eastAsia" w:ascii="宋体" w:hAnsi="宋体" w:cs="宋体"/>
          <w:sz w:val="24"/>
          <w:szCs w:val="24"/>
          <w:highlight w:val="none"/>
        </w:rPr>
        <w:t>1.适用范围</w:t>
      </w:r>
      <w:bookmarkEnd w:id="25"/>
    </w:p>
    <w:p w14:paraId="4F82BFF4">
      <w:pPr>
        <w:spacing w:line="288" w:lineRule="auto"/>
        <w:ind w:firstLine="567"/>
        <w:jc w:val="both"/>
        <w:rPr>
          <w:rFonts w:ascii="宋体" w:hAnsi="宋体" w:cs="宋体"/>
          <w:sz w:val="24"/>
          <w:szCs w:val="24"/>
          <w:highlight w:val="none"/>
        </w:rPr>
      </w:pPr>
      <w:r>
        <w:rPr>
          <w:rFonts w:hint="eastAsia" w:ascii="宋体" w:hAnsi="宋体" w:cs="宋体"/>
          <w:sz w:val="24"/>
          <w:szCs w:val="24"/>
          <w:highlight w:val="none"/>
        </w:rPr>
        <w:t>本文件是受</w:t>
      </w:r>
      <w:r>
        <w:rPr>
          <w:rFonts w:hint="eastAsia" w:ascii="宋体" w:hAnsi="宋体" w:cs="宋体"/>
          <w:spacing w:val="6"/>
          <w:sz w:val="24"/>
          <w:szCs w:val="24"/>
          <w:highlight w:val="none"/>
        </w:rPr>
        <w:t>采购人</w:t>
      </w:r>
      <w:r>
        <w:rPr>
          <w:rFonts w:hint="eastAsia" w:ascii="宋体" w:hAnsi="宋体" w:cs="宋体"/>
          <w:sz w:val="24"/>
          <w:szCs w:val="24"/>
          <w:highlight w:val="none"/>
        </w:rPr>
        <w:t>委托</w:t>
      </w:r>
      <w:r>
        <w:rPr>
          <w:rFonts w:hint="eastAsia" w:ascii="宋体" w:hAnsi="宋体" w:cs="宋体"/>
          <w:spacing w:val="6"/>
          <w:sz w:val="24"/>
          <w:szCs w:val="24"/>
          <w:highlight w:val="none"/>
        </w:rPr>
        <w:t>，对采购人</w:t>
      </w:r>
      <w:r>
        <w:rPr>
          <w:rFonts w:hint="eastAsia" w:ascii="宋体" w:hAnsi="宋体" w:cs="宋体"/>
          <w:sz w:val="24"/>
          <w:szCs w:val="24"/>
          <w:highlight w:val="none"/>
        </w:rPr>
        <w:t>委托</w:t>
      </w:r>
      <w:r>
        <w:rPr>
          <w:rFonts w:hint="eastAsia" w:ascii="宋体" w:hAnsi="宋体" w:cs="宋体"/>
          <w:bCs/>
          <w:sz w:val="24"/>
          <w:szCs w:val="24"/>
          <w:highlight w:val="none"/>
          <w:lang w:val="zh-CN"/>
        </w:rPr>
        <w:t>采购项目</w:t>
      </w:r>
      <w:r>
        <w:rPr>
          <w:rFonts w:hint="eastAsia" w:ascii="宋体" w:hAnsi="宋体" w:cs="宋体"/>
          <w:spacing w:val="6"/>
          <w:sz w:val="24"/>
          <w:szCs w:val="24"/>
          <w:highlight w:val="none"/>
        </w:rPr>
        <w:t>的规范性招标</w:t>
      </w:r>
      <w:r>
        <w:rPr>
          <w:rFonts w:hint="eastAsia" w:ascii="宋体" w:hAnsi="宋体" w:cs="宋体"/>
          <w:sz w:val="24"/>
          <w:szCs w:val="24"/>
          <w:highlight w:val="none"/>
        </w:rPr>
        <w:t>文件，适用于本项目招标公告所述的标的采购及服务，是</w:t>
      </w:r>
      <w:r>
        <w:rPr>
          <w:rFonts w:hint="eastAsia" w:ascii="宋体" w:hAnsi="宋体" w:cs="宋体"/>
          <w:sz w:val="24"/>
          <w:szCs w:val="24"/>
          <w:highlight w:val="none"/>
          <w:lang w:eastAsia="zh-CN"/>
        </w:rPr>
        <w:t>投标人</w:t>
      </w:r>
      <w:r>
        <w:rPr>
          <w:rFonts w:hint="eastAsia" w:ascii="宋体" w:hAnsi="宋体" w:cs="宋体"/>
          <w:sz w:val="24"/>
          <w:szCs w:val="24"/>
          <w:highlight w:val="none"/>
        </w:rPr>
        <w:t>编制投标文件的依据。</w:t>
      </w:r>
    </w:p>
    <w:p w14:paraId="3ED9461E">
      <w:pPr>
        <w:pStyle w:val="4"/>
        <w:spacing w:before="0" w:after="0" w:line="288" w:lineRule="auto"/>
        <w:rPr>
          <w:rFonts w:ascii="宋体" w:hAnsi="宋体" w:cs="宋体"/>
          <w:sz w:val="24"/>
          <w:szCs w:val="24"/>
          <w:highlight w:val="none"/>
        </w:rPr>
      </w:pPr>
      <w:bookmarkStart w:id="28" w:name="_Toc98580393"/>
      <w:r>
        <w:rPr>
          <w:rFonts w:hint="eastAsia" w:ascii="宋体" w:hAnsi="宋体" w:cs="宋体"/>
          <w:sz w:val="24"/>
          <w:szCs w:val="24"/>
          <w:highlight w:val="none"/>
        </w:rPr>
        <w:t>2.法律适用</w:t>
      </w:r>
      <w:bookmarkEnd w:id="28"/>
    </w:p>
    <w:p w14:paraId="73CF2C99">
      <w:pPr>
        <w:spacing w:line="288" w:lineRule="auto"/>
        <w:ind w:firstLine="567"/>
        <w:jc w:val="both"/>
        <w:rPr>
          <w:rFonts w:ascii="宋体" w:hAnsi="宋体" w:cs="宋体"/>
          <w:sz w:val="24"/>
          <w:szCs w:val="24"/>
          <w:highlight w:val="none"/>
        </w:rPr>
      </w:pPr>
      <w:r>
        <w:rPr>
          <w:rFonts w:hint="eastAsia" w:ascii="宋体" w:hAnsi="宋体" w:cs="宋体"/>
          <w:sz w:val="24"/>
          <w:szCs w:val="24"/>
          <w:highlight w:val="none"/>
        </w:rPr>
        <w:t>本招标文件及由本次招标产生的合同适用中华人民共和国法律。</w:t>
      </w:r>
    </w:p>
    <w:p w14:paraId="7C96C834">
      <w:pPr>
        <w:pStyle w:val="4"/>
        <w:spacing w:before="0" w:after="0" w:line="288" w:lineRule="auto"/>
        <w:rPr>
          <w:rFonts w:ascii="宋体" w:hAnsi="宋体" w:cs="宋体"/>
          <w:sz w:val="24"/>
          <w:szCs w:val="24"/>
          <w:highlight w:val="none"/>
        </w:rPr>
      </w:pPr>
      <w:bookmarkStart w:id="29" w:name="_Toc98580394"/>
      <w:r>
        <w:rPr>
          <w:rFonts w:hint="eastAsia" w:ascii="宋体" w:hAnsi="宋体" w:cs="宋体"/>
          <w:sz w:val="24"/>
          <w:szCs w:val="24"/>
          <w:highlight w:val="none"/>
        </w:rPr>
        <w:t>3.定义</w:t>
      </w:r>
      <w:bookmarkEnd w:id="29"/>
    </w:p>
    <w:p w14:paraId="6F7DCBF7">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”系指组织本次招标的代理机构；</w:t>
      </w:r>
    </w:p>
    <w:p w14:paraId="2C39F7D5">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w:t>
      </w:r>
      <w:r>
        <w:rPr>
          <w:rFonts w:hint="eastAsia" w:ascii="宋体" w:hAnsi="宋体" w:cs="宋体"/>
          <w:sz w:val="24"/>
          <w:szCs w:val="24"/>
          <w:highlight w:val="none"/>
          <w:lang w:eastAsia="zh-CN"/>
        </w:rPr>
        <w:t>投标人</w:t>
      </w:r>
      <w:r>
        <w:rPr>
          <w:rFonts w:hint="eastAsia" w:ascii="宋体" w:hAnsi="宋体" w:cs="宋体"/>
          <w:sz w:val="24"/>
          <w:szCs w:val="24"/>
          <w:highlight w:val="none"/>
        </w:rPr>
        <w:t>”系指向</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提交投标文件的投标商；</w:t>
      </w:r>
    </w:p>
    <w:p w14:paraId="00AC25B4">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“买方”系指采购人，合同一方当事人；</w:t>
      </w:r>
    </w:p>
    <w:p w14:paraId="32D2A278">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“服务”系指招标文件规定须完成的服务和其他的类似义务；</w:t>
      </w:r>
    </w:p>
    <w:p w14:paraId="468A70AA">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“日”、“天”系指日历日；</w:t>
      </w:r>
    </w:p>
    <w:p w14:paraId="3A4C2D5B">
      <w:pPr>
        <w:spacing w:line="288" w:lineRule="auto"/>
        <w:ind w:firstLine="351"/>
        <w:jc w:val="both"/>
        <w:rPr>
          <w:rFonts w:ascii="宋体" w:hAnsi="宋体" w:cs="宋体"/>
          <w:sz w:val="24"/>
          <w:szCs w:val="24"/>
          <w:highlight w:val="none"/>
        </w:rPr>
      </w:pPr>
      <w:r>
        <w:rPr>
          <w:rFonts w:hint="eastAsia" w:ascii="宋体" w:hAnsi="宋体" w:cs="宋体"/>
          <w:sz w:val="24"/>
          <w:szCs w:val="24"/>
          <w:highlight w:val="none"/>
        </w:rPr>
        <w:t>“合同”是买方与</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共同以招标文件、投标文件为依据，经过协商签订的具备法律效力的文件。招标文件、投标文件及其共同确定的补充文件是合同的有效组成部分，与合同具备同等的法律效力。</w:t>
      </w:r>
    </w:p>
    <w:p w14:paraId="3595D2FA">
      <w:pPr>
        <w:pStyle w:val="4"/>
        <w:spacing w:before="0" w:after="0" w:line="288" w:lineRule="auto"/>
        <w:rPr>
          <w:rFonts w:hint="eastAsia" w:ascii="宋体" w:hAnsi="宋体" w:eastAsia="宋体" w:cs="宋体"/>
          <w:sz w:val="24"/>
          <w:szCs w:val="24"/>
          <w:highlight w:val="none"/>
          <w:lang w:eastAsia="zh-CN"/>
        </w:rPr>
      </w:pPr>
      <w:bookmarkStart w:id="30" w:name="_Toc98580395"/>
      <w:r>
        <w:rPr>
          <w:rFonts w:hint="eastAsia" w:ascii="宋体" w:hAnsi="宋体" w:cs="宋体"/>
          <w:sz w:val="24"/>
          <w:szCs w:val="24"/>
          <w:highlight w:val="none"/>
        </w:rPr>
        <w:t>4.合格的</w:t>
      </w:r>
      <w:bookmarkEnd w:id="30"/>
      <w:r>
        <w:rPr>
          <w:rFonts w:hint="eastAsia" w:ascii="宋体" w:hAnsi="宋体" w:cs="宋体"/>
          <w:sz w:val="24"/>
          <w:szCs w:val="24"/>
          <w:highlight w:val="none"/>
          <w:lang w:eastAsia="zh-CN"/>
        </w:rPr>
        <w:t>投标人</w:t>
      </w:r>
    </w:p>
    <w:p w14:paraId="26081367">
      <w:pPr>
        <w:spacing w:line="288" w:lineRule="auto"/>
        <w:ind w:firstLine="480" w:firstLineChars="200"/>
        <w:jc w:val="both"/>
        <w:rPr>
          <w:rFonts w:ascii="宋体" w:hAnsi="宋体" w:cs="宋体"/>
          <w:sz w:val="24"/>
          <w:szCs w:val="24"/>
          <w:highlight w:val="none"/>
        </w:rPr>
      </w:pPr>
      <w:r>
        <w:rPr>
          <w:rFonts w:hint="eastAsia" w:ascii="宋体" w:hAnsi="宋体" w:cs="宋体"/>
          <w:sz w:val="24"/>
          <w:szCs w:val="24"/>
          <w:highlight w:val="none"/>
        </w:rPr>
        <w:t>4.1合格</w:t>
      </w:r>
      <w:r>
        <w:rPr>
          <w:rFonts w:hint="eastAsia" w:ascii="宋体" w:hAnsi="宋体" w:cs="宋体"/>
          <w:sz w:val="24"/>
          <w:szCs w:val="24"/>
          <w:highlight w:val="none"/>
          <w:lang w:eastAsia="zh-CN"/>
        </w:rPr>
        <w:t>投标人</w:t>
      </w:r>
      <w:r>
        <w:rPr>
          <w:rFonts w:hint="eastAsia" w:ascii="宋体" w:hAnsi="宋体" w:cs="宋体"/>
          <w:sz w:val="24"/>
          <w:szCs w:val="24"/>
          <w:highlight w:val="none"/>
        </w:rPr>
        <w:t>必须符合</w:t>
      </w:r>
      <w:r>
        <w:rPr>
          <w:rFonts w:hint="eastAsia" w:ascii="宋体" w:hAnsi="宋体" w:cs="宋体"/>
          <w:sz w:val="24"/>
          <w:szCs w:val="24"/>
          <w:highlight w:val="none"/>
          <w:lang w:eastAsia="zh-CN"/>
        </w:rPr>
        <w:t>投标人</w:t>
      </w:r>
      <w:r>
        <w:rPr>
          <w:rFonts w:hint="eastAsia" w:ascii="宋体" w:hAnsi="宋体" w:cs="宋体"/>
          <w:sz w:val="24"/>
          <w:szCs w:val="24"/>
          <w:highlight w:val="none"/>
        </w:rPr>
        <w:t>须知前附表第11项下各项要求；</w:t>
      </w:r>
    </w:p>
    <w:p w14:paraId="7C195901">
      <w:pPr>
        <w:spacing w:line="288" w:lineRule="auto"/>
        <w:ind w:firstLine="480" w:firstLineChars="200"/>
        <w:jc w:val="both"/>
        <w:rPr>
          <w:rFonts w:ascii="宋体" w:hAnsi="宋体" w:cs="宋体"/>
          <w:sz w:val="24"/>
          <w:szCs w:val="24"/>
          <w:highlight w:val="none"/>
        </w:rPr>
      </w:pPr>
      <w:r>
        <w:rPr>
          <w:rFonts w:hint="eastAsia" w:ascii="宋体" w:hAnsi="宋体" w:cs="宋体"/>
          <w:sz w:val="24"/>
          <w:szCs w:val="24"/>
          <w:highlight w:val="none"/>
        </w:rPr>
        <w:t>4.2</w:t>
      </w:r>
      <w:r>
        <w:rPr>
          <w:rFonts w:hint="eastAsia" w:ascii="宋体" w:hAnsi="宋体" w:cs="宋体"/>
          <w:sz w:val="24"/>
          <w:szCs w:val="24"/>
          <w:highlight w:val="none"/>
          <w:lang w:eastAsia="zh-CN"/>
        </w:rPr>
        <w:t>投标人</w:t>
      </w:r>
      <w:r>
        <w:rPr>
          <w:rFonts w:hint="eastAsia" w:ascii="宋体" w:hAnsi="宋体" w:cs="宋体"/>
          <w:sz w:val="24"/>
          <w:szCs w:val="24"/>
          <w:highlight w:val="none"/>
        </w:rPr>
        <w:t>应仔细阅读招标文件的所有内容，按招标文件的要求提供投标文件，并保证所提供的全部资料的真实性，使其投标对招标文件做出实质性响应，否则，其投标将被拒绝。</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保留进一步要求</w:t>
      </w:r>
      <w:r>
        <w:rPr>
          <w:rFonts w:hint="eastAsia" w:ascii="宋体" w:hAnsi="宋体" w:cs="宋体"/>
          <w:sz w:val="24"/>
          <w:szCs w:val="24"/>
          <w:highlight w:val="none"/>
          <w:lang w:eastAsia="zh-CN"/>
        </w:rPr>
        <w:t>投标人</w:t>
      </w:r>
      <w:r>
        <w:rPr>
          <w:rFonts w:hint="eastAsia" w:ascii="宋体" w:hAnsi="宋体" w:cs="宋体"/>
          <w:sz w:val="24"/>
          <w:szCs w:val="24"/>
          <w:highlight w:val="none"/>
        </w:rPr>
        <w:t>补充提供有关材料的权利，拒绝补充材料或提供材料不真实，将被视为自动放弃投标资格。</w:t>
      </w:r>
    </w:p>
    <w:p w14:paraId="263E5D92">
      <w:pPr>
        <w:spacing w:line="288" w:lineRule="auto"/>
        <w:jc w:val="both"/>
        <w:rPr>
          <w:rFonts w:ascii="宋体" w:hAnsi="宋体" w:cs="宋体"/>
          <w:b/>
          <w:sz w:val="24"/>
          <w:szCs w:val="24"/>
          <w:highlight w:val="none"/>
        </w:rPr>
      </w:pPr>
      <w:bookmarkStart w:id="31" w:name="_Toc98580402"/>
      <w:r>
        <w:rPr>
          <w:rFonts w:hint="eastAsia" w:ascii="宋体" w:hAnsi="宋体" w:cs="宋体"/>
          <w:b/>
          <w:sz w:val="24"/>
          <w:szCs w:val="24"/>
          <w:highlight w:val="none"/>
        </w:rPr>
        <w:t>5．投标费用</w:t>
      </w:r>
    </w:p>
    <w:p w14:paraId="7A201D31">
      <w:pPr>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lang w:eastAsia="zh-CN"/>
        </w:rPr>
        <w:t>投标人</w:t>
      </w:r>
      <w:r>
        <w:rPr>
          <w:rFonts w:hint="eastAsia" w:ascii="宋体" w:hAnsi="宋体" w:cs="宋体"/>
          <w:sz w:val="24"/>
          <w:szCs w:val="24"/>
          <w:highlight w:val="none"/>
        </w:rPr>
        <w:t>应承担其在投标准备、编制、递交投标文件和签订合同协议书的整个过程中发生的一切费用而不论其投标结果如何。</w:t>
      </w:r>
    </w:p>
    <w:p w14:paraId="6EF8B732">
      <w:pPr>
        <w:pStyle w:val="3"/>
        <w:spacing w:before="0" w:after="0" w:line="288" w:lineRule="auto"/>
        <w:jc w:val="center"/>
        <w:rPr>
          <w:rFonts w:ascii="宋体" w:hAnsi="宋体" w:eastAsia="宋体" w:cs="宋体"/>
          <w:sz w:val="24"/>
          <w:szCs w:val="24"/>
          <w:highlight w:val="none"/>
        </w:rPr>
      </w:pPr>
      <w:bookmarkStart w:id="32" w:name="_Toc98580396"/>
      <w:r>
        <w:rPr>
          <w:rFonts w:hint="eastAsia" w:ascii="宋体" w:hAnsi="宋体" w:eastAsia="宋体" w:cs="宋体"/>
          <w:sz w:val="24"/>
          <w:szCs w:val="24"/>
          <w:highlight w:val="none"/>
        </w:rPr>
        <w:t>B.招标文件说明</w:t>
      </w:r>
      <w:bookmarkEnd w:id="32"/>
    </w:p>
    <w:p w14:paraId="7F901C67">
      <w:pPr>
        <w:pStyle w:val="4"/>
        <w:spacing w:before="0" w:after="0" w:line="288" w:lineRule="auto"/>
        <w:rPr>
          <w:rFonts w:ascii="宋体" w:hAnsi="宋体" w:cs="宋体"/>
          <w:sz w:val="24"/>
          <w:szCs w:val="24"/>
          <w:highlight w:val="none"/>
        </w:rPr>
      </w:pPr>
      <w:bookmarkStart w:id="33" w:name="_Toc98580397"/>
      <w:r>
        <w:rPr>
          <w:rFonts w:hint="eastAsia" w:ascii="宋体" w:hAnsi="宋体" w:cs="宋体"/>
          <w:sz w:val="24"/>
          <w:szCs w:val="24"/>
          <w:highlight w:val="none"/>
        </w:rPr>
        <w:t>6.招标文件</w:t>
      </w:r>
      <w:bookmarkEnd w:id="33"/>
    </w:p>
    <w:p w14:paraId="4F1D90FE">
      <w:pPr>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rPr>
        <w:t>招标文件用以阐明所需服务、招标投标程序和投标文件格式。招标文件由以下部分组成：</w:t>
      </w:r>
    </w:p>
    <w:p w14:paraId="0FBD6DBC">
      <w:pPr>
        <w:spacing w:line="288" w:lineRule="auto"/>
        <w:ind w:firstLine="709"/>
        <w:jc w:val="both"/>
        <w:rPr>
          <w:rFonts w:ascii="宋体" w:hAnsi="宋体" w:cs="宋体"/>
          <w:sz w:val="24"/>
          <w:szCs w:val="24"/>
          <w:highlight w:val="none"/>
        </w:rPr>
      </w:pPr>
      <w:bookmarkStart w:id="34" w:name="_Toc98580398"/>
      <w:r>
        <w:rPr>
          <w:rFonts w:hint="eastAsia" w:ascii="宋体" w:hAnsi="宋体" w:cs="宋体"/>
          <w:sz w:val="24"/>
          <w:szCs w:val="24"/>
          <w:highlight w:val="none"/>
        </w:rPr>
        <w:t>第一部分   招标公告</w:t>
      </w:r>
    </w:p>
    <w:p w14:paraId="3F82131C">
      <w:pPr>
        <w:spacing w:line="288" w:lineRule="auto"/>
        <w:ind w:firstLine="709"/>
        <w:jc w:val="both"/>
        <w:rPr>
          <w:rFonts w:ascii="宋体" w:hAnsi="宋体" w:cs="宋体"/>
          <w:sz w:val="24"/>
          <w:szCs w:val="24"/>
          <w:highlight w:val="none"/>
        </w:rPr>
      </w:pPr>
      <w:r>
        <w:rPr>
          <w:rFonts w:hint="eastAsia" w:ascii="宋体" w:hAnsi="宋体" w:cs="宋体"/>
          <w:sz w:val="24"/>
          <w:szCs w:val="24"/>
          <w:highlight w:val="none"/>
        </w:rPr>
        <w:t xml:space="preserve">第二部分   </w:t>
      </w:r>
      <w:r>
        <w:rPr>
          <w:rFonts w:hint="eastAsia" w:ascii="宋体" w:hAnsi="宋体" w:cs="宋体"/>
          <w:sz w:val="24"/>
          <w:szCs w:val="24"/>
          <w:highlight w:val="none"/>
          <w:lang w:eastAsia="zh-CN"/>
        </w:rPr>
        <w:t>投标人</w:t>
      </w:r>
      <w:r>
        <w:rPr>
          <w:rFonts w:hint="eastAsia" w:ascii="宋体" w:hAnsi="宋体" w:cs="宋体"/>
          <w:sz w:val="24"/>
          <w:szCs w:val="24"/>
          <w:highlight w:val="none"/>
        </w:rPr>
        <w:t>须知</w:t>
      </w:r>
    </w:p>
    <w:p w14:paraId="3800B664">
      <w:pPr>
        <w:spacing w:line="288" w:lineRule="auto"/>
        <w:ind w:firstLine="709"/>
        <w:jc w:val="both"/>
        <w:rPr>
          <w:rFonts w:ascii="宋体" w:hAnsi="宋体" w:cs="宋体"/>
          <w:sz w:val="24"/>
          <w:szCs w:val="24"/>
          <w:highlight w:val="none"/>
        </w:rPr>
      </w:pPr>
      <w:r>
        <w:rPr>
          <w:rFonts w:hint="eastAsia" w:ascii="宋体" w:hAnsi="宋体" w:cs="宋体"/>
          <w:sz w:val="24"/>
          <w:szCs w:val="24"/>
          <w:highlight w:val="none"/>
        </w:rPr>
        <w:t>第三部分   评标办法</w:t>
      </w:r>
    </w:p>
    <w:p w14:paraId="3312B2C3">
      <w:pPr>
        <w:spacing w:line="288" w:lineRule="auto"/>
        <w:ind w:firstLine="709"/>
        <w:jc w:val="both"/>
        <w:rPr>
          <w:rFonts w:ascii="宋体" w:hAnsi="宋体" w:cs="宋体"/>
          <w:sz w:val="24"/>
          <w:szCs w:val="24"/>
          <w:highlight w:val="none"/>
        </w:rPr>
      </w:pPr>
      <w:r>
        <w:rPr>
          <w:rFonts w:hint="eastAsia" w:ascii="宋体" w:hAnsi="宋体" w:cs="宋体"/>
          <w:sz w:val="24"/>
          <w:szCs w:val="24"/>
          <w:highlight w:val="none"/>
        </w:rPr>
        <w:t>第四部分   合同格式</w:t>
      </w:r>
    </w:p>
    <w:p w14:paraId="5E05A030">
      <w:pPr>
        <w:spacing w:line="288" w:lineRule="auto"/>
        <w:ind w:firstLine="709"/>
        <w:jc w:val="both"/>
        <w:rPr>
          <w:rFonts w:ascii="宋体" w:hAnsi="宋体" w:cs="宋体"/>
          <w:sz w:val="24"/>
          <w:szCs w:val="24"/>
          <w:highlight w:val="none"/>
        </w:rPr>
      </w:pPr>
      <w:r>
        <w:rPr>
          <w:rFonts w:hint="eastAsia" w:ascii="宋体" w:hAnsi="宋体" w:cs="宋体"/>
          <w:sz w:val="24"/>
          <w:szCs w:val="24"/>
          <w:highlight w:val="none"/>
        </w:rPr>
        <w:t>第五部分   采购需求</w:t>
      </w:r>
    </w:p>
    <w:p w14:paraId="4E791DC0">
      <w:pPr>
        <w:spacing w:line="288" w:lineRule="auto"/>
        <w:ind w:firstLine="709"/>
        <w:jc w:val="both"/>
        <w:rPr>
          <w:rFonts w:ascii="宋体" w:hAnsi="宋体" w:cs="宋体"/>
          <w:sz w:val="24"/>
          <w:szCs w:val="24"/>
          <w:highlight w:val="none"/>
        </w:rPr>
      </w:pPr>
      <w:r>
        <w:rPr>
          <w:rFonts w:hint="eastAsia" w:ascii="宋体" w:hAnsi="宋体" w:cs="宋体"/>
          <w:sz w:val="24"/>
          <w:szCs w:val="24"/>
          <w:highlight w:val="none"/>
        </w:rPr>
        <w:t>第六部分   投标文件格式</w:t>
      </w:r>
    </w:p>
    <w:p w14:paraId="2874CCBE">
      <w:pPr>
        <w:pStyle w:val="4"/>
        <w:spacing w:before="0" w:after="0" w:line="288" w:lineRule="auto"/>
        <w:rPr>
          <w:rFonts w:ascii="宋体" w:hAnsi="宋体" w:cs="宋体"/>
          <w:sz w:val="24"/>
          <w:szCs w:val="24"/>
          <w:highlight w:val="none"/>
        </w:rPr>
      </w:pPr>
      <w:r>
        <w:rPr>
          <w:rFonts w:hint="eastAsia" w:ascii="宋体" w:hAnsi="宋体" w:cs="宋体"/>
          <w:sz w:val="24"/>
          <w:szCs w:val="24"/>
          <w:highlight w:val="none"/>
        </w:rPr>
        <w:t>7.招标文件的澄清</w:t>
      </w:r>
      <w:bookmarkEnd w:id="34"/>
    </w:p>
    <w:p w14:paraId="5E6A0F0F">
      <w:pPr>
        <w:spacing w:line="288" w:lineRule="auto"/>
        <w:ind w:firstLine="480" w:firstLineChars="200"/>
        <w:jc w:val="both"/>
        <w:rPr>
          <w:rFonts w:hint="eastAsia" w:ascii="宋体" w:hAnsi="宋体" w:cs="宋体"/>
          <w:sz w:val="24"/>
          <w:szCs w:val="24"/>
          <w:highlight w:val="none"/>
        </w:rPr>
      </w:pPr>
      <w:r>
        <w:rPr>
          <w:rFonts w:hint="eastAsia" w:ascii="宋体" w:hAnsi="宋体" w:cs="宋体"/>
          <w:sz w:val="24"/>
          <w:szCs w:val="24"/>
          <w:lang w:eastAsia="zh-CN"/>
        </w:rPr>
        <w:t>投标人</w:t>
      </w:r>
      <w:r>
        <w:rPr>
          <w:rFonts w:hint="eastAsia" w:ascii="宋体" w:hAnsi="宋体" w:cs="宋体"/>
          <w:sz w:val="24"/>
          <w:szCs w:val="24"/>
        </w:rPr>
        <w:t>对本次招标文件的内容有疑问时，可要求澄清，但应在距投标截止日10日前，</w:t>
      </w:r>
      <w:r>
        <w:rPr>
          <w:rFonts w:hint="eastAsia" w:ascii="宋体" w:hAnsi="宋体" w:cs="宋体"/>
          <w:sz w:val="24"/>
          <w:szCs w:val="24"/>
          <w:lang w:val="en-US" w:eastAsia="zh-CN"/>
        </w:rPr>
        <w:t>将PDF版投标疑问，发送到中盈永诚咨询集团有限公司邮箱（157787758@qq.com），并同时拨打代理机构电话进行确认。</w:t>
      </w:r>
      <w:r>
        <w:rPr>
          <w:rFonts w:hint="eastAsia" w:ascii="宋体" w:hAnsi="宋体" w:cs="宋体"/>
          <w:sz w:val="24"/>
          <w:szCs w:val="24"/>
        </w:rPr>
        <w:t>投标人逾期所提问题，不予解答。招标文件澄清在</w:t>
      </w:r>
      <w:r>
        <w:rPr>
          <w:rFonts w:hint="eastAsia" w:ascii="宋体" w:hAnsi="宋体" w:cs="宋体"/>
          <w:sz w:val="24"/>
          <w:szCs w:val="24"/>
          <w:lang w:eastAsia="zh-CN"/>
        </w:rPr>
        <w:t>“政采云”平台</w:t>
      </w:r>
      <w:r>
        <w:rPr>
          <w:rFonts w:hint="eastAsia" w:ascii="宋体" w:hAnsi="宋体" w:cs="宋体"/>
          <w:sz w:val="24"/>
          <w:szCs w:val="24"/>
        </w:rPr>
        <w:t>发布，请潜在</w:t>
      </w:r>
      <w:r>
        <w:rPr>
          <w:rFonts w:hint="eastAsia" w:ascii="宋体" w:hAnsi="宋体" w:cs="宋体"/>
          <w:sz w:val="24"/>
          <w:szCs w:val="24"/>
          <w:lang w:eastAsia="zh-CN"/>
        </w:rPr>
        <w:t>投标人</w:t>
      </w:r>
      <w:r>
        <w:rPr>
          <w:rFonts w:hint="eastAsia" w:ascii="宋体" w:hAnsi="宋体" w:cs="宋体"/>
          <w:sz w:val="24"/>
          <w:szCs w:val="24"/>
        </w:rPr>
        <w:t>在参加与本项目活动期间关注网站信息，所有有意愿的</w:t>
      </w:r>
      <w:r>
        <w:rPr>
          <w:rFonts w:hint="eastAsia" w:ascii="宋体" w:hAnsi="宋体" w:cs="宋体"/>
          <w:sz w:val="24"/>
          <w:szCs w:val="24"/>
          <w:lang w:eastAsia="zh-CN"/>
        </w:rPr>
        <w:t>投标人</w:t>
      </w:r>
      <w:r>
        <w:rPr>
          <w:rFonts w:hint="eastAsia" w:ascii="宋体" w:hAnsi="宋体" w:cs="宋体"/>
          <w:sz w:val="24"/>
          <w:szCs w:val="24"/>
        </w:rPr>
        <w:t>有义务在网上自行查询</w:t>
      </w:r>
      <w:r>
        <w:rPr>
          <w:rFonts w:hint="eastAsia" w:ascii="宋体" w:hAnsi="宋体" w:cs="宋体"/>
          <w:sz w:val="24"/>
          <w:szCs w:val="24"/>
          <w:highlight w:val="none"/>
        </w:rPr>
        <w:t>。</w:t>
      </w:r>
    </w:p>
    <w:p w14:paraId="683736E6">
      <w:pPr>
        <w:pStyle w:val="4"/>
        <w:spacing w:before="0" w:after="0" w:line="288" w:lineRule="auto"/>
        <w:rPr>
          <w:rFonts w:ascii="宋体" w:hAnsi="宋体" w:cs="宋体"/>
          <w:sz w:val="24"/>
          <w:szCs w:val="24"/>
          <w:highlight w:val="none"/>
        </w:rPr>
      </w:pPr>
      <w:bookmarkStart w:id="35" w:name="_Toc98580399"/>
      <w:r>
        <w:rPr>
          <w:rFonts w:hint="eastAsia" w:ascii="宋体" w:hAnsi="宋体" w:cs="宋体"/>
          <w:sz w:val="24"/>
          <w:szCs w:val="24"/>
          <w:highlight w:val="none"/>
        </w:rPr>
        <w:t>8.招标文件的修改</w:t>
      </w:r>
      <w:bookmarkEnd w:id="35"/>
    </w:p>
    <w:p w14:paraId="6816DFB6">
      <w:pPr>
        <w:spacing w:line="288" w:lineRule="auto"/>
        <w:ind w:firstLine="480" w:firstLineChars="200"/>
        <w:jc w:val="both"/>
        <w:rPr>
          <w:rFonts w:ascii="宋体" w:hAnsi="宋体" w:cs="宋体"/>
          <w:sz w:val="24"/>
          <w:szCs w:val="24"/>
        </w:rPr>
      </w:pPr>
      <w:r>
        <w:rPr>
          <w:rFonts w:hint="eastAsia" w:ascii="宋体" w:hAnsi="宋体" w:cs="宋体"/>
          <w:sz w:val="24"/>
          <w:szCs w:val="24"/>
        </w:rPr>
        <w:t>8.1在</w:t>
      </w:r>
      <w:r>
        <w:rPr>
          <w:rFonts w:hint="eastAsia" w:ascii="宋体" w:hAnsi="宋体" w:cs="宋体"/>
          <w:sz w:val="24"/>
          <w:szCs w:val="24"/>
          <w:lang w:val="zh-CN"/>
        </w:rPr>
        <w:t>投标截止时间15日前</w:t>
      </w:r>
      <w:r>
        <w:rPr>
          <w:rFonts w:hint="eastAsia" w:ascii="宋体" w:hAnsi="宋体" w:cs="宋体"/>
          <w:sz w:val="24"/>
          <w:szCs w:val="24"/>
        </w:rPr>
        <w:t>，招标机构可根据需要和（或）依据</w:t>
      </w:r>
      <w:r>
        <w:rPr>
          <w:rFonts w:hint="eastAsia" w:ascii="宋体" w:hAnsi="宋体" w:cs="宋体"/>
          <w:sz w:val="24"/>
          <w:szCs w:val="24"/>
          <w:lang w:eastAsia="zh-CN"/>
        </w:rPr>
        <w:t>投标人</w:t>
      </w:r>
      <w:r>
        <w:rPr>
          <w:rFonts w:hint="eastAsia" w:ascii="宋体" w:hAnsi="宋体" w:cs="宋体"/>
          <w:sz w:val="24"/>
          <w:szCs w:val="24"/>
        </w:rPr>
        <w:t>要求澄清的问题而修改招标文件，并在</w:t>
      </w:r>
      <w:r>
        <w:rPr>
          <w:rFonts w:hint="eastAsia" w:ascii="宋体" w:hAnsi="宋体" w:cs="宋体"/>
          <w:sz w:val="24"/>
          <w:szCs w:val="24"/>
          <w:lang w:eastAsia="zh-CN"/>
        </w:rPr>
        <w:t>“政采云”平台</w:t>
      </w:r>
      <w:r>
        <w:rPr>
          <w:rFonts w:hint="eastAsia" w:ascii="宋体" w:hAnsi="宋体" w:cs="宋体"/>
          <w:sz w:val="24"/>
          <w:szCs w:val="24"/>
        </w:rPr>
        <w:t>上发布，请潜在</w:t>
      </w:r>
      <w:r>
        <w:rPr>
          <w:rFonts w:hint="eastAsia" w:ascii="宋体" w:hAnsi="宋体" w:cs="宋体"/>
          <w:sz w:val="24"/>
          <w:szCs w:val="24"/>
          <w:lang w:eastAsia="zh-CN"/>
        </w:rPr>
        <w:t>投标人</w:t>
      </w:r>
      <w:r>
        <w:rPr>
          <w:rFonts w:hint="eastAsia" w:ascii="宋体" w:hAnsi="宋体" w:cs="宋体"/>
          <w:sz w:val="24"/>
          <w:szCs w:val="24"/>
        </w:rPr>
        <w:t>在参加与本项目活动期间关注网站信息，所有有意愿的</w:t>
      </w:r>
      <w:r>
        <w:rPr>
          <w:rFonts w:hint="eastAsia" w:ascii="宋体" w:hAnsi="宋体" w:cs="宋体"/>
          <w:sz w:val="24"/>
          <w:szCs w:val="24"/>
          <w:lang w:eastAsia="zh-CN"/>
        </w:rPr>
        <w:t>投标人</w:t>
      </w:r>
      <w:r>
        <w:rPr>
          <w:rFonts w:hint="eastAsia" w:ascii="宋体" w:hAnsi="宋体" w:cs="宋体"/>
          <w:sz w:val="24"/>
          <w:szCs w:val="24"/>
        </w:rPr>
        <w:t>有义务在网上自行查询。</w:t>
      </w:r>
    </w:p>
    <w:p w14:paraId="0D6612CF">
      <w:pPr>
        <w:spacing w:line="288" w:lineRule="auto"/>
        <w:ind w:firstLine="480" w:firstLineChars="200"/>
        <w:jc w:val="both"/>
        <w:rPr>
          <w:rFonts w:ascii="宋体" w:hAnsi="宋体" w:cs="宋体"/>
          <w:sz w:val="24"/>
          <w:szCs w:val="24"/>
          <w:highlight w:val="none"/>
        </w:rPr>
      </w:pPr>
      <w:r>
        <w:rPr>
          <w:rFonts w:hint="eastAsia" w:ascii="宋体" w:hAnsi="宋体" w:cs="宋体"/>
          <w:sz w:val="24"/>
          <w:szCs w:val="24"/>
        </w:rPr>
        <w:t>8.2 招标文件的修改书将构成招标文件的一部分，对</w:t>
      </w:r>
      <w:r>
        <w:rPr>
          <w:rFonts w:hint="eastAsia" w:ascii="宋体" w:hAnsi="宋体" w:cs="宋体"/>
          <w:sz w:val="24"/>
          <w:szCs w:val="24"/>
          <w:lang w:eastAsia="zh-CN"/>
        </w:rPr>
        <w:t>投标人</w:t>
      </w:r>
      <w:r>
        <w:rPr>
          <w:rFonts w:hint="eastAsia" w:ascii="宋体" w:hAnsi="宋体" w:cs="宋体"/>
          <w:sz w:val="24"/>
          <w:szCs w:val="24"/>
        </w:rPr>
        <w:t>具有同样的约束力</w:t>
      </w:r>
      <w:r>
        <w:rPr>
          <w:rFonts w:hint="eastAsia" w:ascii="宋体" w:hAnsi="宋体"/>
          <w:sz w:val="24"/>
          <w:szCs w:val="24"/>
          <w:highlight w:val="none"/>
        </w:rPr>
        <w:t>。</w:t>
      </w:r>
    </w:p>
    <w:p w14:paraId="5A8BB545">
      <w:pPr>
        <w:pStyle w:val="3"/>
        <w:spacing w:before="0" w:after="0" w:line="288" w:lineRule="auto"/>
        <w:jc w:val="center"/>
        <w:rPr>
          <w:rFonts w:ascii="宋体" w:hAnsi="宋体" w:eastAsia="宋体" w:cs="宋体"/>
          <w:sz w:val="24"/>
          <w:szCs w:val="24"/>
          <w:highlight w:val="none"/>
        </w:rPr>
      </w:pPr>
      <w:bookmarkStart w:id="36" w:name="_Toc98580400"/>
      <w:r>
        <w:rPr>
          <w:rFonts w:hint="eastAsia" w:ascii="宋体" w:hAnsi="宋体" w:eastAsia="宋体" w:cs="宋体"/>
          <w:sz w:val="24"/>
          <w:szCs w:val="24"/>
          <w:highlight w:val="none"/>
        </w:rPr>
        <w:t>C投标文件的编写</w:t>
      </w:r>
      <w:bookmarkEnd w:id="36"/>
    </w:p>
    <w:p w14:paraId="5FA71FD6">
      <w:pPr>
        <w:pStyle w:val="4"/>
        <w:spacing w:before="0" w:after="0" w:line="288" w:lineRule="auto"/>
        <w:rPr>
          <w:rFonts w:ascii="宋体" w:hAnsi="宋体" w:cs="宋体"/>
          <w:sz w:val="24"/>
          <w:szCs w:val="24"/>
          <w:highlight w:val="none"/>
        </w:rPr>
      </w:pPr>
      <w:bookmarkStart w:id="37" w:name="_Toc98580401"/>
      <w:r>
        <w:rPr>
          <w:rFonts w:hint="eastAsia" w:ascii="宋体" w:hAnsi="宋体" w:cs="宋体"/>
          <w:sz w:val="24"/>
          <w:szCs w:val="24"/>
          <w:highlight w:val="none"/>
        </w:rPr>
        <w:t>9.投标语言及计量单位</w:t>
      </w:r>
      <w:bookmarkEnd w:id="37"/>
    </w:p>
    <w:p w14:paraId="64ED038D">
      <w:pPr>
        <w:spacing w:line="288" w:lineRule="auto"/>
        <w:ind w:firstLine="480" w:firstLineChars="200"/>
        <w:jc w:val="both"/>
        <w:rPr>
          <w:rFonts w:ascii="宋体" w:hAnsi="宋体" w:cs="宋体"/>
          <w:sz w:val="24"/>
          <w:szCs w:val="24"/>
          <w:highlight w:val="none"/>
        </w:rPr>
      </w:pPr>
      <w:r>
        <w:rPr>
          <w:rFonts w:hint="eastAsia" w:ascii="宋体" w:hAnsi="宋体" w:cs="宋体"/>
          <w:sz w:val="24"/>
          <w:szCs w:val="24"/>
          <w:highlight w:val="none"/>
        </w:rPr>
        <w:t>9.1投标文件及</w:t>
      </w:r>
      <w:r>
        <w:rPr>
          <w:rFonts w:hint="eastAsia" w:ascii="宋体" w:hAnsi="宋体" w:cs="宋体"/>
          <w:sz w:val="24"/>
          <w:szCs w:val="24"/>
          <w:highlight w:val="none"/>
          <w:lang w:eastAsia="zh-CN"/>
        </w:rPr>
        <w:t>投标人</w:t>
      </w:r>
      <w:r>
        <w:rPr>
          <w:rFonts w:hint="eastAsia" w:ascii="宋体" w:hAnsi="宋体" w:cs="宋体"/>
          <w:sz w:val="24"/>
          <w:szCs w:val="24"/>
          <w:highlight w:val="none"/>
        </w:rPr>
        <w:t>和</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就投标交换的文件和来往信件，以中文书写（专有名词除外）；</w:t>
      </w:r>
    </w:p>
    <w:p w14:paraId="0BC56455">
      <w:pPr>
        <w:spacing w:line="288" w:lineRule="auto"/>
        <w:ind w:firstLine="480" w:firstLineChars="200"/>
        <w:jc w:val="both"/>
        <w:rPr>
          <w:rFonts w:ascii="宋体" w:hAnsi="宋体" w:cs="宋体"/>
          <w:sz w:val="24"/>
          <w:szCs w:val="24"/>
          <w:highlight w:val="none"/>
        </w:rPr>
      </w:pPr>
      <w:r>
        <w:rPr>
          <w:rFonts w:hint="eastAsia" w:ascii="宋体" w:hAnsi="宋体" w:cs="宋体"/>
          <w:sz w:val="24"/>
          <w:szCs w:val="24"/>
          <w:highlight w:val="none"/>
        </w:rPr>
        <w:t>9.2除在招标文件的“技术要求”中另有规定外，计量单位应使用中华人民共和国法定计量单位（国际单位制和国家选定的其他计量单位）。</w:t>
      </w:r>
    </w:p>
    <w:p w14:paraId="3863EC80">
      <w:pPr>
        <w:pStyle w:val="4"/>
        <w:spacing w:before="0" w:after="0" w:line="288" w:lineRule="auto"/>
        <w:rPr>
          <w:rFonts w:ascii="宋体" w:hAnsi="宋体" w:cs="宋体"/>
          <w:sz w:val="24"/>
          <w:szCs w:val="24"/>
          <w:highlight w:val="none"/>
        </w:rPr>
      </w:pPr>
      <w:r>
        <w:rPr>
          <w:rFonts w:hint="eastAsia" w:ascii="宋体" w:hAnsi="宋体" w:cs="宋体"/>
          <w:sz w:val="24"/>
          <w:szCs w:val="24"/>
          <w:highlight w:val="none"/>
        </w:rPr>
        <w:t>10．投标文件的组成</w:t>
      </w:r>
      <w:bookmarkEnd w:id="31"/>
    </w:p>
    <w:p w14:paraId="5B83EF20">
      <w:pPr>
        <w:spacing w:line="288" w:lineRule="auto"/>
        <w:ind w:left="567"/>
        <w:jc w:val="both"/>
        <w:rPr>
          <w:rFonts w:ascii="宋体" w:hAnsi="宋体" w:cs="宋体"/>
          <w:sz w:val="24"/>
          <w:szCs w:val="24"/>
          <w:highlight w:val="none"/>
        </w:rPr>
      </w:pPr>
      <w:r>
        <w:rPr>
          <w:rFonts w:hint="eastAsia" w:ascii="宋体" w:hAnsi="宋体" w:cs="宋体"/>
          <w:sz w:val="24"/>
          <w:szCs w:val="24"/>
          <w:highlight w:val="none"/>
        </w:rPr>
        <w:t>详见第六部分：投标文件格式。</w:t>
      </w:r>
    </w:p>
    <w:p w14:paraId="4720B711">
      <w:pPr>
        <w:pStyle w:val="4"/>
        <w:spacing w:before="0" w:after="0" w:line="288" w:lineRule="auto"/>
        <w:rPr>
          <w:rFonts w:ascii="宋体" w:hAnsi="宋体" w:cs="宋体"/>
          <w:sz w:val="24"/>
          <w:szCs w:val="24"/>
          <w:highlight w:val="none"/>
        </w:rPr>
      </w:pPr>
      <w:bookmarkStart w:id="38" w:name="_Toc98580403"/>
      <w:r>
        <w:rPr>
          <w:rFonts w:hint="eastAsia" w:ascii="宋体" w:hAnsi="宋体" w:cs="宋体"/>
          <w:sz w:val="24"/>
          <w:szCs w:val="24"/>
          <w:highlight w:val="none"/>
        </w:rPr>
        <w:t>11.投标文件内容填写说明</w:t>
      </w:r>
      <w:bookmarkEnd w:id="38"/>
    </w:p>
    <w:p w14:paraId="57DB41FC">
      <w:pPr>
        <w:spacing w:line="288" w:lineRule="auto"/>
        <w:ind w:left="1"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11.1</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应严格按招标文件要求的内容逐项填写编制投标文件，有规定格式的按规定格式填写，无规定格式的由</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自拟</w:t>
      </w:r>
      <w:r>
        <w:rPr>
          <w:rFonts w:hint="eastAsia" w:asciiTheme="minorEastAsia" w:hAnsiTheme="minorEastAsia" w:eastAsiaTheme="minorEastAsia" w:cstheme="minorEastAsia"/>
          <w:b/>
          <w:sz w:val="24"/>
          <w:szCs w:val="24"/>
        </w:rPr>
        <w:t>。</w:t>
      </w:r>
    </w:p>
    <w:p w14:paraId="1F662C70">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11.2开标一览表为在开标仪式上唱标的内容，要求按格式填写、统一规范，不得自行增减内容。投标文件不得漏项或虚报，否则将可能导致其投标被拒绝。</w:t>
      </w:r>
    </w:p>
    <w:p w14:paraId="0ED8CC4E">
      <w:pPr>
        <w:spacing w:line="288" w:lineRule="auto"/>
        <w:ind w:left="-14"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11.3 </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应保证其所提供文件的真实性，并应对招标文件的实质性要求作出完全响应，否则其投标可能被拒绝。</w:t>
      </w:r>
    </w:p>
    <w:p w14:paraId="07386B71">
      <w:pPr>
        <w:keepNext w:val="0"/>
        <w:keepLines w:val="0"/>
        <w:pageBreakBefore w:val="0"/>
        <w:widowControl/>
        <w:kinsoku/>
        <w:wordWrap/>
        <w:overflowPunct/>
        <w:topLinePunct w:val="0"/>
        <w:autoSpaceDE/>
        <w:autoSpaceDN/>
        <w:bidi w:val="0"/>
        <w:adjustRightInd/>
        <w:snapToGrid/>
        <w:spacing w:line="288" w:lineRule="auto"/>
        <w:ind w:left="1"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11.4</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视需要自行编制技术文件的补充附件。规格幅面应与正文一致，附于正文之后，与正文页码</w:t>
      </w:r>
      <w:r>
        <w:rPr>
          <w:rFonts w:hint="eastAsia" w:asciiTheme="minorEastAsia" w:hAnsiTheme="minorEastAsia" w:eastAsiaTheme="minorEastAsia" w:cstheme="minorEastAsia"/>
          <w:b/>
          <w:sz w:val="24"/>
          <w:szCs w:val="24"/>
        </w:rPr>
        <w:t>统一编目编码装订</w:t>
      </w:r>
      <w:r>
        <w:rPr>
          <w:rFonts w:hint="eastAsia" w:ascii="宋体" w:hAnsi="宋体" w:cs="宋体"/>
          <w:sz w:val="24"/>
          <w:szCs w:val="24"/>
          <w:highlight w:val="none"/>
        </w:rPr>
        <w:t>。</w:t>
      </w:r>
    </w:p>
    <w:p w14:paraId="753228DE">
      <w:pPr>
        <w:pStyle w:val="4"/>
        <w:spacing w:before="0" w:after="0" w:line="288" w:lineRule="auto"/>
        <w:rPr>
          <w:rFonts w:ascii="宋体" w:hAnsi="宋体" w:cs="宋体"/>
          <w:sz w:val="24"/>
          <w:szCs w:val="24"/>
          <w:highlight w:val="none"/>
        </w:rPr>
      </w:pPr>
      <w:bookmarkStart w:id="39" w:name="_Toc98580404"/>
      <w:r>
        <w:rPr>
          <w:rFonts w:hint="eastAsia" w:ascii="宋体" w:hAnsi="宋体" w:cs="宋体"/>
          <w:sz w:val="24"/>
          <w:szCs w:val="24"/>
          <w:highlight w:val="none"/>
        </w:rPr>
        <w:t>12.投标报价</w:t>
      </w:r>
      <w:bookmarkEnd w:id="39"/>
    </w:p>
    <w:p w14:paraId="68A1F5DF">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12.1 所有投标均以人民币报价；</w:t>
      </w:r>
    </w:p>
    <w:p w14:paraId="26FA010D">
      <w:pPr>
        <w:spacing w:line="288" w:lineRule="auto"/>
        <w:ind w:left="1"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12.2</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应在填写分项报价表时注明各项单价、总价。如果单价与总价有出入，以单价为准。采购代理机构不接受有任何选择的报价；报价须有法人代表或授权代表签署。</w:t>
      </w:r>
    </w:p>
    <w:p w14:paraId="37BAD953">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12.3</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应按上述12.1-12.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条款要求填写投标报价，以供评标委员会比较评价。</w:t>
      </w:r>
    </w:p>
    <w:p w14:paraId="617DC7E1">
      <w:pPr>
        <w:keepNext w:val="0"/>
        <w:keepLines w:val="0"/>
        <w:pageBreakBefore w:val="0"/>
        <w:widowControl/>
        <w:kinsoku/>
        <w:wordWrap/>
        <w:overflowPunct/>
        <w:topLinePunct w:val="0"/>
        <w:autoSpaceDE/>
        <w:autoSpaceDN/>
        <w:bidi w:val="0"/>
        <w:adjustRightInd/>
        <w:snapToGrid/>
        <w:spacing w:line="288" w:lineRule="auto"/>
        <w:ind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12.</w:t>
      </w:r>
      <w:r>
        <w:rPr>
          <w:rFonts w:hint="eastAsia" w:asciiTheme="minorEastAsia" w:hAnsiTheme="minorEastAsia" w:eastAsiaTheme="minorEastAsia" w:cstheme="minorEastAsia"/>
          <w:sz w:val="24"/>
          <w:szCs w:val="24"/>
          <w:lang w:val="en-US" w:eastAsia="zh-CN"/>
        </w:rPr>
        <w:t>4</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因承包本项目需支付的一切费用如：</w:t>
      </w:r>
      <w:r>
        <w:rPr>
          <w:rFonts w:hint="eastAsia" w:asciiTheme="minorEastAsia" w:hAnsiTheme="minorEastAsia" w:eastAsiaTheme="minorEastAsia" w:cstheme="minorEastAsia"/>
          <w:sz w:val="24"/>
          <w:szCs w:val="24"/>
          <w:lang w:eastAsia="zh-CN"/>
        </w:rPr>
        <w:t>设备制造或采购</w:t>
      </w:r>
      <w:r>
        <w:rPr>
          <w:rFonts w:hint="eastAsia" w:asciiTheme="minorEastAsia" w:hAnsiTheme="minorEastAsia" w:eastAsiaTheme="minorEastAsia" w:cstheme="minorEastAsia"/>
          <w:sz w:val="24"/>
          <w:szCs w:val="24"/>
        </w:rPr>
        <w:t>、拼装、检验、税金、运费、安装费、保险费、调试验收等费用均由</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承担，并包含在所报的单价或总价内</w:t>
      </w:r>
      <w:r>
        <w:rPr>
          <w:rFonts w:hint="eastAsia" w:ascii="宋体" w:hAnsi="宋体" w:cs="宋体"/>
          <w:sz w:val="24"/>
          <w:szCs w:val="24"/>
          <w:highlight w:val="none"/>
        </w:rPr>
        <w:t>。</w:t>
      </w:r>
    </w:p>
    <w:p w14:paraId="60044812">
      <w:pPr>
        <w:spacing w:line="288" w:lineRule="auto"/>
        <w:rPr>
          <w:rFonts w:ascii="宋体" w:hAnsi="宋体" w:cs="宋体"/>
          <w:b/>
          <w:sz w:val="24"/>
          <w:szCs w:val="24"/>
          <w:highlight w:val="none"/>
        </w:rPr>
      </w:pPr>
      <w:bookmarkStart w:id="40" w:name="_Toc98580405"/>
      <w:r>
        <w:rPr>
          <w:rFonts w:hint="eastAsia" w:ascii="宋体" w:hAnsi="宋体" w:cs="宋体"/>
          <w:b/>
          <w:sz w:val="24"/>
          <w:szCs w:val="24"/>
          <w:highlight w:val="none"/>
        </w:rPr>
        <w:t>13.投标保证金</w:t>
      </w:r>
      <w:bookmarkEnd w:id="40"/>
    </w:p>
    <w:p w14:paraId="6ACF9FE0">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13.1投标保证金的形式：</w:t>
      </w:r>
      <w:r>
        <w:rPr>
          <w:rFonts w:hint="eastAsia" w:asciiTheme="minorEastAsia" w:hAnsiTheme="minorEastAsia" w:eastAsiaTheme="minorEastAsia" w:cstheme="minorEastAsia"/>
          <w:bCs/>
          <w:kern w:val="15"/>
          <w:sz w:val="24"/>
          <w:szCs w:val="24"/>
        </w:rPr>
        <w:t>见</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须知前附表第1</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项</w:t>
      </w:r>
      <w:r>
        <w:rPr>
          <w:rFonts w:hint="eastAsia" w:asciiTheme="minorEastAsia" w:hAnsiTheme="minorEastAsia" w:eastAsiaTheme="minorEastAsia" w:cstheme="minorEastAsia"/>
          <w:bCs/>
          <w:kern w:val="15"/>
          <w:sz w:val="24"/>
          <w:szCs w:val="24"/>
        </w:rPr>
        <w:t>；</w:t>
      </w:r>
    </w:p>
    <w:p w14:paraId="39DD8D0D">
      <w:pPr>
        <w:spacing w:line="288" w:lineRule="auto"/>
        <w:ind w:firstLine="480" w:firstLineChars="200"/>
        <w:rPr>
          <w:rFonts w:hint="eastAsia" w:asciiTheme="minorEastAsia" w:hAnsiTheme="minorEastAsia" w:eastAsiaTheme="minorEastAsia" w:cstheme="minorEastAsia"/>
          <w:bCs/>
          <w:kern w:val="15"/>
          <w:sz w:val="24"/>
          <w:szCs w:val="24"/>
        </w:rPr>
      </w:pPr>
      <w:r>
        <w:rPr>
          <w:rFonts w:hint="eastAsia" w:asciiTheme="minorEastAsia" w:hAnsiTheme="minorEastAsia" w:eastAsiaTheme="minorEastAsia" w:cstheme="minorEastAsia"/>
          <w:bCs/>
          <w:kern w:val="15"/>
          <w:sz w:val="24"/>
          <w:szCs w:val="24"/>
        </w:rPr>
        <w:t>13.2投标保证金的金额：见</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须知前附表第1</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项</w:t>
      </w:r>
      <w:r>
        <w:rPr>
          <w:rFonts w:hint="eastAsia" w:asciiTheme="minorEastAsia" w:hAnsiTheme="minorEastAsia" w:eastAsiaTheme="minorEastAsia" w:cstheme="minorEastAsia"/>
          <w:bCs/>
          <w:kern w:val="15"/>
          <w:sz w:val="24"/>
          <w:szCs w:val="24"/>
        </w:rPr>
        <w:t xml:space="preserve">； </w:t>
      </w:r>
    </w:p>
    <w:p w14:paraId="39EE4F4A">
      <w:pPr>
        <w:spacing w:line="288" w:lineRule="auto"/>
        <w:ind w:firstLine="480" w:firstLineChars="200"/>
        <w:rPr>
          <w:rFonts w:hint="eastAsia" w:asciiTheme="minorEastAsia" w:hAnsiTheme="minorEastAsia" w:eastAsiaTheme="minorEastAsia" w:cstheme="minorEastAsia"/>
          <w:bCs/>
          <w:kern w:val="15"/>
          <w:sz w:val="24"/>
          <w:szCs w:val="24"/>
        </w:rPr>
      </w:pPr>
      <w:r>
        <w:rPr>
          <w:rFonts w:hint="eastAsia" w:asciiTheme="minorEastAsia" w:hAnsiTheme="minorEastAsia" w:eastAsiaTheme="minorEastAsia" w:cstheme="minorEastAsia"/>
          <w:bCs/>
          <w:kern w:val="15"/>
          <w:sz w:val="24"/>
          <w:szCs w:val="24"/>
        </w:rPr>
        <w:t>13.3递交方式：见</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须知前附表第1</w:t>
      </w:r>
      <w:r>
        <w:rPr>
          <w:rFonts w:hint="eastAsia" w:asciiTheme="minorEastAsia" w:hAnsiTheme="minorEastAsia" w:eastAsiaTheme="minorEastAsia" w:cstheme="minorEastAsia"/>
          <w:sz w:val="24"/>
          <w:szCs w:val="24"/>
          <w:lang w:val="en-US" w:eastAsia="zh-CN"/>
        </w:rPr>
        <w:t>7</w:t>
      </w:r>
      <w:r>
        <w:rPr>
          <w:rFonts w:hint="eastAsia" w:asciiTheme="minorEastAsia" w:hAnsiTheme="minorEastAsia" w:eastAsiaTheme="minorEastAsia" w:cstheme="minorEastAsia"/>
          <w:sz w:val="24"/>
          <w:szCs w:val="24"/>
        </w:rPr>
        <w:t>项</w:t>
      </w:r>
      <w:r>
        <w:rPr>
          <w:rFonts w:hint="eastAsia" w:asciiTheme="minorEastAsia" w:hAnsiTheme="minorEastAsia" w:eastAsiaTheme="minorEastAsia" w:cstheme="minorEastAsia"/>
          <w:bCs/>
          <w:kern w:val="15"/>
          <w:sz w:val="24"/>
          <w:szCs w:val="24"/>
        </w:rPr>
        <w:t>；</w:t>
      </w:r>
    </w:p>
    <w:p w14:paraId="3DE7872B">
      <w:pPr>
        <w:keepNext w:val="0"/>
        <w:keepLines w:val="0"/>
        <w:pageBreakBefore w:val="0"/>
        <w:widowControl w:val="0"/>
        <w:kinsoku/>
        <w:wordWrap/>
        <w:overflowPunct/>
        <w:topLinePunct w:val="0"/>
        <w:autoSpaceDE/>
        <w:autoSpaceDN/>
        <w:bidi w:val="0"/>
        <w:adjustRightInd/>
        <w:snapToGrid/>
        <w:spacing w:line="288" w:lineRule="auto"/>
        <w:ind w:firstLine="480" w:firstLineChars="200"/>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13.4投标保证金用于保护本次招标免受因</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不履行投标承诺及合同等行为而引起的风险；</w:t>
      </w:r>
    </w:p>
    <w:p w14:paraId="7B03576F">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13.5未按13.1</w:t>
      </w:r>
      <w:r>
        <w:rPr>
          <w:rFonts w:hint="eastAsia" w:asciiTheme="minorEastAsia" w:hAnsiTheme="minorEastAsia" w:eastAsiaTheme="minorEastAsia" w:cstheme="minorEastAsia"/>
          <w:sz w:val="24"/>
          <w:szCs w:val="24"/>
          <w:lang w:val="en-US" w:eastAsia="zh-CN"/>
        </w:rPr>
        <w:t>-</w:t>
      </w:r>
      <w:r>
        <w:rPr>
          <w:rFonts w:hint="eastAsia" w:asciiTheme="minorEastAsia" w:hAnsiTheme="minorEastAsia" w:eastAsiaTheme="minorEastAsia" w:cstheme="minorEastAsia"/>
          <w:sz w:val="24"/>
          <w:szCs w:val="24"/>
        </w:rPr>
        <w:t>13.</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条款要求提交投标保证金的投标将被视为投标无效；</w:t>
      </w:r>
    </w:p>
    <w:p w14:paraId="4B4601BE">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13.6未中标</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的投标保证金将在中标通知书发出之日暨中标结果公告公布之日起5个工作日内，及时联系采购人或采购代理机构办理退还投标保证金手续。因</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自身原因导致无法及时退还的，采购人或采购代理机构将不承担资金占用费；</w:t>
      </w:r>
    </w:p>
    <w:p w14:paraId="07702C03">
      <w:pPr>
        <w:spacing w:line="288" w:lineRule="auto"/>
        <w:ind w:firstLine="480" w:firstLineChars="200"/>
        <w:jc w:val="both"/>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eastAsia="zh-CN"/>
        </w:rPr>
        <w:t>13.7中标人的投标保证金，在合同签订生效并按规定缴纳了履约保证金后五个工作日内退回原汇入账户。（注：①因投标人自身原因造成的保证金延迟退还，采购代理机构不承担相应责任；②投标人因涉嫌违法违规，按照规定应当不予退还保证金的，有关部门处理认定违法违规行为期间不计入退还保证金期限内）；</w:t>
      </w:r>
    </w:p>
    <w:p w14:paraId="4A93E6F4">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13.8 发生下列情况之一，投标保证金将被没收：</w:t>
      </w:r>
    </w:p>
    <w:p w14:paraId="1F93F3DE">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（1）开标后在投标有效期间，</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撤回其投标文件；</w:t>
      </w:r>
    </w:p>
    <w:p w14:paraId="470C4FFE">
      <w:pPr>
        <w:keepNext w:val="0"/>
        <w:keepLines w:val="0"/>
        <w:pageBreakBefore w:val="0"/>
        <w:widowControl/>
        <w:kinsoku/>
        <w:wordWrap/>
        <w:overflowPunct/>
        <w:topLinePunct w:val="0"/>
        <w:autoSpaceDE/>
        <w:autoSpaceDN/>
        <w:bidi w:val="0"/>
        <w:adjustRightInd/>
        <w:snapToGrid/>
        <w:spacing w:line="288" w:lineRule="auto"/>
        <w:ind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（2）</w:t>
      </w:r>
      <w:r>
        <w:rPr>
          <w:rFonts w:hint="eastAsia" w:asciiTheme="minorEastAsia" w:hAnsiTheme="minorEastAsia" w:eastAsiaTheme="minorEastAsia" w:cstheme="minorEastAsia"/>
          <w:sz w:val="24"/>
          <w:szCs w:val="24"/>
          <w:lang w:eastAsia="zh-CN"/>
        </w:rPr>
        <w:t>中标人</w:t>
      </w:r>
      <w:r>
        <w:rPr>
          <w:rFonts w:hint="eastAsia" w:asciiTheme="minorEastAsia" w:hAnsiTheme="minorEastAsia" w:eastAsiaTheme="minorEastAsia" w:cstheme="minorEastAsia"/>
          <w:sz w:val="24"/>
          <w:szCs w:val="24"/>
        </w:rPr>
        <w:t>不按本须知第26条规定签约</w:t>
      </w:r>
      <w:r>
        <w:rPr>
          <w:rFonts w:hint="eastAsia" w:ascii="宋体" w:hAnsi="宋体" w:cs="宋体"/>
          <w:sz w:val="24"/>
          <w:szCs w:val="24"/>
          <w:highlight w:val="none"/>
        </w:rPr>
        <w:t>。</w:t>
      </w:r>
    </w:p>
    <w:p w14:paraId="0AE64E70">
      <w:pPr>
        <w:pStyle w:val="4"/>
        <w:spacing w:before="0" w:after="0" w:line="288" w:lineRule="auto"/>
        <w:rPr>
          <w:rFonts w:ascii="宋体" w:hAnsi="宋体" w:cs="宋体"/>
          <w:sz w:val="24"/>
          <w:szCs w:val="24"/>
          <w:highlight w:val="none"/>
        </w:rPr>
      </w:pPr>
      <w:bookmarkStart w:id="41" w:name="_Toc98580406"/>
      <w:r>
        <w:rPr>
          <w:rFonts w:hint="eastAsia" w:ascii="宋体" w:hAnsi="宋体" w:cs="宋体"/>
          <w:sz w:val="24"/>
          <w:szCs w:val="24"/>
          <w:highlight w:val="none"/>
        </w:rPr>
        <w:t>14.投标有效期</w:t>
      </w:r>
      <w:bookmarkEnd w:id="41"/>
    </w:p>
    <w:p w14:paraId="3BAE46F0">
      <w:pPr>
        <w:keepNext w:val="0"/>
        <w:keepLines w:val="0"/>
        <w:pageBreakBefore w:val="0"/>
        <w:widowControl/>
        <w:kinsoku/>
        <w:wordWrap/>
        <w:overflowPunct/>
        <w:topLinePunct w:val="0"/>
        <w:autoSpaceDE/>
        <w:autoSpaceDN/>
        <w:bidi w:val="0"/>
        <w:adjustRightInd/>
        <w:snapToGrid/>
        <w:spacing w:line="288" w:lineRule="auto"/>
        <w:ind w:firstLine="480" w:firstLineChars="200"/>
        <w:jc w:val="both"/>
        <w:textAlignment w:val="auto"/>
        <w:rPr>
          <w:rFonts w:hint="eastAsia" w:ascii="宋体" w:hAnsi="宋体" w:cs="宋体"/>
          <w:sz w:val="24"/>
          <w:szCs w:val="24"/>
          <w:highlight w:val="none"/>
        </w:rPr>
      </w:pPr>
      <w:r>
        <w:rPr>
          <w:rFonts w:hint="eastAsia" w:ascii="宋体" w:hAnsi="宋体" w:cs="宋体"/>
          <w:sz w:val="24"/>
          <w:szCs w:val="24"/>
          <w:highlight w:val="none"/>
        </w:rPr>
        <w:t>14.1从开标之日起，投标有效期为90天。不能满足投标有效期的投标，将被拒绝；</w:t>
      </w:r>
    </w:p>
    <w:p w14:paraId="65E0091D">
      <w:pPr>
        <w:keepNext w:val="0"/>
        <w:keepLines w:val="0"/>
        <w:pageBreakBefore w:val="0"/>
        <w:widowControl/>
        <w:kinsoku/>
        <w:wordWrap/>
        <w:overflowPunct/>
        <w:topLinePunct w:val="0"/>
        <w:autoSpaceDE/>
        <w:autoSpaceDN/>
        <w:bidi w:val="0"/>
        <w:adjustRightInd/>
        <w:snapToGrid/>
        <w:spacing w:line="288" w:lineRule="auto"/>
        <w:ind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14.2特殊情况下，</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可于投标有效期满之前要求</w:t>
      </w:r>
      <w:r>
        <w:rPr>
          <w:rFonts w:hint="eastAsia" w:ascii="宋体" w:hAnsi="宋体" w:cs="宋体"/>
          <w:sz w:val="24"/>
          <w:szCs w:val="24"/>
          <w:highlight w:val="none"/>
          <w:lang w:eastAsia="zh-CN"/>
        </w:rPr>
        <w:t>投标人</w:t>
      </w:r>
      <w:r>
        <w:rPr>
          <w:rFonts w:hint="eastAsia" w:ascii="宋体" w:hAnsi="宋体" w:cs="宋体"/>
          <w:sz w:val="24"/>
          <w:szCs w:val="24"/>
          <w:highlight w:val="none"/>
        </w:rPr>
        <w:t>延长投标有效期，这种要求和答复都应以书面、传真的形式进行。</w:t>
      </w:r>
      <w:r>
        <w:rPr>
          <w:rFonts w:hint="eastAsia" w:ascii="宋体" w:hAnsi="宋体" w:cs="宋体"/>
          <w:sz w:val="24"/>
          <w:szCs w:val="24"/>
          <w:highlight w:val="none"/>
          <w:lang w:eastAsia="zh-CN"/>
        </w:rPr>
        <w:t>投标人</w:t>
      </w:r>
      <w:r>
        <w:rPr>
          <w:rFonts w:hint="eastAsia" w:ascii="宋体" w:hAnsi="宋体" w:cs="宋体"/>
          <w:sz w:val="24"/>
          <w:szCs w:val="24"/>
          <w:highlight w:val="none"/>
        </w:rPr>
        <w:t>可以拒绝接受延期要求。同意延长有效期的</w:t>
      </w:r>
      <w:r>
        <w:rPr>
          <w:rFonts w:hint="eastAsia" w:ascii="宋体" w:hAnsi="宋体" w:cs="宋体"/>
          <w:sz w:val="24"/>
          <w:szCs w:val="24"/>
          <w:highlight w:val="none"/>
          <w:lang w:eastAsia="zh-CN"/>
        </w:rPr>
        <w:t>投标人</w:t>
      </w:r>
      <w:r>
        <w:rPr>
          <w:rFonts w:hint="eastAsia" w:ascii="宋体" w:hAnsi="宋体" w:cs="宋体"/>
          <w:sz w:val="24"/>
          <w:szCs w:val="24"/>
          <w:highlight w:val="none"/>
        </w:rPr>
        <w:t>不能修改投标文件。</w:t>
      </w:r>
    </w:p>
    <w:p w14:paraId="4B8219FC">
      <w:pPr>
        <w:pStyle w:val="4"/>
        <w:spacing w:before="0" w:after="0" w:line="288" w:lineRule="auto"/>
        <w:rPr>
          <w:rFonts w:hint="eastAsia" w:asciiTheme="minorEastAsia" w:hAnsiTheme="minorEastAsia" w:eastAsiaTheme="minorEastAsia" w:cstheme="minorEastAsia"/>
          <w:sz w:val="24"/>
          <w:szCs w:val="24"/>
        </w:rPr>
      </w:pPr>
      <w:bookmarkStart w:id="42" w:name="_Toc98580407"/>
      <w:r>
        <w:rPr>
          <w:rFonts w:hint="eastAsia" w:ascii="宋体" w:hAnsi="宋体" w:cs="宋体"/>
          <w:sz w:val="24"/>
          <w:szCs w:val="24"/>
          <w:highlight w:val="none"/>
        </w:rPr>
        <w:t>15.投标文件的签署及规定</w:t>
      </w:r>
      <w:bookmarkEnd w:id="42"/>
      <w:r>
        <w:rPr>
          <w:rFonts w:hint="eastAsia" w:ascii="宋体" w:hAnsi="宋体" w:cs="宋体"/>
          <w:sz w:val="24"/>
          <w:szCs w:val="24"/>
          <w:lang w:eastAsia="zh-CN"/>
        </w:rPr>
        <w:t>（采用电子招标的，以政采云平台以及招标文件要求为准）</w:t>
      </w:r>
    </w:p>
    <w:p w14:paraId="5F044816">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15.1 组成投标文件的各项资料均应遵守本须知第10条中所规定的内容。</w:t>
      </w:r>
    </w:p>
    <w:p w14:paraId="2AB934B4">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15.2 </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应填写单位全称，同时加盖印章。</w:t>
      </w:r>
    </w:p>
    <w:p w14:paraId="16F7BF9F">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15.3 投标文件必须由法人代表或法人授权代表签署。</w:t>
      </w:r>
    </w:p>
    <w:p w14:paraId="07E5DC71">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15.4 投标文件文件</w:t>
      </w:r>
      <w:r>
        <w:rPr>
          <w:rFonts w:hint="eastAsia" w:asciiTheme="minorEastAsia" w:hAnsiTheme="minorEastAsia" w:eastAsiaTheme="minorEastAsia" w:cstheme="minorEastAsia"/>
          <w:sz w:val="24"/>
          <w:szCs w:val="24"/>
          <w:lang w:eastAsia="zh-CN"/>
        </w:rPr>
        <w:t>份数：见</w:t>
      </w:r>
      <w:r>
        <w:rPr>
          <w:rFonts w:hint="eastAsia" w:asciiTheme="minorEastAsia" w:hAnsiTheme="minorEastAsia" w:eastAsiaTheme="minorEastAsia" w:cstheme="minorEastAsia"/>
          <w:sz w:val="24"/>
          <w:szCs w:val="24"/>
        </w:rPr>
        <w:t>投标人须知前附表第</w:t>
      </w:r>
      <w:r>
        <w:rPr>
          <w:rFonts w:hint="eastAsia" w:asciiTheme="minorEastAsia" w:hAnsiTheme="minorEastAsia" w:eastAsiaTheme="minorEastAsia" w:cstheme="minorEastAsia"/>
          <w:sz w:val="24"/>
          <w:szCs w:val="24"/>
          <w:lang w:val="en-US" w:eastAsia="zh-CN"/>
        </w:rPr>
        <w:t>22</w:t>
      </w:r>
      <w:r>
        <w:rPr>
          <w:rFonts w:hint="eastAsia" w:asciiTheme="minorEastAsia" w:hAnsiTheme="minorEastAsia" w:eastAsiaTheme="minorEastAsia" w:cstheme="minorEastAsia"/>
          <w:sz w:val="24"/>
          <w:szCs w:val="24"/>
        </w:rPr>
        <w:t>项。</w:t>
      </w:r>
    </w:p>
    <w:p w14:paraId="0B06C983">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15.5 投标文件的正本必须用不退色的墨水填写或打印，注明“正本”字样。</w:t>
      </w:r>
    </w:p>
    <w:p w14:paraId="368FF89B">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15.6 投标文件不得涂改和增删，如有修改错漏处，必须由同一签署人签字或盖章。</w:t>
      </w:r>
    </w:p>
    <w:p w14:paraId="52F571E8">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15.7 投标文件因字迹潦草或表达不清所引起的后果由</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负责。</w:t>
      </w:r>
    </w:p>
    <w:p w14:paraId="66292918">
      <w:pPr>
        <w:keepNext w:val="0"/>
        <w:keepLines w:val="0"/>
        <w:pageBreakBefore w:val="0"/>
        <w:widowControl/>
        <w:kinsoku/>
        <w:wordWrap/>
        <w:overflowPunct/>
        <w:topLinePunct w:val="0"/>
        <w:autoSpaceDE/>
        <w:autoSpaceDN/>
        <w:bidi w:val="0"/>
        <w:adjustRightInd/>
        <w:snapToGrid/>
        <w:spacing w:line="288" w:lineRule="auto"/>
        <w:ind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15.8采购代理机构概不接受以电话、传真形式的投标</w:t>
      </w:r>
      <w:r>
        <w:rPr>
          <w:rFonts w:hint="eastAsia" w:ascii="宋体" w:hAnsi="宋体" w:cs="宋体"/>
          <w:sz w:val="24"/>
          <w:szCs w:val="24"/>
          <w:highlight w:val="none"/>
        </w:rPr>
        <w:t>。</w:t>
      </w:r>
    </w:p>
    <w:p w14:paraId="3BF70CF1">
      <w:pPr>
        <w:pStyle w:val="3"/>
        <w:spacing w:before="0" w:after="0" w:line="288" w:lineRule="auto"/>
        <w:jc w:val="center"/>
        <w:rPr>
          <w:rFonts w:ascii="宋体" w:hAnsi="宋体" w:eastAsia="宋体" w:cs="宋体"/>
          <w:sz w:val="24"/>
          <w:szCs w:val="24"/>
          <w:highlight w:val="none"/>
        </w:rPr>
      </w:pPr>
      <w:bookmarkStart w:id="43" w:name="_Toc98580408"/>
      <w:r>
        <w:rPr>
          <w:rFonts w:hint="eastAsia" w:ascii="宋体" w:hAnsi="宋体" w:eastAsia="宋体" w:cs="宋体"/>
          <w:sz w:val="24"/>
          <w:szCs w:val="24"/>
          <w:highlight w:val="none"/>
        </w:rPr>
        <w:t>D投标文件的递交</w:t>
      </w:r>
      <w:bookmarkEnd w:id="43"/>
    </w:p>
    <w:p w14:paraId="3751E517">
      <w:pPr>
        <w:pStyle w:val="4"/>
        <w:spacing w:before="0" w:after="0" w:line="288" w:lineRule="auto"/>
        <w:rPr>
          <w:rFonts w:hint="eastAsia" w:asciiTheme="minorEastAsia" w:hAnsiTheme="minorEastAsia" w:eastAsiaTheme="minorEastAsia" w:cstheme="minorEastAsia"/>
          <w:sz w:val="24"/>
          <w:szCs w:val="24"/>
        </w:rPr>
      </w:pPr>
      <w:bookmarkStart w:id="44" w:name="_Toc98580409"/>
      <w:r>
        <w:rPr>
          <w:rFonts w:hint="eastAsia" w:asciiTheme="minorEastAsia" w:hAnsiTheme="minorEastAsia" w:eastAsiaTheme="minorEastAsia" w:cstheme="minorEastAsia"/>
          <w:sz w:val="24"/>
          <w:szCs w:val="24"/>
        </w:rPr>
        <w:t>16.投标文件的密封和标记</w:t>
      </w:r>
      <w:bookmarkEnd w:id="44"/>
      <w:r>
        <w:rPr>
          <w:rFonts w:hint="eastAsia" w:ascii="宋体" w:hAnsi="宋体" w:cs="宋体"/>
          <w:sz w:val="24"/>
          <w:szCs w:val="24"/>
          <w:lang w:eastAsia="zh-CN"/>
        </w:rPr>
        <w:t>（采用电子招标的，以政采云平台要求为准）</w:t>
      </w:r>
    </w:p>
    <w:p w14:paraId="077AB7FB">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16.1</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应将投标文件正本和副本分别密封，并标明招标编号、投标项目名称、</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名称及正本或副本等。封口骑缝处应加盖密封章；投标文件电子版应单独密封。</w:t>
      </w:r>
    </w:p>
    <w:p w14:paraId="6FDDE2C3">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16.2为了方便开标唱标，</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应将开标一览表单独密封，并在信封上标明“开标一览表”字样。</w:t>
      </w:r>
    </w:p>
    <w:p w14:paraId="5868DBAD">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16.3每一密封信封上注明“</w:t>
      </w:r>
      <w:r>
        <w:rPr>
          <w:rFonts w:hint="eastAsia" w:asciiTheme="minorEastAsia" w:hAnsiTheme="minorEastAsia" w:eastAsiaTheme="minorEastAsia" w:cstheme="minorEastAsia"/>
          <w:sz w:val="24"/>
          <w:szCs w:val="24"/>
          <w:u w:val="single"/>
        </w:rPr>
        <w:t>于   年   月  日   时之前不准启封</w:t>
      </w:r>
      <w:r>
        <w:rPr>
          <w:rFonts w:hint="eastAsia" w:asciiTheme="minorEastAsia" w:hAnsiTheme="minorEastAsia" w:eastAsiaTheme="minorEastAsia" w:cstheme="minorEastAsia"/>
          <w:sz w:val="24"/>
          <w:szCs w:val="24"/>
        </w:rPr>
        <w:t>”的字样；</w:t>
      </w:r>
    </w:p>
    <w:p w14:paraId="7908B7DE">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16.4如投标文件由专人送交，</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应将投标文件按16.1-16.3中的规定进行密封和标记后，按投标邀请注明的投标地址送至采购代理机构；</w:t>
      </w:r>
    </w:p>
    <w:p w14:paraId="4B194184">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16.5如果投标文件通过邮寄递交,</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应将投标文件用内外两层信封密封:</w:t>
      </w:r>
    </w:p>
    <w:p w14:paraId="4447ACF4">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内层信封的封装与标记同16.1-16.3规定；</w:t>
      </w:r>
    </w:p>
    <w:p w14:paraId="79A885FA">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外层信封装入16.1及16.2所述全部内封资料,并注明招标编号、投标项目名称、采购代理机构名称、地址。同时应写明</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的名称、地址，以便将迟交的投标文件原封退还。</w:t>
      </w:r>
    </w:p>
    <w:p w14:paraId="436A2501">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16.6采购代理机构对投标文件的误投或未投标前提前拆封概不负责</w:t>
      </w:r>
      <w:r>
        <w:rPr>
          <w:rFonts w:hint="eastAsia" w:ascii="宋体" w:hAnsi="宋体" w:cs="宋体"/>
          <w:sz w:val="24"/>
          <w:szCs w:val="24"/>
          <w:highlight w:val="none"/>
        </w:rPr>
        <w:t>。</w:t>
      </w:r>
    </w:p>
    <w:p w14:paraId="7DAFB576">
      <w:pPr>
        <w:pStyle w:val="4"/>
        <w:spacing w:before="0" w:after="0" w:line="288" w:lineRule="auto"/>
        <w:rPr>
          <w:rFonts w:ascii="宋体" w:hAnsi="宋体" w:cs="宋体"/>
          <w:sz w:val="24"/>
          <w:szCs w:val="24"/>
          <w:highlight w:val="none"/>
        </w:rPr>
      </w:pPr>
      <w:bookmarkStart w:id="45" w:name="_Toc98580410"/>
      <w:r>
        <w:rPr>
          <w:rFonts w:hint="eastAsia" w:ascii="宋体" w:hAnsi="宋体" w:cs="宋体"/>
          <w:sz w:val="24"/>
          <w:szCs w:val="24"/>
          <w:highlight w:val="none"/>
        </w:rPr>
        <w:t>17.递交投标文件的截止时间</w:t>
      </w:r>
      <w:bookmarkEnd w:id="45"/>
    </w:p>
    <w:p w14:paraId="1C4C1511">
      <w:pPr>
        <w:spacing w:line="288" w:lineRule="auto"/>
        <w:ind w:firstLine="480" w:firstLineChars="20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17.1所有投标文件不论是通过专人或邮寄递交，都必须按照采购代理机构在</w:t>
      </w:r>
      <w:r>
        <w:rPr>
          <w:rFonts w:hint="eastAsia" w:asciiTheme="minorEastAsia" w:hAnsiTheme="minorEastAsia" w:eastAsiaTheme="minorEastAsia" w:cstheme="minorEastAsia"/>
          <w:sz w:val="24"/>
          <w:szCs w:val="24"/>
          <w:lang w:eastAsia="zh-CN"/>
        </w:rPr>
        <w:t>招标文件</w:t>
      </w:r>
      <w:r>
        <w:rPr>
          <w:rFonts w:hint="eastAsia" w:asciiTheme="minorEastAsia" w:hAnsiTheme="minorEastAsia" w:eastAsiaTheme="minorEastAsia" w:cstheme="minorEastAsia"/>
          <w:sz w:val="24"/>
          <w:szCs w:val="24"/>
        </w:rPr>
        <w:t>中规定的投标截止时间之前送至投标地点。</w:t>
      </w:r>
    </w:p>
    <w:p w14:paraId="312B921A">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17.2 采购代理机构</w:t>
      </w:r>
      <w:r>
        <w:rPr>
          <w:rFonts w:hint="eastAsia" w:ascii="宋体" w:hAnsi="宋体" w:cs="宋体"/>
          <w:sz w:val="24"/>
          <w:szCs w:val="24"/>
        </w:rPr>
        <w:t>推迟投标截止时间时，在</w:t>
      </w:r>
      <w:r>
        <w:rPr>
          <w:rFonts w:hint="eastAsia" w:ascii="宋体" w:hAnsi="宋体" w:cs="宋体"/>
          <w:sz w:val="24"/>
          <w:szCs w:val="24"/>
          <w:lang w:eastAsia="zh-CN"/>
        </w:rPr>
        <w:t>“政采云”平台</w:t>
      </w:r>
      <w:r>
        <w:rPr>
          <w:rFonts w:hint="eastAsia" w:ascii="宋体" w:hAnsi="宋体" w:cs="宋体"/>
          <w:sz w:val="24"/>
          <w:szCs w:val="24"/>
        </w:rPr>
        <w:t>上发布推迟信息。</w:t>
      </w:r>
      <w:r>
        <w:rPr>
          <w:rFonts w:hint="eastAsia" w:asciiTheme="minorEastAsia" w:hAnsiTheme="minorEastAsia" w:eastAsiaTheme="minorEastAsia" w:cstheme="minorEastAsia"/>
          <w:sz w:val="24"/>
          <w:szCs w:val="24"/>
        </w:rPr>
        <w:t>在这种情况下，采购代理机构和</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的权利和义务将受到新的截止期的约束。</w:t>
      </w:r>
    </w:p>
    <w:p w14:paraId="387EDA15">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17.3 采购代理机构对投标文件在邮寄过程中的遗失或损坏不负责任。</w:t>
      </w:r>
    </w:p>
    <w:p w14:paraId="2BBB8577">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17.4 在投标截止时间以后送达的投标文件，采购代理机构拒绝接收。</w:t>
      </w:r>
    </w:p>
    <w:p w14:paraId="0F8C32AF">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17.5本项目招标过程中，需法人代表或法人授权代表出面完成的，须出具法人代表身份证明或法人授权委托书原件及身份证原件，如不出具拒绝受理</w:t>
      </w:r>
      <w:r>
        <w:rPr>
          <w:rFonts w:hint="eastAsia" w:ascii="宋体" w:hAnsi="宋体" w:cs="宋体"/>
          <w:sz w:val="24"/>
          <w:szCs w:val="24"/>
          <w:highlight w:val="none"/>
        </w:rPr>
        <w:t>。</w:t>
      </w:r>
    </w:p>
    <w:p w14:paraId="6E77FBE5">
      <w:pPr>
        <w:spacing w:line="288" w:lineRule="auto"/>
        <w:rPr>
          <w:rFonts w:ascii="宋体" w:hAnsi="宋体" w:cs="宋体"/>
          <w:b/>
          <w:bCs/>
          <w:sz w:val="24"/>
          <w:szCs w:val="24"/>
          <w:highlight w:val="none"/>
        </w:rPr>
      </w:pPr>
      <w:r>
        <w:rPr>
          <w:rFonts w:hint="eastAsia" w:ascii="宋体" w:hAnsi="宋体" w:cs="宋体"/>
          <w:b/>
          <w:bCs/>
          <w:sz w:val="24"/>
          <w:szCs w:val="24"/>
          <w:highlight w:val="none"/>
        </w:rPr>
        <w:t>18.投标文件修改和撤消</w:t>
      </w:r>
    </w:p>
    <w:p w14:paraId="6CA2A136">
      <w:pPr>
        <w:keepNext w:val="0"/>
        <w:keepLines w:val="0"/>
        <w:pageBreakBefore w:val="0"/>
        <w:widowControl/>
        <w:kinsoku/>
        <w:wordWrap/>
        <w:overflowPunct/>
        <w:topLinePunct w:val="0"/>
        <w:autoSpaceDE/>
        <w:autoSpaceDN/>
        <w:bidi w:val="0"/>
        <w:adjustRightInd/>
        <w:snapToGrid/>
        <w:spacing w:line="288" w:lineRule="auto"/>
        <w:ind w:left="0" w:firstLine="480" w:firstLineChars="200"/>
        <w:textAlignment w:val="auto"/>
        <w:rPr>
          <w:rFonts w:ascii="宋体" w:hAnsi="宋体" w:cs="宋体"/>
          <w:sz w:val="24"/>
          <w:szCs w:val="24"/>
          <w:highlight w:val="none"/>
        </w:rPr>
      </w:pPr>
      <w:r>
        <w:rPr>
          <w:rFonts w:hint="eastAsia" w:ascii="宋体" w:hAnsi="宋体" w:cs="宋体"/>
          <w:sz w:val="24"/>
          <w:szCs w:val="24"/>
          <w:highlight w:val="none"/>
        </w:rPr>
        <w:t>18.1 投标以后，如果</w:t>
      </w:r>
      <w:r>
        <w:rPr>
          <w:rFonts w:hint="eastAsia" w:ascii="宋体" w:hAnsi="宋体" w:cs="宋体"/>
          <w:sz w:val="24"/>
          <w:szCs w:val="24"/>
          <w:highlight w:val="none"/>
          <w:lang w:eastAsia="zh-CN"/>
        </w:rPr>
        <w:t>投标人</w:t>
      </w:r>
      <w:r>
        <w:rPr>
          <w:rFonts w:hint="eastAsia" w:ascii="宋体" w:hAnsi="宋体" w:cs="宋体"/>
          <w:sz w:val="24"/>
          <w:szCs w:val="24"/>
          <w:highlight w:val="none"/>
        </w:rPr>
        <w:t>提出书面修改和撤标要求，在投标截止时间前送达</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者，</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予以接受。</w:t>
      </w:r>
    </w:p>
    <w:p w14:paraId="2F03F3EA">
      <w:pPr>
        <w:keepNext w:val="0"/>
        <w:keepLines w:val="0"/>
        <w:pageBreakBefore w:val="0"/>
        <w:widowControl/>
        <w:kinsoku/>
        <w:wordWrap/>
        <w:overflowPunct/>
        <w:topLinePunct w:val="0"/>
        <w:autoSpaceDE/>
        <w:autoSpaceDN/>
        <w:bidi w:val="0"/>
        <w:adjustRightInd/>
        <w:snapToGrid/>
        <w:spacing w:line="288" w:lineRule="auto"/>
        <w:ind w:left="0" w:firstLine="480" w:firstLineChars="200"/>
        <w:textAlignment w:val="auto"/>
        <w:rPr>
          <w:rFonts w:ascii="宋体" w:hAnsi="宋体" w:cs="宋体"/>
          <w:sz w:val="24"/>
          <w:szCs w:val="24"/>
          <w:highlight w:val="none"/>
        </w:rPr>
      </w:pPr>
      <w:r>
        <w:rPr>
          <w:rFonts w:hint="eastAsia" w:ascii="宋体" w:hAnsi="宋体" w:cs="宋体"/>
          <w:sz w:val="24"/>
          <w:szCs w:val="24"/>
          <w:highlight w:val="none"/>
        </w:rPr>
        <w:t xml:space="preserve">18.2 </w:t>
      </w:r>
      <w:r>
        <w:rPr>
          <w:rFonts w:hint="eastAsia" w:ascii="宋体" w:hAnsi="宋体" w:cs="宋体"/>
          <w:sz w:val="24"/>
          <w:szCs w:val="24"/>
          <w:highlight w:val="none"/>
          <w:lang w:eastAsia="zh-CN"/>
        </w:rPr>
        <w:t>投标人</w:t>
      </w:r>
      <w:r>
        <w:rPr>
          <w:rFonts w:hint="eastAsia" w:ascii="宋体" w:hAnsi="宋体" w:cs="宋体"/>
          <w:sz w:val="24"/>
          <w:szCs w:val="24"/>
          <w:highlight w:val="none"/>
        </w:rPr>
        <w:t>修改投标文件的书面材料，须密封送达</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，同时应在封套上标明“修改投标文件(并注明招标编号)”和“开标时启封”字样。</w:t>
      </w:r>
    </w:p>
    <w:p w14:paraId="480C5C11">
      <w:pPr>
        <w:keepNext w:val="0"/>
        <w:keepLines w:val="0"/>
        <w:pageBreakBefore w:val="0"/>
        <w:widowControl/>
        <w:kinsoku/>
        <w:wordWrap/>
        <w:overflowPunct/>
        <w:topLinePunct w:val="0"/>
        <w:autoSpaceDE/>
        <w:autoSpaceDN/>
        <w:bidi w:val="0"/>
        <w:adjustRightInd/>
        <w:snapToGrid/>
        <w:spacing w:line="288" w:lineRule="auto"/>
        <w:ind w:left="0" w:firstLine="480" w:firstLineChars="200"/>
        <w:textAlignment w:val="auto"/>
        <w:rPr>
          <w:rFonts w:ascii="宋体" w:hAnsi="宋体" w:cs="宋体"/>
          <w:sz w:val="24"/>
          <w:szCs w:val="24"/>
          <w:highlight w:val="none"/>
        </w:rPr>
      </w:pPr>
      <w:r>
        <w:rPr>
          <w:rFonts w:hint="eastAsia" w:ascii="宋体" w:hAnsi="宋体" w:cs="宋体"/>
          <w:sz w:val="24"/>
          <w:szCs w:val="24"/>
          <w:highlight w:val="none"/>
        </w:rPr>
        <w:t>18.3 撤消投标应以书面(或传真)的形式通知</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。如采取传真形式撤回投标，随后必须补充有法人代表或授权代表签署的要求撤消投标的正式文件。撤消投标的时间以送达</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或邮电到达日戳为准。</w:t>
      </w:r>
    </w:p>
    <w:p w14:paraId="40570E06">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18.4投标截止时间以后不得修改投标文件；</w:t>
      </w:r>
    </w:p>
    <w:p w14:paraId="48EC331D">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18.5开标后</w:t>
      </w:r>
      <w:r>
        <w:rPr>
          <w:rFonts w:hint="eastAsia" w:ascii="宋体" w:hAnsi="宋体" w:cs="宋体"/>
          <w:sz w:val="24"/>
          <w:szCs w:val="24"/>
          <w:highlight w:val="none"/>
          <w:lang w:eastAsia="zh-CN"/>
        </w:rPr>
        <w:t>投标人</w:t>
      </w:r>
      <w:r>
        <w:rPr>
          <w:rFonts w:hint="eastAsia" w:ascii="宋体" w:hAnsi="宋体" w:cs="宋体"/>
          <w:sz w:val="24"/>
          <w:szCs w:val="24"/>
          <w:highlight w:val="none"/>
        </w:rPr>
        <w:t>不得撤回投标。</w:t>
      </w:r>
    </w:p>
    <w:p w14:paraId="59D8B219">
      <w:pPr>
        <w:pStyle w:val="3"/>
        <w:spacing w:before="0" w:after="0" w:line="288" w:lineRule="auto"/>
        <w:jc w:val="center"/>
        <w:rPr>
          <w:rFonts w:ascii="宋体" w:hAnsi="宋体" w:eastAsia="宋体" w:cs="宋体"/>
          <w:sz w:val="24"/>
          <w:szCs w:val="24"/>
          <w:highlight w:val="none"/>
        </w:rPr>
      </w:pPr>
      <w:bookmarkStart w:id="46" w:name="_Toc98580411"/>
      <w:r>
        <w:rPr>
          <w:rFonts w:hint="eastAsia" w:ascii="宋体" w:hAnsi="宋体" w:eastAsia="宋体" w:cs="宋体"/>
          <w:sz w:val="24"/>
          <w:szCs w:val="24"/>
          <w:highlight w:val="none"/>
        </w:rPr>
        <w:t>E开标及评标</w:t>
      </w:r>
      <w:bookmarkEnd w:id="46"/>
    </w:p>
    <w:p w14:paraId="393412F6">
      <w:pPr>
        <w:pStyle w:val="4"/>
        <w:spacing w:before="0" w:after="0" w:line="288" w:lineRule="auto"/>
        <w:rPr>
          <w:rFonts w:ascii="宋体" w:hAnsi="宋体" w:cs="宋体"/>
          <w:sz w:val="24"/>
          <w:szCs w:val="24"/>
          <w:highlight w:val="none"/>
        </w:rPr>
      </w:pPr>
      <w:bookmarkStart w:id="47" w:name="_Toc98580412"/>
      <w:r>
        <w:rPr>
          <w:rFonts w:hint="eastAsia" w:ascii="宋体" w:hAnsi="宋体" w:cs="宋体"/>
          <w:sz w:val="24"/>
          <w:szCs w:val="24"/>
          <w:highlight w:val="none"/>
        </w:rPr>
        <w:t>19.开标</w:t>
      </w:r>
      <w:bookmarkEnd w:id="47"/>
    </w:p>
    <w:p w14:paraId="39626051">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19.1 采购代理机构按招标文件规定的时间、地点主持公开开标。开标仪式由采购代理机构主持，采购人代表及有关工作人员参加。</w:t>
      </w:r>
    </w:p>
    <w:p w14:paraId="034B01A1">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19.2 </w:t>
      </w:r>
      <w:r>
        <w:rPr>
          <w:rFonts w:hint="eastAsia" w:asciiTheme="minorEastAsia" w:hAnsiTheme="minorEastAsia" w:eastAsiaTheme="minorEastAsia" w:cstheme="minorEastAsia"/>
          <w:sz w:val="24"/>
          <w:szCs w:val="24"/>
          <w:lang w:val="en-US" w:eastAsia="zh-CN"/>
        </w:rPr>
        <w:t>采用全流程电子化交易的项目，投标人应通过政采云平台参加开标。</w:t>
      </w:r>
    </w:p>
    <w:p w14:paraId="78604205">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lang w:val="en-US" w:eastAsia="zh-CN"/>
        </w:rPr>
        <w:t xml:space="preserve">3开标过程应当由采购人或者采购代理机构负责记录，由参加开标的各投标人代表和相关工作人员签字确认。 </w:t>
      </w:r>
    </w:p>
    <w:p w14:paraId="7F1C0ED2">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lang w:val="en-US" w:eastAsia="zh-CN"/>
        </w:rPr>
        <w:t xml:space="preserve">4投标人代表对开标过程和开标记录有疑义，以及认为采购人、采购代理机构相关工作人员有需要回避的情形的，应当场提出询问或者回避申请。采购人、采购代理机构对投标人代表提出的询问或者回避申请应当及时处理。 </w:t>
      </w:r>
    </w:p>
    <w:p w14:paraId="0FACF83A">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lang w:val="en-US" w:eastAsia="zh-CN"/>
        </w:rPr>
        <w:t xml:space="preserve">5投标人未参加开标的，视同认可开标结果。 </w:t>
      </w:r>
    </w:p>
    <w:p w14:paraId="1416C355">
      <w:pPr>
        <w:keepNext w:val="0"/>
        <w:keepLines w:val="0"/>
        <w:pageBreakBefore w:val="0"/>
        <w:widowControl/>
        <w:kinsoku/>
        <w:wordWrap/>
        <w:overflowPunct/>
        <w:topLinePunct w:val="0"/>
        <w:autoSpaceDE/>
        <w:autoSpaceDN/>
        <w:bidi w:val="0"/>
        <w:adjustRightInd/>
        <w:snapToGrid/>
        <w:spacing w:line="288" w:lineRule="auto"/>
        <w:ind w:left="0" w:firstLine="480" w:firstLineChars="200"/>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19.</w:t>
      </w:r>
      <w:r>
        <w:rPr>
          <w:rFonts w:hint="eastAsia" w:asciiTheme="minorEastAsia" w:hAnsiTheme="minorEastAsia" w:eastAsiaTheme="minorEastAsia" w:cstheme="minorEastAsia"/>
          <w:sz w:val="24"/>
          <w:szCs w:val="24"/>
          <w:lang w:val="en-US" w:eastAsia="zh-CN"/>
        </w:rPr>
        <w:t>6采用全流程电子化交易的项目，开标流程以政采云平台流程为准</w:t>
      </w:r>
      <w:r>
        <w:rPr>
          <w:rFonts w:hint="eastAsia" w:ascii="宋体" w:hAnsi="宋体" w:cs="宋体"/>
          <w:sz w:val="24"/>
          <w:szCs w:val="24"/>
          <w:highlight w:val="none"/>
        </w:rPr>
        <w:t>。</w:t>
      </w:r>
    </w:p>
    <w:p w14:paraId="50C25130">
      <w:pPr>
        <w:pStyle w:val="4"/>
        <w:spacing w:before="0" w:after="0" w:line="288" w:lineRule="auto"/>
        <w:rPr>
          <w:rFonts w:ascii="宋体" w:hAnsi="宋体" w:cs="宋体"/>
          <w:sz w:val="24"/>
          <w:szCs w:val="24"/>
          <w:highlight w:val="none"/>
        </w:rPr>
      </w:pPr>
      <w:bookmarkStart w:id="48" w:name="_Toc98580413"/>
      <w:r>
        <w:rPr>
          <w:rFonts w:hint="eastAsia" w:ascii="宋体" w:hAnsi="宋体" w:cs="宋体"/>
          <w:sz w:val="24"/>
          <w:szCs w:val="24"/>
          <w:highlight w:val="none"/>
        </w:rPr>
        <w:t>20.对投标文件的初审</w:t>
      </w:r>
      <w:bookmarkEnd w:id="48"/>
    </w:p>
    <w:p w14:paraId="2A124D73">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20.1 采购人根据招标项目特点组建评标委员会，由采购人代表和技术经济及其他有关方面的专家组成。 </w:t>
      </w:r>
    </w:p>
    <w:p w14:paraId="3912DFC2">
      <w:pPr>
        <w:spacing w:line="288" w:lineRule="auto"/>
        <w:ind w:firstLine="480" w:firstLineChars="200"/>
        <w:rPr>
          <w:rFonts w:ascii="宋体" w:hAnsi="宋体" w:cs="宋体"/>
          <w:sz w:val="24"/>
          <w:szCs w:val="24"/>
          <w:lang w:val="zh-CN"/>
        </w:rPr>
      </w:pPr>
      <w:r>
        <w:rPr>
          <w:rFonts w:hint="eastAsia" w:ascii="宋体" w:hAnsi="宋体" w:cs="宋体"/>
          <w:sz w:val="24"/>
          <w:szCs w:val="24"/>
          <w:lang w:val="zh-CN"/>
        </w:rPr>
        <w:t>采购人或者采购代理机构将审查每个投标人提交的资格审查文件是否齐全完整，是否合法有效，是否有重大偏离和保留，是否符合招标文件要求。资格审查不符合招标文件要求的投标文件将被拒绝。</w:t>
      </w:r>
    </w:p>
    <w:p w14:paraId="29AEEA8F">
      <w:pPr>
        <w:spacing w:line="288" w:lineRule="auto"/>
        <w:ind w:firstLine="480" w:firstLineChars="200"/>
        <w:rPr>
          <w:rFonts w:ascii="宋体" w:hAnsi="宋体" w:cs="宋体"/>
          <w:sz w:val="24"/>
          <w:szCs w:val="24"/>
          <w:lang w:val="zh-CN"/>
        </w:rPr>
      </w:pPr>
      <w:r>
        <w:rPr>
          <w:rFonts w:hint="eastAsia" w:ascii="宋体" w:hAnsi="宋体" w:cs="宋体"/>
          <w:sz w:val="24"/>
          <w:szCs w:val="24"/>
          <w:lang w:val="zh-CN"/>
        </w:rPr>
        <w:t>对于资格审查合格的投标人，评标委员会将审查其投标文件商务和技术部分是否对招标文件规定的事项、格式、条款和技术规格等要求都做出了实质性响应。实质性响应的投标是指与招标文件规定的事项、条款、条件和技术规格相符，没有重大偏离和保留。没有实质性响应招标文件要求的投标将被拒绝。</w:t>
      </w:r>
    </w:p>
    <w:p w14:paraId="207539D2">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 初审中，对价格的计算错误按下述原则修正：</w:t>
      </w:r>
    </w:p>
    <w:p w14:paraId="0B81FF62">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 如果单价乘数量不等于总价，应以单价为准修正总价。</w:t>
      </w:r>
    </w:p>
    <w:p w14:paraId="6D4565C7">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 如果以文字表示的数据与数字表示的有差别，应以文字为准修正数字。</w:t>
      </w:r>
    </w:p>
    <w:p w14:paraId="4CE69F9D">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(3) </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不同意以上修正，则其投标将被拒绝。</w:t>
      </w:r>
    </w:p>
    <w:p w14:paraId="0892E7A5">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20.3 与招标文件有重大偏离的投标文件将被视为具有非实质响应性的投标文件而被拒绝。</w:t>
      </w:r>
    </w:p>
    <w:p w14:paraId="59057FE1">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重大偏离系指投标项目的服务范围、质量、数量及</w:t>
      </w:r>
      <w:r>
        <w:rPr>
          <w:rFonts w:hint="eastAsia" w:asciiTheme="minorEastAsia" w:hAnsiTheme="minorEastAsia" w:eastAsiaTheme="minorEastAsia" w:cstheme="minorEastAsia"/>
          <w:sz w:val="24"/>
          <w:szCs w:val="24"/>
          <w:lang w:eastAsia="zh-CN"/>
        </w:rPr>
        <w:t>服务</w:t>
      </w:r>
      <w:r>
        <w:rPr>
          <w:rFonts w:hint="eastAsia" w:asciiTheme="minorEastAsia" w:hAnsiTheme="minorEastAsia" w:eastAsiaTheme="minorEastAsia" w:cstheme="minorEastAsia"/>
          <w:sz w:val="24"/>
          <w:szCs w:val="24"/>
        </w:rPr>
        <w:t>期明显不能满足招标文件的要求，或限制了采购人的权力和</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的义务的规定，而纠正这些偏离将影响到其它提交实质性响应投标的</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的公平竞争地位。这些偏离不允许在开标后修正。但采购代理机构将允许修改投标中不构成重大偏离的、微小的、非正规的、不一致或不规则的地方。评委会对投标文件的判定，只依据投标内容本身，不依据开标后的任何外来证明。</w:t>
      </w:r>
    </w:p>
    <w:p w14:paraId="3994D910">
      <w:pPr>
        <w:spacing w:line="288" w:lineRule="auto"/>
        <w:ind w:firstLine="480" w:firstLineChars="20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sz w:val="24"/>
          <w:szCs w:val="24"/>
        </w:rPr>
        <w:t>20.4 投标有下列情况之一者，</w:t>
      </w:r>
      <w:r>
        <w:rPr>
          <w:rFonts w:hint="eastAsia" w:asciiTheme="minorEastAsia" w:hAnsiTheme="minorEastAsia" w:eastAsiaTheme="minorEastAsia" w:cstheme="minorEastAsia"/>
          <w:b/>
          <w:sz w:val="24"/>
          <w:szCs w:val="24"/>
        </w:rPr>
        <w:t>将被视为非实质性响应的投标而被拒绝：</w:t>
      </w:r>
    </w:p>
    <w:p w14:paraId="722AC1E6">
      <w:pPr>
        <w:numPr>
          <w:ilvl w:val="0"/>
          <w:numId w:val="0"/>
        </w:numPr>
        <w:tabs>
          <w:tab w:val="left" w:pos="686"/>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（1）</w:t>
      </w:r>
      <w:r>
        <w:rPr>
          <w:rFonts w:hint="eastAsia" w:asciiTheme="minorEastAsia" w:hAnsiTheme="minorEastAsia" w:eastAsiaTheme="minorEastAsia" w:cstheme="minorEastAsia"/>
          <w:sz w:val="24"/>
          <w:szCs w:val="24"/>
        </w:rPr>
        <w:t>资格条件及证明文件不符合招标文件要求的；</w:t>
      </w:r>
    </w:p>
    <w:p w14:paraId="1BA2C86A">
      <w:pPr>
        <w:numPr>
          <w:ilvl w:val="0"/>
          <w:numId w:val="0"/>
        </w:numPr>
        <w:tabs>
          <w:tab w:val="left" w:pos="686"/>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（2）</w:t>
      </w:r>
      <w:r>
        <w:rPr>
          <w:rFonts w:hint="eastAsia" w:asciiTheme="minorEastAsia" w:hAnsiTheme="minorEastAsia" w:eastAsiaTheme="minorEastAsia" w:cstheme="minorEastAsia"/>
          <w:sz w:val="24"/>
          <w:szCs w:val="24"/>
        </w:rPr>
        <w:t>投标文件无公章或无法定代表人签字，或签字人无法定代表人有效授权书的，或未按要求签字、盖公章的；</w:t>
      </w:r>
    </w:p>
    <w:p w14:paraId="6D3DC521">
      <w:pPr>
        <w:numPr>
          <w:ilvl w:val="0"/>
          <w:numId w:val="0"/>
        </w:numPr>
        <w:tabs>
          <w:tab w:val="left" w:pos="700"/>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（3）</w:t>
      </w:r>
      <w:r>
        <w:rPr>
          <w:rFonts w:hint="eastAsia" w:asciiTheme="minorEastAsia" w:hAnsiTheme="minorEastAsia" w:eastAsiaTheme="minorEastAsia" w:cstheme="minorEastAsia"/>
          <w:sz w:val="24"/>
          <w:szCs w:val="24"/>
        </w:rPr>
        <w:t>不能满足投标有效期的；</w:t>
      </w:r>
    </w:p>
    <w:p w14:paraId="6EDED06F">
      <w:pPr>
        <w:numPr>
          <w:ilvl w:val="0"/>
          <w:numId w:val="0"/>
        </w:numPr>
        <w:tabs>
          <w:tab w:val="left" w:pos="700"/>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（4）</w:t>
      </w:r>
      <w:r>
        <w:rPr>
          <w:rFonts w:hint="eastAsia" w:asciiTheme="minorEastAsia" w:hAnsiTheme="minorEastAsia" w:eastAsiaTheme="minorEastAsia" w:cstheme="minorEastAsia"/>
          <w:sz w:val="24"/>
          <w:szCs w:val="24"/>
        </w:rPr>
        <w:t>投标明显不符合技术规格、技术标准的要求；</w:t>
      </w:r>
    </w:p>
    <w:p w14:paraId="4489B286">
      <w:pPr>
        <w:numPr>
          <w:ilvl w:val="0"/>
          <w:numId w:val="0"/>
        </w:numPr>
        <w:tabs>
          <w:tab w:val="left" w:pos="714"/>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（5）</w:t>
      </w:r>
      <w:r>
        <w:rPr>
          <w:rFonts w:hint="eastAsia" w:asciiTheme="minorEastAsia" w:hAnsiTheme="minorEastAsia" w:eastAsiaTheme="minorEastAsia" w:cstheme="minorEastAsia"/>
          <w:sz w:val="24"/>
          <w:szCs w:val="24"/>
        </w:rPr>
        <w:t>投标文件附有买方不能接受的条件；</w:t>
      </w:r>
    </w:p>
    <w:p w14:paraId="32191763">
      <w:pPr>
        <w:numPr>
          <w:ilvl w:val="0"/>
          <w:numId w:val="0"/>
        </w:numPr>
        <w:tabs>
          <w:tab w:val="left" w:pos="714"/>
        </w:tabs>
        <w:spacing w:line="288" w:lineRule="auto"/>
        <w:ind w:left="0" w:leftChars="0"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bidi="ar-SA"/>
        </w:rPr>
        <w:t>（6）</w:t>
      </w:r>
      <w:r>
        <w:rPr>
          <w:rFonts w:hint="eastAsia" w:asciiTheme="minorEastAsia" w:hAnsiTheme="minorEastAsia" w:eastAsiaTheme="minorEastAsia" w:cstheme="minorEastAsia"/>
          <w:sz w:val="24"/>
          <w:szCs w:val="24"/>
        </w:rPr>
        <w:t>投标报价超过</w:t>
      </w:r>
      <w:r>
        <w:rPr>
          <w:rFonts w:hint="eastAsia" w:asciiTheme="minorEastAsia" w:hAnsiTheme="minorEastAsia" w:eastAsiaTheme="minorEastAsia" w:cstheme="minorEastAsia"/>
          <w:bCs/>
          <w:sz w:val="24"/>
          <w:szCs w:val="24"/>
          <w:lang w:val="zh-CN"/>
        </w:rPr>
        <w:t>预算金额和最高限价</w:t>
      </w:r>
      <w:r>
        <w:rPr>
          <w:rFonts w:hint="eastAsia" w:asciiTheme="minorEastAsia" w:hAnsiTheme="minorEastAsia" w:eastAsiaTheme="minorEastAsia" w:cstheme="minorEastAsia"/>
          <w:sz w:val="24"/>
          <w:szCs w:val="24"/>
        </w:rPr>
        <w:t>的；</w:t>
      </w:r>
    </w:p>
    <w:p w14:paraId="1B7DB1B6">
      <w:pPr>
        <w:keepNext w:val="0"/>
        <w:keepLines w:val="0"/>
        <w:pageBreakBefore w:val="0"/>
        <w:widowControl/>
        <w:numPr>
          <w:ilvl w:val="0"/>
          <w:numId w:val="0"/>
        </w:numPr>
        <w:tabs>
          <w:tab w:val="left" w:pos="714"/>
        </w:tabs>
        <w:kinsoku/>
        <w:wordWrap/>
        <w:overflowPunct/>
        <w:topLinePunct w:val="0"/>
        <w:autoSpaceDE/>
        <w:autoSpaceDN/>
        <w:bidi w:val="0"/>
        <w:adjustRightInd/>
        <w:snapToGrid/>
        <w:spacing w:line="288" w:lineRule="auto"/>
        <w:ind w:left="0" w:leftChars="0" w:firstLine="480" w:firstLineChars="200"/>
        <w:textAlignment w:val="auto"/>
        <w:rPr>
          <w:rFonts w:ascii="宋体" w:hAnsi="宋体" w:cs="宋体"/>
          <w:sz w:val="24"/>
          <w:szCs w:val="24"/>
          <w:highlight w:val="none"/>
        </w:rPr>
      </w:pPr>
      <w:r>
        <w:rPr>
          <w:rFonts w:hint="eastAsia" w:ascii="宋体" w:hAnsi="宋体" w:eastAsia="宋体" w:cs="宋体"/>
          <w:sz w:val="24"/>
          <w:szCs w:val="24"/>
          <w:lang w:val="en-US" w:eastAsia="zh-CN" w:bidi="ar-SA"/>
        </w:rPr>
        <w:t>（7）</w:t>
      </w:r>
      <w:r>
        <w:rPr>
          <w:rFonts w:hint="eastAsia" w:asciiTheme="minorEastAsia" w:hAnsiTheme="minorEastAsia" w:eastAsiaTheme="minorEastAsia" w:cstheme="minorEastAsia"/>
          <w:sz w:val="24"/>
          <w:szCs w:val="24"/>
        </w:rPr>
        <w:t>未响应招标文件规定的其它实质性条款</w:t>
      </w:r>
      <w:r>
        <w:rPr>
          <w:rFonts w:hint="eastAsia" w:ascii="宋体" w:hAnsi="宋体" w:cs="宋体"/>
          <w:sz w:val="24"/>
          <w:szCs w:val="24"/>
          <w:highlight w:val="none"/>
        </w:rPr>
        <w:t>。</w:t>
      </w:r>
    </w:p>
    <w:p w14:paraId="55A287A0">
      <w:pPr>
        <w:pStyle w:val="4"/>
        <w:spacing w:before="0" w:after="0" w:line="288" w:lineRule="auto"/>
        <w:rPr>
          <w:rFonts w:ascii="宋体" w:hAnsi="宋体" w:cs="宋体"/>
          <w:sz w:val="24"/>
          <w:szCs w:val="24"/>
          <w:highlight w:val="none"/>
        </w:rPr>
      </w:pPr>
      <w:bookmarkStart w:id="49" w:name="_Toc98580414"/>
      <w:r>
        <w:rPr>
          <w:rFonts w:hint="eastAsia" w:ascii="宋体" w:hAnsi="宋体" w:cs="宋体"/>
          <w:sz w:val="24"/>
          <w:szCs w:val="24"/>
          <w:highlight w:val="none"/>
        </w:rPr>
        <w:t>21.投标的澄清</w:t>
      </w:r>
      <w:bookmarkEnd w:id="49"/>
    </w:p>
    <w:p w14:paraId="128852BA">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21.1 采购代理机构有权就投标文件中含混之处向</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提出询问或澄清要求，或要求其补充某些材料。</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必须按照采购代理机构通知的时间、地点派技术和商务人员进行答疑和澄清。</w:t>
      </w:r>
    </w:p>
    <w:p w14:paraId="1CE784E3">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21.2 必要时采购代理机构可要求</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就澄清的问题作书面回答，该书面回答应有投标全权代表的签章，并将作为投标内容的一部分。</w:t>
      </w:r>
    </w:p>
    <w:p w14:paraId="2982360A">
      <w:pPr>
        <w:keepNext w:val="0"/>
        <w:keepLines w:val="0"/>
        <w:pageBreakBefore w:val="0"/>
        <w:widowControl/>
        <w:kinsoku/>
        <w:wordWrap/>
        <w:overflowPunct/>
        <w:topLinePunct w:val="0"/>
        <w:autoSpaceDE/>
        <w:autoSpaceDN/>
        <w:bidi w:val="0"/>
        <w:adjustRightInd/>
        <w:snapToGrid/>
        <w:spacing w:line="288" w:lineRule="auto"/>
        <w:ind w:firstLine="480" w:firstLineChars="200"/>
        <w:textAlignment w:val="auto"/>
        <w:rPr>
          <w:rFonts w:ascii="宋体" w:hAnsi="宋体" w:cs="宋体"/>
          <w:sz w:val="24"/>
          <w:szCs w:val="24"/>
          <w:highlight w:val="none"/>
        </w:rPr>
      </w:pPr>
      <w:r>
        <w:rPr>
          <w:rFonts w:hint="eastAsia" w:asciiTheme="minorEastAsia" w:hAnsiTheme="minorEastAsia" w:eastAsiaTheme="minorEastAsia" w:cstheme="minorEastAsia"/>
          <w:sz w:val="24"/>
          <w:szCs w:val="24"/>
        </w:rPr>
        <w:t xml:space="preserve">21.3 </w:t>
      </w:r>
      <w:r>
        <w:rPr>
          <w:rFonts w:hint="eastAsia" w:asciiTheme="minorEastAsia" w:hAnsiTheme="minorEastAsia" w:eastAsiaTheme="minorEastAsia" w:cstheme="minorEastAsia"/>
          <w:sz w:val="24"/>
          <w:szCs w:val="24"/>
          <w:lang w:eastAsia="zh-CN"/>
        </w:rPr>
        <w:t>投标人</w:t>
      </w:r>
      <w:r>
        <w:rPr>
          <w:rFonts w:hint="eastAsia" w:asciiTheme="minorEastAsia" w:hAnsiTheme="minorEastAsia" w:eastAsiaTheme="minorEastAsia" w:cstheme="minorEastAsia"/>
          <w:sz w:val="24"/>
          <w:szCs w:val="24"/>
        </w:rPr>
        <w:t>对投标文件的澄清不得改变投标价格及实质内容</w:t>
      </w:r>
      <w:r>
        <w:rPr>
          <w:rFonts w:hint="eastAsia" w:ascii="宋体" w:hAnsi="宋体" w:cs="宋体"/>
          <w:sz w:val="24"/>
          <w:szCs w:val="24"/>
          <w:highlight w:val="none"/>
        </w:rPr>
        <w:t>。</w:t>
      </w:r>
    </w:p>
    <w:p w14:paraId="71EB8B58">
      <w:pPr>
        <w:pStyle w:val="4"/>
        <w:spacing w:before="0" w:after="0" w:line="288" w:lineRule="auto"/>
        <w:rPr>
          <w:rFonts w:ascii="宋体" w:hAnsi="宋体" w:cs="宋体"/>
          <w:sz w:val="24"/>
          <w:szCs w:val="24"/>
          <w:highlight w:val="none"/>
        </w:rPr>
      </w:pPr>
      <w:bookmarkStart w:id="50" w:name="_Toc98580415"/>
      <w:bookmarkStart w:id="51" w:name="_Toc98580416"/>
      <w:r>
        <w:rPr>
          <w:rFonts w:hint="eastAsia" w:ascii="宋体" w:hAnsi="宋体" w:cs="宋体"/>
          <w:sz w:val="24"/>
          <w:szCs w:val="24"/>
          <w:highlight w:val="none"/>
        </w:rPr>
        <w:t>22.评标</w:t>
      </w:r>
      <w:bookmarkEnd w:id="50"/>
    </w:p>
    <w:p w14:paraId="3DD9CA00">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textAlignment w:val="bottom"/>
        <w:rPr>
          <w:rFonts w:ascii="宋体" w:hAnsi="宋体" w:cs="宋体"/>
          <w:bCs/>
          <w:sz w:val="24"/>
          <w:szCs w:val="24"/>
          <w:highlight w:val="none"/>
        </w:rPr>
      </w:pPr>
      <w:r>
        <w:rPr>
          <w:rFonts w:hint="eastAsia" w:ascii="宋体" w:hAnsi="宋体" w:cs="宋体"/>
          <w:bCs/>
          <w:sz w:val="24"/>
          <w:szCs w:val="24"/>
          <w:highlight w:val="none"/>
        </w:rPr>
        <w:t>22.1 原则：对所有</w:t>
      </w:r>
      <w:r>
        <w:rPr>
          <w:rFonts w:hint="eastAsia" w:ascii="宋体" w:hAnsi="宋体" w:cs="宋体"/>
          <w:bCs/>
          <w:sz w:val="24"/>
          <w:szCs w:val="24"/>
          <w:highlight w:val="none"/>
          <w:lang w:eastAsia="zh-CN"/>
        </w:rPr>
        <w:t>投标人</w:t>
      </w:r>
      <w:r>
        <w:rPr>
          <w:rFonts w:hint="eastAsia" w:ascii="宋体" w:hAnsi="宋体" w:cs="宋体"/>
          <w:bCs/>
          <w:sz w:val="24"/>
          <w:szCs w:val="24"/>
          <w:highlight w:val="none"/>
        </w:rPr>
        <w:t>的投标评估，都采用相同的程序和标准。</w:t>
      </w:r>
    </w:p>
    <w:p w14:paraId="5F845EDF">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textAlignment w:val="bottom"/>
        <w:rPr>
          <w:rFonts w:ascii="宋体" w:hAnsi="宋体" w:cs="宋体"/>
          <w:bCs/>
          <w:sz w:val="24"/>
          <w:szCs w:val="24"/>
          <w:highlight w:val="none"/>
        </w:rPr>
      </w:pPr>
      <w:r>
        <w:rPr>
          <w:rFonts w:hint="eastAsia" w:ascii="宋体" w:hAnsi="宋体" w:cs="宋体"/>
          <w:sz w:val="24"/>
          <w:szCs w:val="24"/>
          <w:highlight w:val="none"/>
        </w:rPr>
        <w:t>22.2 标准：评标严格按照招标文件的要求和条件进行。</w:t>
      </w:r>
    </w:p>
    <w:p w14:paraId="220AAC8A">
      <w:pPr>
        <w:pStyle w:val="4"/>
        <w:spacing w:before="0" w:after="0" w:line="288" w:lineRule="auto"/>
        <w:rPr>
          <w:rFonts w:ascii="宋体" w:hAnsi="宋体" w:cs="宋体"/>
          <w:sz w:val="24"/>
          <w:szCs w:val="24"/>
          <w:highlight w:val="none"/>
        </w:rPr>
      </w:pPr>
      <w:r>
        <w:rPr>
          <w:rFonts w:hint="eastAsia" w:ascii="宋体" w:hAnsi="宋体" w:cs="宋体"/>
          <w:sz w:val="24"/>
          <w:szCs w:val="24"/>
          <w:highlight w:val="none"/>
        </w:rPr>
        <w:t>23.评标过程保密</w:t>
      </w:r>
      <w:bookmarkEnd w:id="51"/>
    </w:p>
    <w:p w14:paraId="193A346D">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jc w:val="both"/>
        <w:rPr>
          <w:rFonts w:ascii="宋体" w:hAnsi="宋体" w:cs="宋体"/>
          <w:sz w:val="24"/>
          <w:szCs w:val="24"/>
          <w:highlight w:val="none"/>
        </w:rPr>
      </w:pPr>
      <w:r>
        <w:rPr>
          <w:rFonts w:hint="eastAsia" w:ascii="宋体" w:hAnsi="宋体" w:cs="宋体"/>
          <w:sz w:val="24"/>
          <w:szCs w:val="24"/>
          <w:highlight w:val="none"/>
        </w:rPr>
        <w:t>23.1有关投标文件的审查、澄清、评估和比较以及有关授予合同意向的一切情况均不得透露给任一</w:t>
      </w:r>
      <w:r>
        <w:rPr>
          <w:rFonts w:hint="eastAsia" w:ascii="宋体" w:hAnsi="宋体" w:cs="宋体"/>
          <w:sz w:val="24"/>
          <w:szCs w:val="24"/>
          <w:highlight w:val="none"/>
          <w:lang w:eastAsia="zh-CN"/>
        </w:rPr>
        <w:t>投标人</w:t>
      </w:r>
      <w:r>
        <w:rPr>
          <w:rFonts w:hint="eastAsia" w:ascii="宋体" w:hAnsi="宋体" w:cs="宋体"/>
          <w:sz w:val="24"/>
          <w:szCs w:val="24"/>
          <w:highlight w:val="none"/>
        </w:rPr>
        <w:t>或与上述评标工作无关的人员；</w:t>
      </w:r>
    </w:p>
    <w:p w14:paraId="09289DE7">
      <w:pPr>
        <w:keepNext w:val="0"/>
        <w:keepLines w:val="0"/>
        <w:pageBreakBefore w:val="0"/>
        <w:widowControl w:val="0"/>
        <w:kinsoku/>
        <w:wordWrap/>
        <w:overflowPunct/>
        <w:topLinePunct w:val="0"/>
        <w:autoSpaceDE w:val="0"/>
        <w:autoSpaceDN w:val="0"/>
        <w:bidi w:val="0"/>
        <w:adjustRightInd/>
        <w:snapToGrid/>
        <w:spacing w:line="288" w:lineRule="auto"/>
        <w:ind w:left="0" w:firstLine="480" w:firstLineChars="200"/>
        <w:textAlignment w:val="auto"/>
        <w:rPr>
          <w:rFonts w:ascii="宋体" w:hAnsi="宋体" w:cs="宋体"/>
          <w:b/>
          <w:sz w:val="24"/>
          <w:szCs w:val="24"/>
          <w:highlight w:val="none"/>
        </w:rPr>
      </w:pPr>
      <w:r>
        <w:rPr>
          <w:rFonts w:hint="eastAsia" w:ascii="宋体" w:hAnsi="宋体" w:cs="宋体"/>
          <w:sz w:val="24"/>
          <w:szCs w:val="24"/>
          <w:highlight w:val="none"/>
        </w:rPr>
        <w:t>23.2在评标期间，</w:t>
      </w:r>
      <w:r>
        <w:rPr>
          <w:rFonts w:hint="eastAsia" w:ascii="宋体" w:hAnsi="宋体" w:cs="宋体"/>
          <w:sz w:val="24"/>
          <w:szCs w:val="24"/>
          <w:highlight w:val="none"/>
          <w:lang w:eastAsia="zh-CN"/>
        </w:rPr>
        <w:t>投标人</w:t>
      </w:r>
      <w:r>
        <w:rPr>
          <w:rFonts w:hint="eastAsia" w:ascii="宋体" w:hAnsi="宋体" w:cs="宋体"/>
          <w:sz w:val="24"/>
          <w:szCs w:val="24"/>
          <w:highlight w:val="none"/>
        </w:rPr>
        <w:t>企图影响招标方的任何活动，将导致投标被拒绝，并承担相应的法律责任。</w:t>
      </w:r>
    </w:p>
    <w:p w14:paraId="22243C0E">
      <w:pPr>
        <w:spacing w:line="288" w:lineRule="auto"/>
        <w:jc w:val="center"/>
        <w:rPr>
          <w:rFonts w:ascii="宋体" w:hAnsi="宋体" w:cs="宋体"/>
          <w:b/>
          <w:sz w:val="24"/>
          <w:szCs w:val="24"/>
          <w:highlight w:val="none"/>
        </w:rPr>
      </w:pPr>
      <w:r>
        <w:rPr>
          <w:rFonts w:hint="eastAsia" w:ascii="宋体" w:hAnsi="宋体" w:cs="宋体"/>
          <w:b/>
          <w:sz w:val="24"/>
          <w:szCs w:val="24"/>
          <w:highlight w:val="none"/>
        </w:rPr>
        <w:t>F  确定中标</w:t>
      </w:r>
    </w:p>
    <w:p w14:paraId="29AAB0A8">
      <w:pPr>
        <w:pStyle w:val="4"/>
        <w:spacing w:before="0" w:after="0" w:line="288" w:lineRule="auto"/>
        <w:rPr>
          <w:rFonts w:ascii="宋体" w:hAnsi="宋体" w:cs="宋体"/>
          <w:sz w:val="24"/>
          <w:szCs w:val="24"/>
          <w:highlight w:val="none"/>
        </w:rPr>
      </w:pPr>
      <w:bookmarkStart w:id="52" w:name="_Toc98580417"/>
      <w:r>
        <w:rPr>
          <w:rFonts w:hint="eastAsia" w:ascii="宋体" w:hAnsi="宋体" w:cs="宋体"/>
          <w:sz w:val="24"/>
          <w:szCs w:val="24"/>
          <w:highlight w:val="none"/>
        </w:rPr>
        <w:t>24.最终审查</w:t>
      </w:r>
      <w:bookmarkEnd w:id="52"/>
    </w:p>
    <w:p w14:paraId="2D0126A6">
      <w:pPr>
        <w:keepNext w:val="0"/>
        <w:keepLines w:val="0"/>
        <w:pageBreakBefore w:val="0"/>
        <w:widowControl/>
        <w:kinsoku/>
        <w:wordWrap/>
        <w:overflowPunct/>
        <w:topLinePunct w:val="0"/>
        <w:autoSpaceDE w:val="0"/>
        <w:autoSpaceDN w:val="0"/>
        <w:bidi w:val="0"/>
        <w:adjustRightInd/>
        <w:snapToGrid/>
        <w:spacing w:line="288" w:lineRule="auto"/>
        <w:ind w:left="28" w:leftChars="14" w:firstLine="480" w:firstLineChars="200"/>
        <w:jc w:val="both"/>
        <w:rPr>
          <w:rFonts w:ascii="宋体" w:hAnsi="宋体" w:cs="宋体"/>
          <w:sz w:val="24"/>
          <w:szCs w:val="24"/>
          <w:highlight w:val="none"/>
        </w:rPr>
      </w:pPr>
      <w:r>
        <w:rPr>
          <w:rFonts w:hint="eastAsia" w:ascii="宋体" w:hAnsi="宋体" w:cs="宋体"/>
          <w:sz w:val="24"/>
          <w:szCs w:val="24"/>
          <w:highlight w:val="none"/>
        </w:rPr>
        <w:t>24.1评标委员会按照招标文件确定的评标标准和方法，对投标文件进行评审，并提出书面评标报告，确定</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。最终审查的对象是招标项目的合格的</w:t>
      </w:r>
      <w:r>
        <w:rPr>
          <w:rFonts w:hint="eastAsia" w:ascii="宋体" w:hAnsi="宋体" w:cs="宋体"/>
          <w:sz w:val="24"/>
          <w:szCs w:val="24"/>
          <w:highlight w:val="none"/>
          <w:lang w:eastAsia="zh-CN"/>
        </w:rPr>
        <w:t>投标人</w:t>
      </w:r>
      <w:r>
        <w:rPr>
          <w:rFonts w:hint="eastAsia" w:ascii="宋体" w:hAnsi="宋体" w:cs="宋体"/>
          <w:sz w:val="24"/>
          <w:szCs w:val="24"/>
          <w:highlight w:val="none"/>
        </w:rPr>
        <w:t xml:space="preserve">。 </w:t>
      </w:r>
    </w:p>
    <w:p w14:paraId="32B8F2FA">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24.2 最终审查的内容是对合格的</w:t>
      </w:r>
      <w:r>
        <w:rPr>
          <w:rFonts w:hint="eastAsia" w:ascii="宋体" w:hAnsi="宋体" w:cs="宋体"/>
          <w:sz w:val="24"/>
          <w:szCs w:val="24"/>
          <w:highlight w:val="none"/>
          <w:lang w:eastAsia="zh-CN"/>
        </w:rPr>
        <w:t>投标人</w:t>
      </w:r>
      <w:r>
        <w:rPr>
          <w:rFonts w:hint="eastAsia" w:ascii="宋体" w:hAnsi="宋体" w:cs="宋体"/>
          <w:sz w:val="24"/>
          <w:szCs w:val="24"/>
          <w:highlight w:val="none"/>
        </w:rPr>
        <w:t>的产品进行产品性能、技术状况、生产条件、产品质量、财务状况、资格、信誉以及采购人认为有必要了解的其他问题</w:t>
      </w:r>
      <w:r>
        <w:rPr>
          <w:rFonts w:hint="eastAsia" w:ascii="宋体" w:hAnsi="宋体" w:cs="宋体"/>
          <w:sz w:val="24"/>
          <w:szCs w:val="24"/>
          <w:highlight w:val="none"/>
          <w:lang w:eastAsia="zh-CN"/>
        </w:rPr>
        <w:t>做</w:t>
      </w:r>
      <w:r>
        <w:rPr>
          <w:rFonts w:hint="eastAsia" w:ascii="宋体" w:hAnsi="宋体" w:cs="宋体"/>
          <w:sz w:val="24"/>
          <w:szCs w:val="24"/>
          <w:highlight w:val="none"/>
        </w:rPr>
        <w:t xml:space="preserve">进一步的审查。  </w:t>
      </w:r>
    </w:p>
    <w:p w14:paraId="3B6CCEDD">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jc w:val="both"/>
        <w:rPr>
          <w:rFonts w:ascii="宋体" w:hAnsi="宋体" w:cs="宋体"/>
          <w:sz w:val="24"/>
          <w:szCs w:val="24"/>
          <w:highlight w:val="none"/>
        </w:rPr>
      </w:pPr>
      <w:r>
        <w:rPr>
          <w:rFonts w:hint="eastAsia" w:ascii="宋体" w:hAnsi="宋体" w:cs="宋体"/>
          <w:sz w:val="24"/>
          <w:szCs w:val="24"/>
          <w:highlight w:val="none"/>
        </w:rPr>
        <w:t>24.3 接受最终审查的合格的</w:t>
      </w:r>
      <w:r>
        <w:rPr>
          <w:rFonts w:hint="eastAsia" w:ascii="宋体" w:hAnsi="宋体" w:cs="宋体"/>
          <w:sz w:val="24"/>
          <w:szCs w:val="24"/>
          <w:highlight w:val="none"/>
          <w:lang w:eastAsia="zh-CN"/>
        </w:rPr>
        <w:t>投标人</w:t>
      </w:r>
      <w:r>
        <w:rPr>
          <w:rFonts w:hint="eastAsia" w:ascii="宋体" w:hAnsi="宋体" w:cs="宋体"/>
          <w:sz w:val="24"/>
          <w:szCs w:val="24"/>
          <w:highlight w:val="none"/>
        </w:rPr>
        <w:t>，必须如实回答和受理采购人的询问或</w:t>
      </w:r>
      <w:r>
        <w:rPr>
          <w:rFonts w:hint="eastAsia" w:ascii="宋体" w:hAnsi="宋体" w:cs="宋体"/>
          <w:sz w:val="24"/>
          <w:szCs w:val="24"/>
          <w:highlight w:val="none"/>
          <w:lang w:eastAsia="zh-CN"/>
        </w:rPr>
        <w:t>考察</w:t>
      </w:r>
      <w:r>
        <w:rPr>
          <w:rFonts w:hint="eastAsia" w:ascii="宋体" w:hAnsi="宋体" w:cs="宋体"/>
          <w:sz w:val="24"/>
          <w:szCs w:val="24"/>
          <w:highlight w:val="none"/>
        </w:rPr>
        <w:t>，并提供所需的有关资料。</w:t>
      </w:r>
    </w:p>
    <w:p w14:paraId="721DDAE2">
      <w:pPr>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jc w:val="both"/>
        <w:rPr>
          <w:rFonts w:ascii="宋体" w:hAnsi="宋体" w:cs="宋体"/>
          <w:sz w:val="24"/>
          <w:szCs w:val="24"/>
          <w:highlight w:val="none"/>
        </w:rPr>
      </w:pPr>
      <w:r>
        <w:rPr>
          <w:rFonts w:hint="eastAsia" w:ascii="宋体" w:hAnsi="宋体" w:cs="宋体"/>
          <w:sz w:val="24"/>
          <w:szCs w:val="24"/>
          <w:highlight w:val="none"/>
        </w:rPr>
        <w:t>24.4评标委员会从合格的</w:t>
      </w:r>
      <w:r>
        <w:rPr>
          <w:rFonts w:hint="eastAsia" w:ascii="宋体" w:hAnsi="宋体" w:cs="宋体"/>
          <w:sz w:val="24"/>
          <w:szCs w:val="24"/>
          <w:highlight w:val="none"/>
          <w:lang w:eastAsia="zh-CN"/>
        </w:rPr>
        <w:t>投标人</w:t>
      </w:r>
      <w:r>
        <w:rPr>
          <w:rFonts w:hint="eastAsia" w:ascii="宋体" w:hAnsi="宋体" w:cs="宋体"/>
          <w:sz w:val="24"/>
          <w:szCs w:val="24"/>
          <w:highlight w:val="none"/>
        </w:rPr>
        <w:t>中评出</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，并写出完整的评标报告。</w:t>
      </w:r>
    </w:p>
    <w:p w14:paraId="70495C64">
      <w:pPr>
        <w:pStyle w:val="4"/>
        <w:spacing w:before="0" w:after="0" w:line="288" w:lineRule="auto"/>
        <w:rPr>
          <w:rFonts w:ascii="宋体" w:hAnsi="宋体" w:cs="宋体"/>
          <w:sz w:val="24"/>
          <w:szCs w:val="24"/>
          <w:highlight w:val="none"/>
        </w:rPr>
      </w:pPr>
      <w:bookmarkStart w:id="53" w:name="_Toc98580418"/>
      <w:r>
        <w:rPr>
          <w:rFonts w:hint="eastAsia" w:ascii="宋体" w:hAnsi="宋体" w:cs="宋体"/>
          <w:sz w:val="24"/>
          <w:szCs w:val="24"/>
          <w:highlight w:val="none"/>
        </w:rPr>
        <w:t>25.中标通知</w:t>
      </w:r>
      <w:bookmarkEnd w:id="53"/>
    </w:p>
    <w:p w14:paraId="45C65735">
      <w:pPr>
        <w:pStyle w:val="5"/>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rPr>
          <w:rFonts w:hint="eastAsia" w:ascii="宋体" w:hAnsi="宋体" w:cs="宋体"/>
          <w:sz w:val="24"/>
          <w:szCs w:val="24"/>
          <w:highlight w:val="none"/>
        </w:rPr>
      </w:pPr>
      <w:r>
        <w:rPr>
          <w:rFonts w:hint="eastAsia" w:ascii="宋体" w:hAnsi="宋体" w:cs="宋体"/>
          <w:sz w:val="24"/>
          <w:szCs w:val="24"/>
          <w:highlight w:val="none"/>
        </w:rPr>
        <w:t>25.1在投标有效期内，</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以书面形式通知所选定的</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w:t>
      </w:r>
    </w:p>
    <w:p w14:paraId="35F5756D">
      <w:pPr>
        <w:pStyle w:val="5"/>
        <w:keepNext w:val="0"/>
        <w:keepLines w:val="0"/>
        <w:pageBreakBefore w:val="0"/>
        <w:widowControl/>
        <w:kinsoku/>
        <w:wordWrap/>
        <w:overflowPunct/>
        <w:topLinePunct w:val="0"/>
        <w:autoSpaceDE w:val="0"/>
        <w:autoSpaceDN w:val="0"/>
        <w:bidi w:val="0"/>
        <w:adjustRightInd/>
        <w:snapToGrid/>
        <w:spacing w:line="288" w:lineRule="auto"/>
        <w:ind w:left="0" w:firstLine="480" w:firstLineChars="200"/>
        <w:rPr>
          <w:rFonts w:ascii="宋体" w:hAnsi="宋体" w:cs="宋体"/>
          <w:sz w:val="24"/>
          <w:szCs w:val="24"/>
          <w:highlight w:val="none"/>
        </w:rPr>
      </w:pPr>
      <w:r>
        <w:rPr>
          <w:rFonts w:hint="eastAsia" w:ascii="宋体" w:hAnsi="宋体" w:cs="宋体"/>
          <w:sz w:val="24"/>
          <w:szCs w:val="24"/>
          <w:highlight w:val="none"/>
        </w:rPr>
        <w:t>25.2当</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按第26条规定与买方</w:t>
      </w:r>
      <w:r>
        <w:rPr>
          <w:rFonts w:hint="eastAsia" w:ascii="宋体" w:hAnsi="宋体" w:cs="宋体"/>
          <w:sz w:val="24"/>
          <w:szCs w:val="24"/>
          <w:highlight w:val="none"/>
          <w:lang w:eastAsia="zh-CN"/>
        </w:rPr>
        <w:t>签订合同</w:t>
      </w:r>
      <w:r>
        <w:rPr>
          <w:rFonts w:hint="eastAsia" w:ascii="宋体" w:hAnsi="宋体" w:cs="宋体"/>
          <w:sz w:val="24"/>
          <w:szCs w:val="24"/>
          <w:highlight w:val="none"/>
        </w:rPr>
        <w:t>后，</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将在5个工作日内退还</w:t>
      </w:r>
      <w:r>
        <w:rPr>
          <w:rFonts w:hint="eastAsia" w:ascii="宋体" w:hAnsi="宋体" w:cs="宋体"/>
          <w:sz w:val="24"/>
          <w:szCs w:val="24"/>
          <w:highlight w:val="none"/>
          <w:lang w:eastAsia="zh-CN"/>
        </w:rPr>
        <w:t>其</w:t>
      </w:r>
      <w:r>
        <w:rPr>
          <w:rFonts w:hint="eastAsia" w:ascii="宋体" w:hAnsi="宋体" w:cs="宋体"/>
          <w:sz w:val="24"/>
          <w:szCs w:val="24"/>
          <w:highlight w:val="none"/>
        </w:rPr>
        <w:t>投标保证金。采购人对未中标的</w:t>
      </w:r>
      <w:r>
        <w:rPr>
          <w:rFonts w:hint="eastAsia" w:ascii="宋体" w:hAnsi="宋体" w:cs="宋体"/>
          <w:sz w:val="24"/>
          <w:szCs w:val="24"/>
          <w:highlight w:val="none"/>
          <w:lang w:eastAsia="zh-CN"/>
        </w:rPr>
        <w:t>投标人</w:t>
      </w:r>
      <w:r>
        <w:rPr>
          <w:rFonts w:hint="eastAsia" w:ascii="宋体" w:hAnsi="宋体" w:cs="宋体"/>
          <w:sz w:val="24"/>
          <w:szCs w:val="24"/>
          <w:highlight w:val="none"/>
        </w:rPr>
        <w:t>不作落标原因的解释。</w:t>
      </w:r>
    </w:p>
    <w:p w14:paraId="2A99F5FE">
      <w:pPr>
        <w:pStyle w:val="5"/>
        <w:spacing w:line="288" w:lineRule="auto"/>
        <w:ind w:firstLine="0"/>
        <w:rPr>
          <w:rFonts w:hint="eastAsia" w:ascii="宋体" w:hAnsi="宋体" w:eastAsia="宋体" w:cs="宋体"/>
          <w:b/>
          <w:sz w:val="24"/>
          <w:szCs w:val="24"/>
          <w:highlight w:val="none"/>
          <w:lang w:eastAsia="zh-CN"/>
        </w:rPr>
      </w:pPr>
      <w:r>
        <w:rPr>
          <w:rFonts w:hint="eastAsia" w:ascii="宋体" w:hAnsi="宋体" w:cs="宋体"/>
          <w:b/>
          <w:sz w:val="24"/>
          <w:szCs w:val="24"/>
          <w:highlight w:val="none"/>
        </w:rPr>
        <w:t>26.</w:t>
      </w:r>
      <w:r>
        <w:rPr>
          <w:rFonts w:hint="eastAsia" w:ascii="宋体" w:hAnsi="宋体" w:cs="宋体"/>
          <w:b/>
          <w:sz w:val="24"/>
          <w:szCs w:val="24"/>
          <w:highlight w:val="none"/>
          <w:lang w:eastAsia="zh-CN"/>
        </w:rPr>
        <w:t>签订合同</w:t>
      </w:r>
    </w:p>
    <w:p w14:paraId="74455EEC">
      <w:pPr>
        <w:pStyle w:val="5"/>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lang w:eastAsia="zh-CN"/>
        </w:rPr>
        <w:t>中标投标人</w:t>
      </w:r>
      <w:r>
        <w:rPr>
          <w:rFonts w:hint="eastAsia" w:ascii="宋体" w:hAnsi="宋体" w:cs="宋体"/>
          <w:sz w:val="24"/>
          <w:szCs w:val="24"/>
          <w:highlight w:val="none"/>
        </w:rPr>
        <w:t>应按中标通知书中规定的时间、地点与买方</w:t>
      </w:r>
      <w:r>
        <w:rPr>
          <w:rFonts w:hint="eastAsia" w:ascii="宋体" w:hAnsi="宋体" w:cs="宋体"/>
          <w:sz w:val="24"/>
          <w:szCs w:val="24"/>
          <w:highlight w:val="none"/>
          <w:lang w:eastAsia="zh-CN"/>
        </w:rPr>
        <w:t>签订合同</w:t>
      </w:r>
      <w:r>
        <w:rPr>
          <w:rFonts w:hint="eastAsia" w:ascii="宋体" w:hAnsi="宋体" w:cs="宋体"/>
          <w:sz w:val="24"/>
          <w:szCs w:val="24"/>
          <w:highlight w:val="none"/>
        </w:rPr>
        <w:t>，否则按开标后撤回投标处理。</w:t>
      </w:r>
    </w:p>
    <w:p w14:paraId="0B23358B">
      <w:pPr>
        <w:pStyle w:val="5"/>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lang w:eastAsia="zh-CN"/>
        </w:rPr>
        <w:t>采购</w:t>
      </w:r>
      <w:r>
        <w:rPr>
          <w:rFonts w:hint="eastAsia" w:ascii="宋体" w:hAnsi="宋体" w:cs="宋体"/>
          <w:sz w:val="24"/>
          <w:szCs w:val="24"/>
          <w:highlight w:val="none"/>
        </w:rPr>
        <w:t>合同采用工商管理部门制定的标准格式合同。招标文件、</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的投标文件及评标过程中有关澄清文件均应作为合同组成部分。</w:t>
      </w:r>
    </w:p>
    <w:p w14:paraId="25930ECB">
      <w:pPr>
        <w:pStyle w:val="5"/>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rPr>
        <w:t>履约担保：合同签订前</w:t>
      </w:r>
      <w:r>
        <w:rPr>
          <w:rFonts w:hint="eastAsia" w:ascii="宋体" w:hAnsi="宋体" w:cs="宋体"/>
          <w:sz w:val="24"/>
          <w:szCs w:val="24"/>
          <w:highlight w:val="none"/>
          <w:lang w:eastAsia="zh-CN"/>
        </w:rPr>
        <w:t>中标投标人</w:t>
      </w:r>
      <w:r>
        <w:rPr>
          <w:rFonts w:hint="eastAsia" w:ascii="宋体" w:hAnsi="宋体" w:cs="宋体"/>
          <w:sz w:val="24"/>
          <w:szCs w:val="24"/>
          <w:highlight w:val="none"/>
        </w:rPr>
        <w:t>应按</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须知前附表23项要求办理履约保证金。</w:t>
      </w:r>
    </w:p>
    <w:p w14:paraId="5E4406F6">
      <w:pPr>
        <w:spacing w:line="288" w:lineRule="auto"/>
        <w:rPr>
          <w:rFonts w:ascii="宋体" w:hAnsi="宋体" w:cs="宋体"/>
          <w:b/>
          <w:sz w:val="24"/>
          <w:szCs w:val="24"/>
          <w:highlight w:val="none"/>
        </w:rPr>
      </w:pPr>
      <w:r>
        <w:rPr>
          <w:rFonts w:hint="eastAsia" w:ascii="宋体" w:hAnsi="宋体" w:cs="宋体"/>
          <w:b/>
          <w:sz w:val="24"/>
          <w:szCs w:val="24"/>
          <w:highlight w:val="none"/>
        </w:rPr>
        <w:t>27.数量变更</w:t>
      </w:r>
    </w:p>
    <w:p w14:paraId="7EDCE2CF">
      <w:pPr>
        <w:spacing w:line="288" w:lineRule="auto"/>
        <w:ind w:firstLine="480" w:firstLineChars="200"/>
        <w:rPr>
          <w:rFonts w:ascii="宋体" w:hAnsi="宋体" w:cs="宋体"/>
          <w:sz w:val="24"/>
          <w:szCs w:val="24"/>
          <w:highlight w:val="none"/>
        </w:rPr>
      </w:pPr>
      <w:r>
        <w:rPr>
          <w:rFonts w:hint="eastAsia" w:ascii="宋体" w:hAnsi="宋体" w:cs="宋体"/>
          <w:sz w:val="24"/>
          <w:szCs w:val="24"/>
          <w:highlight w:val="none"/>
        </w:rPr>
        <w:t>采购人有权根据项目实际需要部分变更数量和服务的内容。</w:t>
      </w:r>
    </w:p>
    <w:p w14:paraId="36700F93">
      <w:pPr>
        <w:pStyle w:val="3"/>
        <w:spacing w:before="0" w:after="0" w:line="288" w:lineRule="auto"/>
        <w:jc w:val="center"/>
        <w:rPr>
          <w:rFonts w:ascii="宋体" w:hAnsi="宋体" w:eastAsia="宋体" w:cs="宋体"/>
          <w:sz w:val="24"/>
          <w:szCs w:val="24"/>
          <w:highlight w:val="none"/>
        </w:rPr>
      </w:pPr>
      <w:bookmarkStart w:id="54" w:name="_Toc98580419"/>
      <w:r>
        <w:rPr>
          <w:rFonts w:hint="eastAsia" w:ascii="宋体" w:hAnsi="宋体" w:eastAsia="宋体" w:cs="宋体"/>
          <w:sz w:val="24"/>
          <w:szCs w:val="24"/>
          <w:highlight w:val="none"/>
        </w:rPr>
        <w:t>G中标服务费</w:t>
      </w:r>
      <w:bookmarkEnd w:id="54"/>
    </w:p>
    <w:p w14:paraId="52C58EB6">
      <w:pPr>
        <w:pStyle w:val="4"/>
        <w:spacing w:before="0" w:after="0" w:line="288" w:lineRule="auto"/>
        <w:rPr>
          <w:rFonts w:ascii="宋体" w:hAnsi="宋体" w:cs="宋体"/>
          <w:sz w:val="24"/>
          <w:szCs w:val="24"/>
          <w:highlight w:val="none"/>
        </w:rPr>
      </w:pPr>
      <w:bookmarkStart w:id="55" w:name="_Toc98580420"/>
      <w:r>
        <w:rPr>
          <w:rFonts w:hint="eastAsia" w:ascii="宋体" w:hAnsi="宋体" w:cs="宋体"/>
          <w:sz w:val="24"/>
          <w:szCs w:val="24"/>
          <w:highlight w:val="none"/>
        </w:rPr>
        <w:t>28.中标服务费</w:t>
      </w:r>
      <w:bookmarkEnd w:id="55"/>
    </w:p>
    <w:p w14:paraId="69A3498D">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28.1</w:t>
      </w:r>
      <w:r>
        <w:rPr>
          <w:rFonts w:hint="eastAsia" w:ascii="宋体" w:hAnsi="宋体" w:cs="宋体"/>
          <w:sz w:val="24"/>
          <w:szCs w:val="24"/>
          <w:highlight w:val="none"/>
          <w:lang w:eastAsia="zh-CN"/>
        </w:rPr>
        <w:t>中标</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须按招标文件中标服务费收取规定的标准向代理机构缴纳中标服务费。</w:t>
      </w:r>
    </w:p>
    <w:p w14:paraId="18819495">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28.2</w:t>
      </w:r>
      <w:r>
        <w:rPr>
          <w:rFonts w:hint="eastAsia" w:ascii="宋体" w:hAnsi="宋体" w:cs="宋体"/>
          <w:sz w:val="24"/>
          <w:szCs w:val="24"/>
          <w:highlight w:val="none"/>
          <w:lang w:eastAsia="zh-CN"/>
        </w:rPr>
        <w:t>中标</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在收到《中标通知书》后向</w:t>
      </w:r>
      <w:r>
        <w:rPr>
          <w:rFonts w:hint="eastAsia" w:ascii="宋体" w:hAnsi="宋体" w:cs="宋体"/>
          <w:sz w:val="24"/>
          <w:szCs w:val="24"/>
          <w:highlight w:val="none"/>
          <w:lang w:eastAsia="zh-CN"/>
        </w:rPr>
        <w:t>采购代理机构</w:t>
      </w:r>
      <w:r>
        <w:rPr>
          <w:rFonts w:hint="eastAsia" w:ascii="宋体" w:hAnsi="宋体" w:cs="宋体"/>
          <w:sz w:val="24"/>
          <w:szCs w:val="24"/>
          <w:highlight w:val="none"/>
        </w:rPr>
        <w:t>一次性缴纳中标服务费。可采用以下方式之一交付中标服务费：现金、转账及电汇。</w:t>
      </w:r>
    </w:p>
    <w:p w14:paraId="3CB4AE15">
      <w:pPr>
        <w:keepNext w:val="0"/>
        <w:keepLines w:val="0"/>
        <w:pageBreakBefore w:val="0"/>
        <w:widowControl/>
        <w:kinsoku/>
        <w:wordWrap/>
        <w:overflowPunct/>
        <w:topLinePunct w:val="0"/>
        <w:autoSpaceDE/>
        <w:autoSpaceDN/>
        <w:bidi w:val="0"/>
        <w:adjustRightInd/>
        <w:snapToGrid/>
        <w:spacing w:line="288" w:lineRule="auto"/>
        <w:ind w:left="0" w:firstLine="480" w:firstLineChars="200"/>
        <w:jc w:val="both"/>
        <w:textAlignment w:val="auto"/>
        <w:rPr>
          <w:rFonts w:ascii="宋体" w:hAnsi="宋体" w:cs="宋体"/>
          <w:sz w:val="24"/>
          <w:szCs w:val="24"/>
          <w:highlight w:val="none"/>
        </w:rPr>
      </w:pPr>
      <w:r>
        <w:rPr>
          <w:rFonts w:hint="eastAsia" w:ascii="宋体" w:hAnsi="宋体" w:cs="宋体"/>
          <w:sz w:val="24"/>
          <w:szCs w:val="24"/>
          <w:highlight w:val="none"/>
        </w:rPr>
        <w:t>28.3 其他费用遵照国家、地方有关规定执行。</w:t>
      </w:r>
    </w:p>
    <w:p w14:paraId="620DE41D">
      <w:pPr>
        <w:rPr>
          <w:rFonts w:ascii="宋体" w:hAnsi="宋体" w:cs="宋体"/>
          <w:highlight w:val="none"/>
        </w:rPr>
      </w:pPr>
      <w:r>
        <w:rPr>
          <w:rFonts w:hint="eastAsia" w:ascii="宋体" w:hAnsi="宋体" w:cs="宋体"/>
          <w:sz w:val="21"/>
          <w:szCs w:val="21"/>
          <w:highlight w:val="none"/>
        </w:rPr>
        <w:br w:type="page"/>
      </w:r>
    </w:p>
    <w:p w14:paraId="61F75F96">
      <w:pPr>
        <w:rPr>
          <w:rFonts w:ascii="宋体" w:hAnsi="宋体" w:cs="宋体"/>
          <w:highlight w:val="none"/>
        </w:rPr>
      </w:pPr>
    </w:p>
    <w:p w14:paraId="015222AC">
      <w:pPr>
        <w:pStyle w:val="2"/>
        <w:spacing w:before="0" w:after="0" w:line="360" w:lineRule="auto"/>
        <w:jc w:val="center"/>
        <w:rPr>
          <w:rFonts w:ascii="宋体" w:hAnsi="宋体" w:cs="宋体"/>
          <w:sz w:val="30"/>
          <w:szCs w:val="30"/>
          <w:highlight w:val="none"/>
        </w:rPr>
      </w:pPr>
      <w:bookmarkStart w:id="56" w:name="_Toc8440"/>
      <w:r>
        <w:rPr>
          <w:rFonts w:hint="eastAsia" w:ascii="宋体" w:hAnsi="宋体" w:cs="宋体"/>
          <w:highlight w:val="none"/>
        </w:rPr>
        <w:t xml:space="preserve">第三部分  </w:t>
      </w:r>
      <w:bookmarkEnd w:id="56"/>
      <w:r>
        <w:rPr>
          <w:rFonts w:hint="eastAsia" w:ascii="宋体" w:hAnsi="宋体" w:cs="宋体"/>
          <w:highlight w:val="none"/>
        </w:rPr>
        <w:t>评标办法</w:t>
      </w:r>
    </w:p>
    <w:p w14:paraId="3281E277">
      <w:pPr>
        <w:spacing w:line="440" w:lineRule="exact"/>
        <w:ind w:firstLine="480" w:firstLineChars="200"/>
        <w:rPr>
          <w:rFonts w:ascii="宋体" w:hAnsi="宋体" w:cs="宋体"/>
          <w:sz w:val="24"/>
          <w:szCs w:val="24"/>
          <w:highlight w:val="none"/>
        </w:rPr>
      </w:pPr>
      <w:r>
        <w:rPr>
          <w:rFonts w:hint="eastAsia" w:ascii="宋体" w:hAnsi="宋体" w:cs="宋体"/>
          <w:sz w:val="24"/>
          <w:szCs w:val="24"/>
          <w:highlight w:val="none"/>
        </w:rPr>
        <w:t>按照国家相关部门的规定，遵循公开、公平、公正和诚实信用的原则，结合本招标项目的实际情况，制定本招标项目评标办法。</w:t>
      </w:r>
    </w:p>
    <w:p w14:paraId="6EBF26C5">
      <w:pPr>
        <w:spacing w:line="440" w:lineRule="exact"/>
        <w:jc w:val="both"/>
        <w:rPr>
          <w:rFonts w:ascii="宋体" w:hAnsi="宋体" w:cs="宋体"/>
          <w:b/>
          <w:sz w:val="28"/>
          <w:szCs w:val="28"/>
          <w:highlight w:val="none"/>
        </w:rPr>
      </w:pPr>
      <w:r>
        <w:rPr>
          <w:rFonts w:hint="eastAsia" w:ascii="宋体" w:hAnsi="宋体" w:cs="宋体"/>
          <w:b/>
          <w:sz w:val="28"/>
          <w:szCs w:val="28"/>
          <w:highlight w:val="none"/>
        </w:rPr>
        <w:t>一、评标程序</w:t>
      </w:r>
    </w:p>
    <w:p w14:paraId="31FB039C">
      <w:pPr>
        <w:spacing w:line="440" w:lineRule="exact"/>
        <w:rPr>
          <w:rFonts w:ascii="宋体" w:hAnsi="宋体" w:cs="宋体"/>
          <w:b/>
          <w:bCs/>
          <w:sz w:val="24"/>
          <w:szCs w:val="24"/>
          <w:highlight w:val="none"/>
        </w:rPr>
      </w:pPr>
      <w:r>
        <w:rPr>
          <w:rFonts w:hint="eastAsia" w:ascii="宋体" w:hAnsi="宋体" w:cs="宋体"/>
          <w:b/>
          <w:bCs/>
          <w:sz w:val="24"/>
          <w:szCs w:val="24"/>
          <w:highlight w:val="none"/>
        </w:rPr>
        <w:t>（一）组成评标委员会</w:t>
      </w:r>
    </w:p>
    <w:p w14:paraId="3CC92FA7">
      <w:pPr>
        <w:spacing w:line="440" w:lineRule="exact"/>
        <w:ind w:firstLine="480" w:firstLineChars="200"/>
        <w:rPr>
          <w:rFonts w:ascii="宋体" w:hAnsi="宋体" w:cs="宋体"/>
          <w:sz w:val="24"/>
          <w:szCs w:val="24"/>
          <w:highlight w:val="none"/>
        </w:rPr>
      </w:pPr>
      <w:r>
        <w:rPr>
          <w:rFonts w:hint="eastAsia" w:ascii="宋体" w:hAnsi="宋体" w:cs="宋体"/>
          <w:sz w:val="24"/>
          <w:szCs w:val="24"/>
          <w:highlight w:val="none"/>
        </w:rPr>
        <w:t>按照国家有关部委及省、市的相关规定，从专家库中随机抽取技术、经济等方面的专家4人，采购人代表1人，共5人组成评标委员会（以下简称“评委会”）。为保证评标工作的顺利进行，推荐一名评委担任评委会主任，负责评标全面工作。</w:t>
      </w:r>
    </w:p>
    <w:p w14:paraId="77C92E29">
      <w:pPr>
        <w:pStyle w:val="89"/>
        <w:spacing w:line="440" w:lineRule="exact"/>
        <w:rPr>
          <w:rFonts w:hint="eastAsia" w:ascii="宋体" w:hAnsi="宋体" w:eastAsia="宋体" w:cs="宋体"/>
          <w:b/>
          <w:bCs/>
          <w:sz w:val="24"/>
          <w:szCs w:val="24"/>
          <w:highlight w:val="none"/>
          <w:lang w:eastAsia="zh-CN"/>
        </w:rPr>
      </w:pPr>
      <w:r>
        <w:rPr>
          <w:rFonts w:hint="eastAsia" w:ascii="宋体" w:hAnsi="宋体" w:eastAsia="宋体" w:cs="宋体"/>
          <w:b/>
          <w:bCs/>
          <w:sz w:val="24"/>
          <w:szCs w:val="24"/>
          <w:highlight w:val="none"/>
        </w:rPr>
        <w:t>（二）评审方法：</w:t>
      </w:r>
      <w:r>
        <w:rPr>
          <w:rFonts w:hint="eastAsia" w:ascii="宋体" w:hAnsi="宋体" w:eastAsia="宋体" w:cs="宋体"/>
          <w:b/>
          <w:bCs/>
          <w:sz w:val="24"/>
          <w:szCs w:val="24"/>
          <w:highlight w:val="none"/>
          <w:lang w:eastAsia="zh-CN"/>
        </w:rPr>
        <w:t>综合评分法</w:t>
      </w:r>
    </w:p>
    <w:p w14:paraId="4D0483D2">
      <w:pPr>
        <w:spacing w:line="440" w:lineRule="exact"/>
        <w:ind w:firstLine="480" w:firstLineChars="200"/>
        <w:rPr>
          <w:rFonts w:hint="eastAsia" w:ascii="宋体" w:hAnsi="宋体" w:cs="宋体"/>
          <w:sz w:val="24"/>
          <w:szCs w:val="24"/>
          <w:highlight w:val="none"/>
          <w:lang w:eastAsia="zh-CN"/>
        </w:rPr>
      </w:pPr>
      <w:r>
        <w:rPr>
          <w:rFonts w:hint="eastAsia" w:ascii="宋体" w:hAnsi="宋体" w:cs="宋体"/>
          <w:sz w:val="24"/>
          <w:szCs w:val="24"/>
        </w:rPr>
        <w:t>综合评分法，是指投标文件满足招标文件全部实质性要求，且按照评审因素的量化指标评审得分最高的投标人为中标候选人的评标方法。</w:t>
      </w:r>
    </w:p>
    <w:p w14:paraId="3CDC7397">
      <w:pPr>
        <w:pStyle w:val="89"/>
        <w:spacing w:line="440" w:lineRule="exact"/>
        <w:rPr>
          <w:rFonts w:ascii="宋体" w:hAnsi="宋体" w:eastAsia="宋体" w:cs="宋体"/>
          <w:b/>
          <w:bCs/>
          <w:sz w:val="24"/>
          <w:szCs w:val="24"/>
          <w:highlight w:val="none"/>
        </w:rPr>
      </w:pPr>
      <w:r>
        <w:rPr>
          <w:rFonts w:hint="eastAsia" w:ascii="宋体" w:hAnsi="宋体" w:eastAsia="宋体" w:cs="宋体"/>
          <w:b/>
          <w:bCs/>
          <w:sz w:val="24"/>
          <w:szCs w:val="24"/>
          <w:highlight w:val="none"/>
        </w:rPr>
        <w:t>（三）评标工作</w:t>
      </w:r>
    </w:p>
    <w:p w14:paraId="096FF5A7">
      <w:pPr>
        <w:spacing w:line="440" w:lineRule="exact"/>
        <w:ind w:firstLine="480" w:firstLineChars="200"/>
        <w:rPr>
          <w:rFonts w:ascii="宋体" w:hAnsi="宋体" w:cs="宋体"/>
          <w:sz w:val="24"/>
          <w:szCs w:val="24"/>
          <w:highlight w:val="none"/>
        </w:rPr>
      </w:pPr>
      <w:r>
        <w:rPr>
          <w:rFonts w:hint="eastAsia" w:ascii="宋体" w:hAnsi="宋体" w:cs="宋体"/>
          <w:sz w:val="24"/>
          <w:szCs w:val="24"/>
          <w:highlight w:val="none"/>
        </w:rPr>
        <w:t>评标本着客观公正、公平竞争、择优推荐、规范合法的原则进行。评标工作分为资格审查、符合性审查和详细评审三个步骤。</w:t>
      </w:r>
    </w:p>
    <w:p w14:paraId="6151AA49">
      <w:pPr>
        <w:spacing w:line="440" w:lineRule="exact"/>
        <w:ind w:firstLine="480" w:firstLineChars="200"/>
        <w:rPr>
          <w:rFonts w:ascii="宋体" w:hAnsi="宋体" w:cs="宋体"/>
          <w:sz w:val="24"/>
          <w:szCs w:val="24"/>
          <w:highlight w:val="none"/>
        </w:rPr>
      </w:pPr>
      <w:r>
        <w:rPr>
          <w:rFonts w:hint="eastAsia" w:ascii="宋体" w:hAnsi="宋体" w:cs="宋体"/>
          <w:sz w:val="24"/>
          <w:szCs w:val="24"/>
          <w:highlight w:val="none"/>
        </w:rPr>
        <w:t>1.资格审查。采购人或代理机构对各</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的资格进行审查。资格审查合格的</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方可进入符合性审查。</w:t>
      </w:r>
      <w:r>
        <w:rPr>
          <w:rFonts w:hint="eastAsia" w:ascii="宋体" w:hAnsi="宋体" w:cs="宋体"/>
          <w:sz w:val="24"/>
          <w:highlight w:val="none"/>
        </w:rPr>
        <w:t>不具备招标文件中规定的资格要求的，投标无效。合格</w:t>
      </w:r>
      <w:r>
        <w:rPr>
          <w:rFonts w:hint="eastAsia" w:ascii="宋体" w:hAnsi="宋体" w:cs="宋体"/>
          <w:sz w:val="24"/>
          <w:highlight w:val="none"/>
          <w:lang w:val="en-US" w:eastAsia="zh-CN"/>
        </w:rPr>
        <w:t>投标人</w:t>
      </w:r>
      <w:r>
        <w:rPr>
          <w:rFonts w:hint="eastAsia" w:ascii="宋体" w:hAnsi="宋体" w:cs="宋体"/>
          <w:sz w:val="24"/>
          <w:highlight w:val="none"/>
        </w:rPr>
        <w:t>不足3家的，不得评标。</w:t>
      </w:r>
    </w:p>
    <w:p w14:paraId="23D5EDFD">
      <w:pPr>
        <w:spacing w:line="440" w:lineRule="exact"/>
        <w:ind w:firstLine="480" w:firstLineChars="200"/>
        <w:rPr>
          <w:rFonts w:ascii="宋体" w:hAnsi="宋体" w:cs="宋体"/>
          <w:sz w:val="24"/>
          <w:highlight w:val="none"/>
        </w:rPr>
      </w:pPr>
      <w:r>
        <w:rPr>
          <w:rFonts w:hint="eastAsia" w:ascii="宋体" w:hAnsi="宋体" w:cs="宋体"/>
          <w:sz w:val="24"/>
          <w:szCs w:val="24"/>
          <w:highlight w:val="none"/>
        </w:rPr>
        <w:t>2.符合性审查。评委会对</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的投标文件进行符合性审查。符合性审查合格的</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方可进入详细评审。</w:t>
      </w:r>
      <w:r>
        <w:rPr>
          <w:rFonts w:hint="eastAsia" w:ascii="宋体" w:hAnsi="宋体" w:cs="宋体"/>
          <w:sz w:val="24"/>
          <w:highlight w:val="none"/>
        </w:rPr>
        <w:t>有一项不符合的，投标无效。</w:t>
      </w:r>
    </w:p>
    <w:p w14:paraId="427488EA">
      <w:pPr>
        <w:pStyle w:val="38"/>
        <w:numPr>
          <w:ilvl w:val="0"/>
          <w:numId w:val="0"/>
        </w:numPr>
        <w:shd w:val="clear" w:color="auto" w:fill="FFFFFF"/>
        <w:spacing w:before="0" w:beforeAutospacing="0" w:after="0" w:afterAutospacing="0" w:line="380" w:lineRule="atLeast"/>
        <w:ind w:firstLine="480" w:firstLineChars="200"/>
        <w:rPr>
          <w:rFonts w:hint="eastAsia" w:ascii="宋体" w:hAnsi="宋体" w:cs="宋体"/>
          <w:sz w:val="24"/>
          <w:szCs w:val="24"/>
          <w:highlight w:val="none"/>
        </w:rPr>
      </w:pPr>
      <w:r>
        <w:rPr>
          <w:rFonts w:hint="eastAsia" w:ascii="宋体" w:hAnsi="宋体" w:cs="宋体"/>
          <w:sz w:val="24"/>
          <w:szCs w:val="24"/>
          <w:highlight w:val="none"/>
        </w:rPr>
        <w:t>3.详细评审。详细评审采用综合评分法。评委依据评标办法分别对各</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的投标文件进行评审、赋分。如果通过资格审查和符合性审查的</w:t>
      </w:r>
      <w:r>
        <w:rPr>
          <w:rFonts w:hint="eastAsia" w:ascii="宋体" w:hAnsi="宋体" w:cs="宋体"/>
          <w:sz w:val="24"/>
          <w:szCs w:val="24"/>
          <w:highlight w:val="none"/>
          <w:lang w:val="en-US" w:eastAsia="zh-CN"/>
        </w:rPr>
        <w:t>投标人</w:t>
      </w:r>
      <w:r>
        <w:rPr>
          <w:rFonts w:hint="eastAsia" w:ascii="宋体" w:hAnsi="宋体" w:cs="宋体"/>
          <w:sz w:val="24"/>
          <w:szCs w:val="24"/>
          <w:highlight w:val="none"/>
        </w:rPr>
        <w:t>不足三家，则采购人重新招标。</w:t>
      </w:r>
    </w:p>
    <w:p w14:paraId="742322DB">
      <w:pPr>
        <w:spacing w:line="440" w:lineRule="exact"/>
        <w:rPr>
          <w:rFonts w:ascii="宋体" w:hAnsi="宋体" w:cs="宋体"/>
          <w:b/>
          <w:sz w:val="24"/>
          <w:szCs w:val="24"/>
          <w:highlight w:val="none"/>
        </w:rPr>
      </w:pPr>
      <w:r>
        <w:rPr>
          <w:rFonts w:hint="eastAsia" w:ascii="宋体" w:hAnsi="宋体" w:cs="宋体"/>
          <w:b/>
          <w:sz w:val="24"/>
          <w:szCs w:val="24"/>
          <w:highlight w:val="none"/>
        </w:rPr>
        <w:t>（四）询标（必要时）</w:t>
      </w:r>
    </w:p>
    <w:p w14:paraId="5878991F">
      <w:pPr>
        <w:spacing w:line="440" w:lineRule="exact"/>
        <w:ind w:firstLine="480" w:firstLineChars="200"/>
        <w:rPr>
          <w:rFonts w:ascii="宋体" w:hAnsi="宋体" w:cs="宋体"/>
          <w:sz w:val="24"/>
          <w:szCs w:val="24"/>
          <w:highlight w:val="none"/>
        </w:rPr>
      </w:pPr>
      <w:r>
        <w:rPr>
          <w:rFonts w:hint="eastAsia" w:ascii="宋体" w:hAnsi="宋体" w:cs="宋体"/>
          <w:sz w:val="24"/>
          <w:szCs w:val="24"/>
          <w:highlight w:val="none"/>
        </w:rPr>
        <w:t>评标委员会对投标文件需要澄清的问题，采用集体询标方式进行。</w:t>
      </w:r>
    </w:p>
    <w:p w14:paraId="0FE2E1A2">
      <w:pPr>
        <w:spacing w:line="440" w:lineRule="exact"/>
        <w:rPr>
          <w:rFonts w:ascii="宋体" w:hAnsi="宋体" w:cs="宋体"/>
          <w:b/>
          <w:bCs/>
          <w:sz w:val="24"/>
          <w:szCs w:val="24"/>
          <w:highlight w:val="none"/>
        </w:rPr>
      </w:pPr>
      <w:r>
        <w:rPr>
          <w:rFonts w:hint="eastAsia" w:ascii="宋体" w:hAnsi="宋体" w:cs="宋体"/>
          <w:b/>
          <w:bCs/>
          <w:sz w:val="24"/>
          <w:szCs w:val="24"/>
          <w:highlight w:val="none"/>
        </w:rPr>
        <w:t>（五）推荐中标候选人</w:t>
      </w:r>
    </w:p>
    <w:p w14:paraId="1A4B081D">
      <w:pPr>
        <w:spacing w:line="440" w:lineRule="exact"/>
        <w:ind w:firstLine="480" w:firstLineChars="200"/>
        <w:rPr>
          <w:rFonts w:hint="eastAsia" w:ascii="宋体" w:hAnsi="宋体" w:cs="宋体"/>
          <w:sz w:val="24"/>
          <w:highlight w:val="none"/>
        </w:rPr>
      </w:pPr>
      <w:r>
        <w:rPr>
          <w:rFonts w:hint="eastAsia" w:ascii="宋体" w:hAnsi="宋体" w:cs="宋体"/>
          <w:sz w:val="24"/>
          <w:highlight w:val="none"/>
        </w:rPr>
        <w:t>5.1汇总各评委得分,投标</w:t>
      </w:r>
      <w:r>
        <w:rPr>
          <w:rFonts w:hint="eastAsia" w:ascii="宋体" w:hAnsi="宋体" w:cs="宋体"/>
          <w:sz w:val="24"/>
          <w:highlight w:val="none"/>
          <w:lang w:val="en-US" w:eastAsia="zh-CN"/>
        </w:rPr>
        <w:t>人</w:t>
      </w:r>
      <w:r>
        <w:rPr>
          <w:rFonts w:hint="eastAsia" w:ascii="宋体" w:hAnsi="宋体" w:cs="宋体"/>
          <w:sz w:val="24"/>
          <w:highlight w:val="none"/>
        </w:rPr>
        <w:t>最终得分按各位评委打分平均值计取,保留小数点后两位。评标结果按评审后得分由高到低顺序排列。得分相同的，按投标报价由低到高顺序排列。得分且投标报价相同的并列。投标文件满足招标文件全部实质性要求，且按照评审因素的量化指标评审得分最高的投标</w:t>
      </w:r>
      <w:r>
        <w:rPr>
          <w:rFonts w:hint="eastAsia" w:ascii="宋体" w:hAnsi="宋体" w:cs="宋体"/>
          <w:sz w:val="24"/>
          <w:highlight w:val="none"/>
          <w:lang w:val="en-US" w:eastAsia="zh-CN"/>
        </w:rPr>
        <w:t>人</w:t>
      </w:r>
      <w:r>
        <w:rPr>
          <w:rFonts w:hint="eastAsia" w:ascii="宋体" w:hAnsi="宋体" w:cs="宋体"/>
          <w:sz w:val="24"/>
          <w:highlight w:val="none"/>
        </w:rPr>
        <w:t>为排名第一的中标候选人。评标委员会根据综合评审结果，按照综合得分由高到低的顺序，推荐三名中标候选人，由采购人确定排名第一的</w:t>
      </w:r>
      <w:r>
        <w:rPr>
          <w:rFonts w:hint="eastAsia" w:ascii="宋体" w:hAnsi="宋体" w:cs="宋体"/>
          <w:sz w:val="24"/>
          <w:highlight w:val="none"/>
          <w:lang w:val="en-US" w:eastAsia="zh-CN"/>
        </w:rPr>
        <w:t>投标人</w:t>
      </w:r>
      <w:r>
        <w:rPr>
          <w:rFonts w:hint="eastAsia" w:ascii="宋体" w:hAnsi="宋体" w:cs="宋体"/>
          <w:sz w:val="24"/>
          <w:highlight w:val="none"/>
        </w:rPr>
        <w:t>为中标</w:t>
      </w:r>
      <w:r>
        <w:rPr>
          <w:rFonts w:hint="eastAsia" w:ascii="宋体" w:hAnsi="宋体" w:cs="宋体"/>
          <w:sz w:val="24"/>
          <w:highlight w:val="none"/>
          <w:lang w:val="en-US" w:eastAsia="zh-CN"/>
        </w:rPr>
        <w:t>投标人</w:t>
      </w:r>
      <w:r>
        <w:rPr>
          <w:rFonts w:hint="eastAsia" w:ascii="宋体" w:hAnsi="宋体" w:cs="宋体"/>
          <w:sz w:val="24"/>
          <w:highlight w:val="none"/>
        </w:rPr>
        <w:t>。</w:t>
      </w:r>
    </w:p>
    <w:p w14:paraId="6667C7C8">
      <w:pPr>
        <w:spacing w:line="440" w:lineRule="exact"/>
        <w:ind w:firstLine="480" w:firstLineChars="200"/>
        <w:rPr>
          <w:rFonts w:hint="eastAsia" w:ascii="宋体" w:hAnsi="宋体" w:cs="宋体"/>
          <w:sz w:val="24"/>
          <w:highlight w:val="none"/>
        </w:rPr>
      </w:pPr>
      <w:r>
        <w:rPr>
          <w:rFonts w:hint="eastAsia" w:ascii="宋体" w:hAnsi="宋体" w:cs="宋体"/>
          <w:sz w:val="24"/>
          <w:highlight w:val="none"/>
        </w:rPr>
        <w:t>中标候选人并列的，由评标委员会采取随机抽取的方式确定排序。</w:t>
      </w:r>
    </w:p>
    <w:p w14:paraId="1547542E">
      <w:pPr>
        <w:spacing w:line="440" w:lineRule="exact"/>
        <w:ind w:firstLine="480" w:firstLineChars="200"/>
        <w:rPr>
          <w:rFonts w:ascii="宋体" w:hAnsi="宋体" w:cs="宋体"/>
          <w:highlight w:val="none"/>
        </w:rPr>
      </w:pPr>
      <w:r>
        <w:rPr>
          <w:rFonts w:hint="eastAsia" w:ascii="宋体" w:hAnsi="宋体" w:cs="宋体"/>
          <w:sz w:val="24"/>
          <w:highlight w:val="none"/>
        </w:rPr>
        <w:t>5.2评标委员会成员对需要共同认定的事项存在争议的，应当按照少数服从多数的原则作出结论。持不同意见的评标委员会成员应当在评标报告上签署不同意见及理由，否则视为同意评标报告。</w:t>
      </w:r>
    </w:p>
    <w:p w14:paraId="5D719532">
      <w:pPr>
        <w:rPr>
          <w:rFonts w:ascii="宋体" w:hAnsi="宋体" w:cs="宋体"/>
          <w:b/>
          <w:sz w:val="28"/>
          <w:szCs w:val="28"/>
          <w:highlight w:val="none"/>
        </w:rPr>
      </w:pPr>
      <w:r>
        <w:rPr>
          <w:rFonts w:hint="eastAsia" w:ascii="宋体" w:hAnsi="宋体" w:cs="宋体"/>
          <w:b/>
          <w:sz w:val="28"/>
          <w:szCs w:val="28"/>
          <w:highlight w:val="none"/>
        </w:rPr>
        <w:br w:type="page"/>
      </w:r>
    </w:p>
    <w:p w14:paraId="76497AC4">
      <w:pPr>
        <w:spacing w:line="440" w:lineRule="exact"/>
        <w:jc w:val="both"/>
        <w:rPr>
          <w:rFonts w:ascii="宋体" w:hAnsi="宋体" w:cs="宋体"/>
          <w:b/>
          <w:sz w:val="24"/>
          <w:szCs w:val="24"/>
          <w:highlight w:val="none"/>
        </w:rPr>
      </w:pPr>
      <w:r>
        <w:rPr>
          <w:rFonts w:hint="eastAsia" w:ascii="宋体" w:hAnsi="宋体" w:cs="宋体"/>
          <w:b/>
          <w:sz w:val="24"/>
          <w:szCs w:val="24"/>
          <w:highlight w:val="none"/>
        </w:rPr>
        <w:t>二、评标办法和标准</w:t>
      </w:r>
    </w:p>
    <w:p w14:paraId="0D2D39CD">
      <w:pPr>
        <w:spacing w:line="440" w:lineRule="exact"/>
        <w:jc w:val="both"/>
        <w:rPr>
          <w:rFonts w:ascii="宋体" w:hAnsi="宋体" w:cs="宋体"/>
          <w:b/>
          <w:sz w:val="24"/>
          <w:szCs w:val="24"/>
          <w:highlight w:val="none"/>
        </w:rPr>
      </w:pPr>
      <w:r>
        <w:rPr>
          <w:rFonts w:hint="eastAsia" w:ascii="宋体" w:hAnsi="宋体" w:cs="宋体"/>
          <w:b/>
          <w:sz w:val="24"/>
          <w:szCs w:val="24"/>
          <w:highlight w:val="none"/>
        </w:rPr>
        <w:t>（一）资格审查</w:t>
      </w:r>
    </w:p>
    <w:tbl>
      <w:tblPr>
        <w:tblStyle w:val="44"/>
        <w:tblW w:w="484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7"/>
        <w:gridCol w:w="1576"/>
        <w:gridCol w:w="7118"/>
      </w:tblGrid>
      <w:tr w14:paraId="64449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1" w:type="pct"/>
            <w:vMerge w:val="restart"/>
            <w:vAlign w:val="center"/>
          </w:tcPr>
          <w:p w14:paraId="681D51D5">
            <w:pPr>
              <w:keepNext w:val="0"/>
              <w:keepLines w:val="0"/>
              <w:widowControl/>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序号</w:t>
            </w:r>
          </w:p>
        </w:tc>
        <w:tc>
          <w:tcPr>
            <w:tcW w:w="835" w:type="pct"/>
            <w:vMerge w:val="restart"/>
            <w:vAlign w:val="center"/>
          </w:tcPr>
          <w:p w14:paraId="7064D95C">
            <w:pPr>
              <w:keepNext w:val="0"/>
              <w:keepLines w:val="0"/>
              <w:widowControl/>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评审因素</w:t>
            </w:r>
          </w:p>
        </w:tc>
        <w:tc>
          <w:tcPr>
            <w:tcW w:w="3772" w:type="pct"/>
            <w:vMerge w:val="restart"/>
            <w:vAlign w:val="center"/>
          </w:tcPr>
          <w:p w14:paraId="10717B42">
            <w:pPr>
              <w:keepNext w:val="0"/>
              <w:keepLines w:val="0"/>
              <w:widowControl/>
              <w:suppressLineNumbers w:val="0"/>
              <w:autoSpaceDE w:val="0"/>
              <w:autoSpaceDN w:val="0"/>
              <w:adjustRightInd w:val="0"/>
              <w:spacing w:before="0" w:beforeAutospacing="0" w:after="0" w:afterAutospacing="0" w:line="240"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评审标准</w:t>
            </w:r>
          </w:p>
        </w:tc>
      </w:tr>
      <w:tr w14:paraId="45272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391" w:type="pct"/>
            <w:vMerge w:val="continue"/>
            <w:vAlign w:val="center"/>
          </w:tcPr>
          <w:p w14:paraId="7A491420">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p>
        </w:tc>
        <w:tc>
          <w:tcPr>
            <w:tcW w:w="835" w:type="pct"/>
            <w:vMerge w:val="continue"/>
            <w:vAlign w:val="center"/>
          </w:tcPr>
          <w:p w14:paraId="2D029CC8">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p>
        </w:tc>
        <w:tc>
          <w:tcPr>
            <w:tcW w:w="3772" w:type="pct"/>
            <w:vMerge w:val="continue"/>
            <w:vAlign w:val="center"/>
          </w:tcPr>
          <w:p w14:paraId="24980A00">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p>
        </w:tc>
      </w:tr>
      <w:tr w14:paraId="3C1FB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1" w:type="pct"/>
            <w:vAlign w:val="center"/>
          </w:tcPr>
          <w:p w14:paraId="46AE8894">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1</w:t>
            </w:r>
          </w:p>
        </w:tc>
        <w:tc>
          <w:tcPr>
            <w:tcW w:w="835" w:type="pct"/>
            <w:vAlign w:val="center"/>
          </w:tcPr>
          <w:p w14:paraId="28DCF79A">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营业执照</w:t>
            </w:r>
          </w:p>
        </w:tc>
        <w:tc>
          <w:tcPr>
            <w:tcW w:w="3772" w:type="pct"/>
            <w:vAlign w:val="center"/>
          </w:tcPr>
          <w:p w14:paraId="2E4C0FC3">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lang w:val="en-US" w:eastAsia="zh-CN"/>
              </w:rPr>
              <w:t>投标人</w:t>
            </w:r>
            <w:r>
              <w:rPr>
                <w:rFonts w:hint="eastAsia" w:ascii="宋体" w:hAnsi="宋体" w:eastAsia="宋体" w:cs="宋体"/>
                <w:b w:val="0"/>
                <w:bCs w:val="0"/>
                <w:sz w:val="21"/>
                <w:szCs w:val="21"/>
                <w:highlight w:val="none"/>
                <w:lang w:val="zh-CN"/>
              </w:rPr>
              <w:t>须是具有独立法人资格的企业或其他组织，具有有效营业执照。投标文件内附营业执照复印件加盖公章。</w:t>
            </w:r>
          </w:p>
        </w:tc>
      </w:tr>
      <w:tr w14:paraId="1ADBC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1" w:type="pct"/>
            <w:vAlign w:val="center"/>
          </w:tcPr>
          <w:p w14:paraId="55611B2C">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2</w:t>
            </w:r>
          </w:p>
        </w:tc>
        <w:tc>
          <w:tcPr>
            <w:tcW w:w="835" w:type="pct"/>
            <w:vAlign w:val="center"/>
          </w:tcPr>
          <w:p w14:paraId="79CAEDD7">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财务状况</w:t>
            </w:r>
          </w:p>
        </w:tc>
        <w:tc>
          <w:tcPr>
            <w:tcW w:w="3772" w:type="pct"/>
            <w:vAlign w:val="center"/>
          </w:tcPr>
          <w:p w14:paraId="193C3A70">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left"/>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近年（202</w:t>
            </w:r>
            <w:r>
              <w:rPr>
                <w:rFonts w:hint="eastAsia" w:ascii="宋体" w:hAnsi="宋体" w:eastAsia="宋体" w:cs="宋体"/>
                <w:b w:val="0"/>
                <w:bCs w:val="0"/>
                <w:sz w:val="21"/>
                <w:szCs w:val="21"/>
                <w:highlight w:val="none"/>
                <w:lang w:val="en-US" w:eastAsia="zh-CN"/>
              </w:rPr>
              <w:t>5</w:t>
            </w:r>
            <w:r>
              <w:rPr>
                <w:rFonts w:hint="eastAsia" w:ascii="宋体" w:hAnsi="宋体" w:eastAsia="宋体" w:cs="宋体"/>
                <w:b w:val="0"/>
                <w:bCs w:val="0"/>
                <w:sz w:val="21"/>
                <w:szCs w:val="21"/>
                <w:highlight w:val="none"/>
              </w:rPr>
              <w:t>年）财务状况良好，具有健全的财务会计制度。</w:t>
            </w:r>
            <w:r>
              <w:rPr>
                <w:rFonts w:hint="eastAsia" w:ascii="宋体" w:hAnsi="宋体" w:eastAsia="宋体" w:cs="宋体"/>
                <w:b w:val="0"/>
                <w:bCs w:val="0"/>
                <w:sz w:val="21"/>
                <w:szCs w:val="21"/>
                <w:highlight w:val="none"/>
                <w:lang w:val="zh-CN"/>
              </w:rPr>
              <w:t>投标文件内附</w:t>
            </w:r>
            <w:r>
              <w:rPr>
                <w:rFonts w:hint="eastAsia" w:ascii="宋体" w:hAnsi="宋体" w:eastAsia="宋体" w:cs="宋体"/>
                <w:b w:val="0"/>
                <w:bCs w:val="0"/>
                <w:sz w:val="21"/>
                <w:szCs w:val="21"/>
                <w:highlight w:val="none"/>
              </w:rPr>
              <w:t>近年（202</w:t>
            </w:r>
            <w:r>
              <w:rPr>
                <w:rFonts w:hint="eastAsia" w:ascii="宋体" w:hAnsi="宋体" w:eastAsia="宋体" w:cs="宋体"/>
                <w:b w:val="0"/>
                <w:bCs w:val="0"/>
                <w:sz w:val="21"/>
                <w:szCs w:val="21"/>
                <w:highlight w:val="none"/>
                <w:lang w:val="en-US" w:eastAsia="zh-CN"/>
              </w:rPr>
              <w:t>5</w:t>
            </w:r>
            <w:r>
              <w:rPr>
                <w:rFonts w:hint="eastAsia" w:ascii="宋体" w:hAnsi="宋体" w:eastAsia="宋体" w:cs="宋体"/>
                <w:b w:val="0"/>
                <w:bCs w:val="0"/>
                <w:sz w:val="21"/>
                <w:szCs w:val="21"/>
                <w:highlight w:val="none"/>
              </w:rPr>
              <w:t>年）经会计师事务所或审计机构审计的财务审计报告（202</w:t>
            </w:r>
            <w:r>
              <w:rPr>
                <w:rFonts w:hint="eastAsia" w:ascii="宋体" w:hAnsi="宋体" w:eastAsia="宋体" w:cs="宋体"/>
                <w:b w:val="0"/>
                <w:bCs w:val="0"/>
                <w:sz w:val="21"/>
                <w:szCs w:val="21"/>
                <w:highlight w:val="none"/>
                <w:lang w:val="en-US" w:eastAsia="zh-CN"/>
              </w:rPr>
              <w:t>6</w:t>
            </w:r>
            <w:r>
              <w:rPr>
                <w:rFonts w:hint="eastAsia" w:ascii="宋体" w:hAnsi="宋体" w:eastAsia="宋体" w:cs="宋体"/>
                <w:b w:val="0"/>
                <w:bCs w:val="0"/>
                <w:sz w:val="21"/>
                <w:szCs w:val="21"/>
                <w:highlight w:val="none"/>
              </w:rPr>
              <w:t>年以后新成立的公司无审计报告的，提供由法定代表人或授权代表签字或盖章并加盖公章</w:t>
            </w:r>
            <w:r>
              <w:rPr>
                <w:rFonts w:hint="eastAsia" w:ascii="宋体" w:hAnsi="宋体" w:eastAsia="宋体" w:cs="宋体"/>
                <w:b w:val="0"/>
                <w:bCs w:val="0"/>
                <w:sz w:val="21"/>
                <w:szCs w:val="21"/>
                <w:highlight w:val="none"/>
                <w:lang w:eastAsia="zh-CN"/>
              </w:rPr>
              <w:t>的</w:t>
            </w:r>
            <w:r>
              <w:rPr>
                <w:rFonts w:hint="eastAsia" w:ascii="宋体" w:hAnsi="宋体" w:eastAsia="宋体" w:cs="宋体"/>
                <w:b w:val="0"/>
                <w:bCs w:val="0"/>
                <w:sz w:val="21"/>
                <w:szCs w:val="21"/>
                <w:highlight w:val="none"/>
              </w:rPr>
              <w:t>财务状况良好承诺书）</w:t>
            </w:r>
            <w:r>
              <w:rPr>
                <w:rFonts w:hint="eastAsia" w:ascii="宋体" w:hAnsi="宋体" w:eastAsia="宋体" w:cs="宋体"/>
                <w:b w:val="0"/>
                <w:bCs w:val="0"/>
                <w:sz w:val="21"/>
                <w:szCs w:val="21"/>
                <w:highlight w:val="none"/>
                <w:lang w:val="zh-CN"/>
              </w:rPr>
              <w:t>复印件加盖公章。</w:t>
            </w:r>
          </w:p>
        </w:tc>
      </w:tr>
      <w:tr w14:paraId="1A989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391" w:type="pct"/>
            <w:vAlign w:val="center"/>
          </w:tcPr>
          <w:p w14:paraId="3BECC448">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3</w:t>
            </w:r>
          </w:p>
        </w:tc>
        <w:tc>
          <w:tcPr>
            <w:tcW w:w="835" w:type="pct"/>
            <w:vAlign w:val="center"/>
          </w:tcPr>
          <w:p w14:paraId="3D7782E1">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履约能力</w:t>
            </w:r>
          </w:p>
        </w:tc>
        <w:tc>
          <w:tcPr>
            <w:tcW w:w="3772" w:type="pct"/>
            <w:vAlign w:val="center"/>
          </w:tcPr>
          <w:p w14:paraId="6691BCF2">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具有履行合同所必需的设备和专业技术能力。</w:t>
            </w:r>
            <w:r>
              <w:rPr>
                <w:rFonts w:hint="eastAsia" w:ascii="宋体" w:hAnsi="宋体" w:eastAsia="宋体" w:cs="宋体"/>
                <w:b w:val="0"/>
                <w:bCs w:val="0"/>
                <w:sz w:val="21"/>
                <w:szCs w:val="21"/>
                <w:highlight w:val="none"/>
                <w:lang w:val="zh-CN"/>
              </w:rPr>
              <w:t>投标文件内附由法定代表人或授权代表签字或盖章并加盖公章的承诺书。</w:t>
            </w:r>
          </w:p>
        </w:tc>
      </w:tr>
      <w:tr w14:paraId="17990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1" w:type="pct"/>
            <w:vAlign w:val="center"/>
          </w:tcPr>
          <w:p w14:paraId="6728FDAE">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4</w:t>
            </w:r>
          </w:p>
        </w:tc>
        <w:tc>
          <w:tcPr>
            <w:tcW w:w="835" w:type="pct"/>
            <w:vAlign w:val="center"/>
          </w:tcPr>
          <w:p w14:paraId="4F276ED7">
            <w:pPr>
              <w:keepNext w:val="0"/>
              <w:keepLines w:val="0"/>
              <w:widowControl/>
              <w:suppressLineNumbers w:val="0"/>
              <w:spacing w:before="0" w:beforeAutospacing="0" w:after="0" w:afterAutospacing="0" w:line="288" w:lineRule="auto"/>
              <w:ind w:left="0" w:right="0"/>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纳税及社保</w:t>
            </w:r>
          </w:p>
        </w:tc>
        <w:tc>
          <w:tcPr>
            <w:tcW w:w="3772" w:type="pct"/>
            <w:vAlign w:val="center"/>
          </w:tcPr>
          <w:p w14:paraId="757521EB">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具有依法缴纳税收和社会保障金的良好记录。</w:t>
            </w:r>
            <w:r>
              <w:rPr>
                <w:rFonts w:hint="eastAsia" w:ascii="宋体" w:hAnsi="宋体" w:eastAsia="宋体" w:cs="宋体"/>
                <w:b w:val="0"/>
                <w:bCs w:val="0"/>
                <w:sz w:val="21"/>
                <w:szCs w:val="21"/>
                <w:highlight w:val="none"/>
                <w:lang w:val="zh-CN"/>
              </w:rPr>
              <w:t>投标文件内附近</w:t>
            </w:r>
            <w:r>
              <w:rPr>
                <w:rFonts w:hint="eastAsia" w:ascii="宋体" w:hAnsi="宋体" w:eastAsia="宋体" w:cs="宋体"/>
                <w:b w:val="0"/>
                <w:bCs w:val="0"/>
                <w:sz w:val="21"/>
                <w:szCs w:val="21"/>
                <w:highlight w:val="none"/>
                <w:lang w:val="en-US" w:eastAsia="zh-CN"/>
              </w:rPr>
              <w:t>半</w:t>
            </w:r>
            <w:r>
              <w:rPr>
                <w:rFonts w:hint="eastAsia" w:ascii="宋体" w:hAnsi="宋体" w:eastAsia="宋体" w:cs="宋体"/>
                <w:b w:val="0"/>
                <w:bCs w:val="0"/>
                <w:sz w:val="21"/>
                <w:szCs w:val="21"/>
                <w:highlight w:val="none"/>
                <w:lang w:val="zh-CN"/>
              </w:rPr>
              <w:t>年至今任意一个月纳税证明及社会保障资金缴纳证明复印件加盖公章。</w:t>
            </w:r>
            <w:r>
              <w:rPr>
                <w:rFonts w:hint="eastAsia" w:ascii="宋体" w:hAnsi="宋体" w:eastAsia="宋体" w:cs="宋体"/>
                <w:b w:val="0"/>
                <w:bCs w:val="0"/>
                <w:color w:val="000000"/>
                <w:sz w:val="21"/>
                <w:szCs w:val="21"/>
                <w:highlight w:val="none"/>
                <w:lang w:val="zh-CN"/>
              </w:rPr>
              <w:t>依法免税的或依法不需要缴纳社会保障资金的应提供相应证明材料</w:t>
            </w:r>
            <w:r>
              <w:rPr>
                <w:rFonts w:hint="eastAsia" w:ascii="宋体" w:hAnsi="宋体" w:eastAsia="宋体" w:cs="宋体"/>
                <w:b w:val="0"/>
                <w:bCs w:val="0"/>
                <w:sz w:val="21"/>
                <w:szCs w:val="21"/>
                <w:highlight w:val="none"/>
                <w:lang w:val="zh-CN"/>
              </w:rPr>
              <w:t>。</w:t>
            </w:r>
          </w:p>
        </w:tc>
      </w:tr>
      <w:tr w14:paraId="31F39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1" w:type="pct"/>
            <w:vAlign w:val="center"/>
          </w:tcPr>
          <w:p w14:paraId="676B6430">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eastAsia="zh-CN"/>
              </w:rPr>
            </w:pPr>
            <w:r>
              <w:rPr>
                <w:rFonts w:hint="eastAsia" w:ascii="宋体" w:hAnsi="宋体" w:eastAsia="宋体" w:cs="宋体"/>
                <w:b w:val="0"/>
                <w:bCs w:val="0"/>
                <w:sz w:val="21"/>
                <w:szCs w:val="21"/>
                <w:highlight w:val="none"/>
                <w:lang w:val="en-US" w:eastAsia="zh-CN"/>
              </w:rPr>
              <w:t>5</w:t>
            </w:r>
          </w:p>
        </w:tc>
        <w:tc>
          <w:tcPr>
            <w:tcW w:w="835" w:type="pct"/>
            <w:vAlign w:val="center"/>
          </w:tcPr>
          <w:p w14:paraId="2460ED5E">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rPr>
              <w:t>信誉要求</w:t>
            </w:r>
          </w:p>
        </w:tc>
        <w:tc>
          <w:tcPr>
            <w:tcW w:w="3772" w:type="pct"/>
            <w:vAlign w:val="center"/>
          </w:tcPr>
          <w:p w14:paraId="4C33EAD1">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1.拒绝列入政府取消投标资格记录期间的企业或个人投标；</w:t>
            </w:r>
          </w:p>
          <w:p w14:paraId="46595CCC">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2.</w:t>
            </w:r>
            <w:r>
              <w:rPr>
                <w:rFonts w:hint="eastAsia" w:ascii="宋体" w:hAnsi="宋体" w:eastAsia="宋体" w:cs="宋体"/>
                <w:b w:val="0"/>
                <w:bCs w:val="0"/>
                <w:sz w:val="21"/>
                <w:szCs w:val="21"/>
                <w:highlight w:val="none"/>
                <w:lang w:eastAsia="zh-CN"/>
              </w:rPr>
              <w:t>与采购人存在利害关系可能影响招标公正性的法人、其他组织或者个人，不得参加本项目投标；单位负责人为同一人或者存在直接控股、管理关系的不同投标人，不得参加同一合同项下的政府采购活动；</w:t>
            </w:r>
            <w:r>
              <w:rPr>
                <w:rFonts w:hint="eastAsia" w:ascii="宋体" w:hAnsi="宋体" w:eastAsia="宋体" w:cs="宋体"/>
                <w:b w:val="0"/>
                <w:bCs w:val="0"/>
                <w:sz w:val="21"/>
                <w:szCs w:val="21"/>
                <w:highlight w:val="none"/>
              </w:rPr>
              <w:t>为采购项目提供整体设计、规范编制或者项目管理、监理、检测等服务的</w:t>
            </w:r>
            <w:r>
              <w:rPr>
                <w:rFonts w:hint="eastAsia" w:ascii="宋体" w:hAnsi="宋体" w:eastAsia="宋体" w:cs="宋体"/>
                <w:b w:val="0"/>
                <w:bCs w:val="0"/>
                <w:sz w:val="21"/>
                <w:szCs w:val="21"/>
                <w:highlight w:val="none"/>
                <w:lang w:val="en-US" w:eastAsia="zh-CN"/>
              </w:rPr>
              <w:t>投标人</w:t>
            </w:r>
            <w:r>
              <w:rPr>
                <w:rFonts w:hint="eastAsia" w:ascii="宋体" w:hAnsi="宋体" w:eastAsia="宋体" w:cs="宋体"/>
                <w:b w:val="0"/>
                <w:bCs w:val="0"/>
                <w:sz w:val="21"/>
                <w:szCs w:val="21"/>
                <w:highlight w:val="none"/>
              </w:rPr>
              <w:t>，不得再参加本采购项目的其他采购活动；</w:t>
            </w:r>
          </w:p>
          <w:p w14:paraId="516F9A48">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3.参加政府采购活动前三年内（</w:t>
            </w:r>
            <w:r>
              <w:rPr>
                <w:rFonts w:hint="eastAsia" w:ascii="宋体" w:hAnsi="宋体" w:eastAsia="宋体" w:cs="宋体"/>
                <w:b w:val="0"/>
                <w:bCs w:val="0"/>
                <w:sz w:val="21"/>
                <w:szCs w:val="21"/>
                <w:highlight w:val="none"/>
                <w:lang w:eastAsia="zh-CN"/>
              </w:rPr>
              <w:t>202</w:t>
            </w:r>
            <w:r>
              <w:rPr>
                <w:rFonts w:hint="eastAsia" w:ascii="宋体" w:hAnsi="宋体" w:cs="宋体"/>
                <w:b w:val="0"/>
                <w:bCs w:val="0"/>
                <w:sz w:val="21"/>
                <w:szCs w:val="21"/>
                <w:highlight w:val="none"/>
                <w:lang w:val="en-US" w:eastAsia="zh-CN"/>
              </w:rPr>
              <w:t>3</w:t>
            </w:r>
            <w:r>
              <w:rPr>
                <w:rFonts w:hint="eastAsia" w:ascii="宋体" w:hAnsi="宋体" w:eastAsia="宋体" w:cs="宋体"/>
                <w:b w:val="0"/>
                <w:bCs w:val="0"/>
                <w:sz w:val="21"/>
                <w:szCs w:val="21"/>
                <w:highlight w:val="none"/>
                <w:lang w:eastAsia="zh-CN"/>
              </w:rPr>
              <w:t>年至今</w:t>
            </w:r>
            <w:r>
              <w:rPr>
                <w:rFonts w:hint="eastAsia" w:ascii="宋体" w:hAnsi="宋体" w:eastAsia="宋体" w:cs="宋体"/>
                <w:b w:val="0"/>
                <w:bCs w:val="0"/>
                <w:sz w:val="21"/>
                <w:szCs w:val="21"/>
                <w:highlight w:val="none"/>
              </w:rPr>
              <w:t>），在经营活动中没有重大违法记录；</w:t>
            </w:r>
          </w:p>
          <w:p w14:paraId="697E8EC4">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lang w:val="zh-CN" w:eastAsia="zh-CN"/>
              </w:rPr>
            </w:pPr>
            <w:r>
              <w:rPr>
                <w:rFonts w:hint="eastAsia" w:ascii="宋体" w:hAnsi="宋体" w:eastAsia="宋体" w:cs="宋体"/>
                <w:b w:val="0"/>
                <w:bCs w:val="0"/>
                <w:sz w:val="21"/>
                <w:szCs w:val="21"/>
                <w:highlight w:val="none"/>
              </w:rPr>
              <w:t>4.不得为“信用中国”网站（www.creditchina.gov.cn）中列入失信被执行人和重大税收违法案件当事人名单</w:t>
            </w:r>
            <w:r>
              <w:rPr>
                <w:rFonts w:hint="eastAsia" w:ascii="宋体" w:hAnsi="宋体" w:eastAsia="宋体" w:cs="宋体"/>
                <w:b w:val="0"/>
                <w:bCs w:val="0"/>
                <w:sz w:val="21"/>
                <w:szCs w:val="21"/>
                <w:highlight w:val="none"/>
                <w:lang w:eastAsia="zh-CN"/>
              </w:rPr>
              <w:t>的</w:t>
            </w:r>
            <w:r>
              <w:rPr>
                <w:rFonts w:hint="eastAsia" w:ascii="宋体" w:hAnsi="宋体" w:eastAsia="宋体" w:cs="宋体"/>
                <w:b w:val="0"/>
                <w:bCs w:val="0"/>
                <w:sz w:val="21"/>
                <w:szCs w:val="21"/>
                <w:highlight w:val="none"/>
                <w:lang w:val="en-US" w:eastAsia="zh-CN"/>
              </w:rPr>
              <w:t>投标人</w:t>
            </w:r>
            <w:r>
              <w:rPr>
                <w:rFonts w:hint="eastAsia" w:ascii="宋体" w:hAnsi="宋体" w:eastAsia="宋体" w:cs="宋体"/>
                <w:b w:val="0"/>
                <w:bCs w:val="0"/>
                <w:sz w:val="21"/>
                <w:szCs w:val="21"/>
                <w:highlight w:val="none"/>
              </w:rPr>
              <w:t>；不得为中国政府采购网（www.ccgp.gov.cn）政府采购严重违法失信行为记录名单中被财政部门禁止参加政府采购活动的</w:t>
            </w:r>
            <w:r>
              <w:rPr>
                <w:rFonts w:hint="eastAsia" w:ascii="宋体" w:hAnsi="宋体" w:eastAsia="宋体" w:cs="宋体"/>
                <w:b w:val="0"/>
                <w:bCs w:val="0"/>
                <w:sz w:val="21"/>
                <w:szCs w:val="21"/>
                <w:highlight w:val="none"/>
                <w:lang w:val="en-US" w:eastAsia="zh-CN"/>
              </w:rPr>
              <w:t>投标人</w:t>
            </w:r>
            <w:r>
              <w:rPr>
                <w:rFonts w:hint="eastAsia" w:ascii="宋体" w:hAnsi="宋体" w:eastAsia="宋体" w:cs="宋体"/>
                <w:b w:val="0"/>
                <w:bCs w:val="0"/>
                <w:sz w:val="21"/>
                <w:szCs w:val="21"/>
                <w:highlight w:val="none"/>
              </w:rPr>
              <w:t>（在处罚决定规定的时间和地域范围内）（详见财库[2016]125号）</w:t>
            </w:r>
            <w:r>
              <w:rPr>
                <w:rFonts w:hint="eastAsia" w:ascii="宋体" w:hAnsi="宋体" w:eastAsia="宋体" w:cs="宋体"/>
                <w:b w:val="0"/>
                <w:bCs w:val="0"/>
                <w:sz w:val="21"/>
                <w:szCs w:val="21"/>
                <w:highlight w:val="none"/>
                <w:lang w:eastAsia="zh-CN"/>
              </w:rPr>
              <w:t>，</w:t>
            </w:r>
            <w:r>
              <w:rPr>
                <w:rFonts w:hint="eastAsia" w:ascii="宋体" w:hAnsi="宋体" w:eastAsia="宋体" w:cs="宋体"/>
                <w:b w:val="0"/>
                <w:bCs w:val="0"/>
                <w:sz w:val="21"/>
                <w:szCs w:val="21"/>
                <w:highlight w:val="none"/>
                <w:lang w:val="zh-CN" w:eastAsia="zh-CN"/>
              </w:rPr>
              <w:t>评审时在相关网站查询并打印截图留存。</w:t>
            </w:r>
          </w:p>
          <w:p w14:paraId="412093E4">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rPr>
            </w:pPr>
            <w:r>
              <w:rPr>
                <w:rFonts w:hint="eastAsia" w:ascii="宋体" w:hAnsi="宋体" w:eastAsia="宋体" w:cs="宋体"/>
                <w:b w:val="0"/>
                <w:bCs w:val="0"/>
                <w:color w:val="000000"/>
                <w:sz w:val="21"/>
                <w:szCs w:val="21"/>
                <w:highlight w:val="none"/>
              </w:rPr>
              <w:t>投标文件内附：第1、2、3项由法定代表人或授权代表签字或盖章并加盖公章的承诺书。</w:t>
            </w:r>
          </w:p>
        </w:tc>
      </w:tr>
      <w:tr w14:paraId="0C8C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391" w:type="pct"/>
            <w:vAlign w:val="center"/>
          </w:tcPr>
          <w:p w14:paraId="39E2FD8C">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6</w:t>
            </w:r>
          </w:p>
        </w:tc>
        <w:tc>
          <w:tcPr>
            <w:tcW w:w="1594" w:type="dxa"/>
            <w:vAlign w:val="center"/>
          </w:tcPr>
          <w:p w14:paraId="06302A0C">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sz w:val="21"/>
                <w:szCs w:val="21"/>
                <w:highlight w:val="none"/>
              </w:rPr>
            </w:pPr>
            <w:r>
              <w:rPr>
                <w:rFonts w:hint="eastAsia" w:ascii="宋体" w:hAnsi="宋体" w:eastAsia="宋体" w:cs="宋体"/>
                <w:b w:val="0"/>
                <w:bCs w:val="0"/>
                <w:sz w:val="21"/>
                <w:szCs w:val="21"/>
                <w:highlight w:val="none"/>
              </w:rPr>
              <w:t>授权委托书</w:t>
            </w:r>
          </w:p>
        </w:tc>
        <w:tc>
          <w:tcPr>
            <w:tcW w:w="7199" w:type="dxa"/>
            <w:vAlign w:val="center"/>
          </w:tcPr>
          <w:p w14:paraId="300719E3">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color w:val="000000"/>
                <w:sz w:val="21"/>
                <w:szCs w:val="21"/>
                <w:highlight w:val="none"/>
              </w:rPr>
            </w:pPr>
            <w:r>
              <w:rPr>
                <w:rFonts w:hint="eastAsia" w:ascii="宋体" w:hAnsi="宋体" w:eastAsia="宋体" w:cs="宋体"/>
                <w:b w:val="0"/>
                <w:bCs w:val="0"/>
                <w:sz w:val="21"/>
                <w:szCs w:val="21"/>
                <w:highlight w:val="none"/>
                <w:lang w:val="zh-CN"/>
              </w:rPr>
              <w:t>企业法定代表人授权委托书(非法定代表人亲自投标时提供)。</w:t>
            </w:r>
          </w:p>
        </w:tc>
      </w:tr>
      <w:tr w14:paraId="27C90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91" w:type="pct"/>
            <w:vAlign w:val="center"/>
          </w:tcPr>
          <w:p w14:paraId="5E8A3A09">
            <w:pPr>
              <w:keepNext w:val="0"/>
              <w:keepLines w:val="0"/>
              <w:widowControl/>
              <w:suppressLineNumbers w:val="0"/>
              <w:autoSpaceDE w:val="0"/>
              <w:autoSpaceDN w:val="0"/>
              <w:adjustRightInd w:val="0"/>
              <w:spacing w:before="0" w:beforeAutospacing="0" w:after="0" w:afterAutospacing="0" w:line="288" w:lineRule="auto"/>
              <w:ind w:left="0" w:right="0"/>
              <w:jc w:val="center"/>
              <w:rPr>
                <w:rFonts w:hint="eastAsia" w:ascii="宋体" w:hAnsi="宋体" w:eastAsia="宋体" w:cs="宋体"/>
                <w:b w:val="0"/>
                <w:bCs w:val="0"/>
                <w:sz w:val="21"/>
                <w:szCs w:val="21"/>
                <w:highlight w:val="none"/>
                <w:lang w:val="en-US" w:eastAsia="zh-CN"/>
              </w:rPr>
            </w:pPr>
            <w:r>
              <w:rPr>
                <w:rFonts w:hint="eastAsia" w:ascii="宋体" w:hAnsi="宋体" w:eastAsia="宋体" w:cs="宋体"/>
                <w:b w:val="0"/>
                <w:bCs w:val="0"/>
                <w:sz w:val="21"/>
                <w:szCs w:val="21"/>
                <w:highlight w:val="none"/>
                <w:lang w:val="en-US" w:eastAsia="zh-CN"/>
              </w:rPr>
              <w:t>7</w:t>
            </w:r>
          </w:p>
        </w:tc>
        <w:tc>
          <w:tcPr>
            <w:tcW w:w="835" w:type="pct"/>
            <w:shd w:val="clear" w:color="auto" w:fill="auto"/>
            <w:vAlign w:val="center"/>
          </w:tcPr>
          <w:p w14:paraId="484B1882">
            <w:pPr>
              <w:keepNext w:val="0"/>
              <w:keepLines w:val="0"/>
              <w:widowControl/>
              <w:suppressLineNumbers w:val="0"/>
              <w:spacing w:before="0" w:beforeAutospacing="0" w:after="0" w:afterAutospacing="0"/>
              <w:ind w:left="0" w:right="0"/>
              <w:jc w:val="center"/>
              <w:rPr>
                <w:rFonts w:hint="eastAsia" w:ascii="宋体" w:hAnsi="宋体" w:eastAsia="宋体" w:cs="宋体"/>
                <w:b w:val="0"/>
                <w:bCs w:val="0"/>
                <w:sz w:val="21"/>
                <w:szCs w:val="21"/>
                <w:highlight w:val="none"/>
                <w:lang w:val="en-US" w:eastAsia="zh-CN" w:bidi="ar-SA"/>
              </w:rPr>
            </w:pPr>
            <w:r>
              <w:rPr>
                <w:rFonts w:hint="eastAsia" w:ascii="宋体" w:hAnsi="宋体" w:eastAsia="宋体" w:cs="宋体"/>
                <w:b w:val="0"/>
                <w:bCs w:val="0"/>
                <w:sz w:val="21"/>
                <w:szCs w:val="21"/>
                <w:highlight w:val="none"/>
              </w:rPr>
              <w:t>中小企业声明函</w:t>
            </w:r>
          </w:p>
        </w:tc>
        <w:tc>
          <w:tcPr>
            <w:tcW w:w="3772" w:type="pct"/>
            <w:shd w:val="clear" w:color="auto" w:fill="auto"/>
            <w:vAlign w:val="center"/>
          </w:tcPr>
          <w:p w14:paraId="3AE17A7F">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本项目为专门面向中小企业采购项目，</w:t>
            </w:r>
            <w:r>
              <w:rPr>
                <w:rFonts w:hint="eastAsia" w:ascii="宋体" w:hAnsi="宋体" w:eastAsia="宋体" w:cs="宋体"/>
                <w:b w:val="0"/>
                <w:bCs w:val="0"/>
                <w:sz w:val="21"/>
                <w:szCs w:val="21"/>
                <w:highlight w:val="none"/>
                <w:lang w:val="en-US" w:eastAsia="zh-CN"/>
              </w:rPr>
              <w:t>投标人</w:t>
            </w:r>
            <w:r>
              <w:rPr>
                <w:rFonts w:hint="eastAsia" w:ascii="宋体" w:hAnsi="宋体" w:eastAsia="宋体" w:cs="宋体"/>
                <w:b w:val="0"/>
                <w:bCs w:val="0"/>
                <w:sz w:val="21"/>
                <w:szCs w:val="21"/>
                <w:highlight w:val="none"/>
                <w:lang w:val="zh-CN"/>
              </w:rPr>
              <w:t>需提供中小企业声明函原件（声明函原件附在投标文件正本中，格式参照《政府采购促进中小企业发展管理办法》（财库[2020]46号）中小企业声明函格式出具）。</w:t>
            </w:r>
          </w:p>
          <w:p w14:paraId="32A2D63C">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sz w:val="21"/>
                <w:szCs w:val="21"/>
                <w:highlight w:val="none"/>
                <w:lang w:val="zh-CN"/>
              </w:rPr>
            </w:pPr>
            <w:r>
              <w:rPr>
                <w:rFonts w:hint="eastAsia" w:ascii="宋体" w:hAnsi="宋体" w:eastAsia="宋体" w:cs="宋体"/>
                <w:b w:val="0"/>
                <w:bCs w:val="0"/>
                <w:sz w:val="21"/>
                <w:szCs w:val="21"/>
                <w:highlight w:val="none"/>
                <w:lang w:val="zh-CN"/>
              </w:rPr>
              <w:t>备注：根据《财政部司法部关于政府采购支持监狱企业发展有关问题的通知》及《关于促进残疾人就业政府采购政策的通知》（财库〔2017〕141号）文件规定，在政府采购活动中，监狱企业、残疾人福利性单位视同小型、微型企业，监狱企业应当提供由省级以上监狱管理局、戒毒管理局(含新疆生产建设兵团)出具的属于监狱企业的证明文件。残疾人福利性单位执行财库〔2017〕141号文件规定。</w:t>
            </w:r>
          </w:p>
          <w:p w14:paraId="17733A33">
            <w:pPr>
              <w:keepNext w:val="0"/>
              <w:keepLines w:val="0"/>
              <w:pageBreakBefore w:val="0"/>
              <w:widowControl/>
              <w:suppressLineNumbers w:val="0"/>
              <w:kinsoku/>
              <w:wordWrap/>
              <w:overflowPunct/>
              <w:topLinePunct w:val="0"/>
              <w:bidi w:val="0"/>
              <w:adjustRightInd/>
              <w:snapToGrid/>
              <w:spacing w:before="0" w:beforeAutospacing="0" w:after="0" w:afterAutospacing="0" w:line="280" w:lineRule="exact"/>
              <w:ind w:left="0" w:right="0"/>
              <w:jc w:val="both"/>
              <w:textAlignment w:val="auto"/>
              <w:rPr>
                <w:rFonts w:hint="eastAsia" w:ascii="宋体" w:hAnsi="宋体" w:eastAsia="宋体" w:cs="宋体"/>
                <w:b w:val="0"/>
                <w:bCs w:val="0"/>
                <w:color w:val="000000"/>
                <w:sz w:val="21"/>
                <w:szCs w:val="21"/>
                <w:highlight w:val="none"/>
                <w:lang w:val="en-US" w:eastAsia="zh-CN" w:bidi="ar-SA"/>
              </w:rPr>
            </w:pPr>
            <w:r>
              <w:rPr>
                <w:rFonts w:hint="eastAsia" w:ascii="宋体" w:hAnsi="宋体" w:eastAsia="宋体" w:cs="宋体"/>
                <w:b w:val="0"/>
                <w:bCs w:val="0"/>
                <w:color w:val="000000"/>
                <w:sz w:val="21"/>
                <w:szCs w:val="21"/>
                <w:highlight w:val="none"/>
              </w:rPr>
              <w:t>投标文件内附：</w:t>
            </w:r>
            <w:r>
              <w:rPr>
                <w:rFonts w:hint="eastAsia" w:ascii="宋体" w:hAnsi="宋体" w:eastAsia="宋体" w:cs="宋体"/>
                <w:b w:val="0"/>
                <w:bCs w:val="0"/>
                <w:sz w:val="21"/>
                <w:szCs w:val="21"/>
                <w:highlight w:val="none"/>
              </w:rPr>
              <w:t>声明函原件或证明文件复印件加盖公章</w:t>
            </w:r>
            <w:r>
              <w:rPr>
                <w:rFonts w:hint="eastAsia" w:ascii="宋体" w:hAnsi="宋体" w:cs="宋体"/>
                <w:b w:val="0"/>
                <w:bCs w:val="0"/>
                <w:sz w:val="21"/>
                <w:szCs w:val="21"/>
                <w:highlight w:val="none"/>
                <w:lang w:eastAsia="zh-CN"/>
              </w:rPr>
              <w:t>。</w:t>
            </w:r>
          </w:p>
        </w:tc>
      </w:tr>
    </w:tbl>
    <w:p w14:paraId="01820567">
      <w:pPr>
        <w:rPr>
          <w:rFonts w:ascii="宋体" w:hAnsi="宋体" w:cs="宋体"/>
          <w:b/>
          <w:sz w:val="21"/>
          <w:szCs w:val="21"/>
          <w:highlight w:val="none"/>
        </w:rPr>
      </w:pPr>
      <w:r>
        <w:rPr>
          <w:rFonts w:hint="eastAsia" w:ascii="宋体" w:hAnsi="宋体" w:cs="宋体"/>
          <w:b/>
          <w:sz w:val="21"/>
          <w:szCs w:val="21"/>
          <w:highlight w:val="none"/>
        </w:rPr>
        <w:br w:type="page"/>
      </w:r>
    </w:p>
    <w:p w14:paraId="2F8CFC2F">
      <w:pPr>
        <w:spacing w:line="440" w:lineRule="exact"/>
        <w:jc w:val="both"/>
        <w:rPr>
          <w:rFonts w:ascii="宋体" w:hAnsi="宋体" w:cs="宋体"/>
          <w:b/>
          <w:sz w:val="24"/>
          <w:szCs w:val="24"/>
          <w:highlight w:val="none"/>
        </w:rPr>
      </w:pPr>
      <w:r>
        <w:rPr>
          <w:rFonts w:hint="eastAsia" w:ascii="宋体" w:hAnsi="宋体" w:cs="宋体"/>
          <w:b/>
          <w:sz w:val="24"/>
          <w:szCs w:val="24"/>
          <w:highlight w:val="none"/>
        </w:rPr>
        <w:t>（二）符合性审查</w:t>
      </w:r>
    </w:p>
    <w:tbl>
      <w:tblPr>
        <w:tblStyle w:val="44"/>
        <w:tblW w:w="47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3"/>
        <w:gridCol w:w="2042"/>
        <w:gridCol w:w="6571"/>
      </w:tblGrid>
      <w:tr w14:paraId="1D30E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7737A476">
            <w:pPr>
              <w:keepNext w:val="0"/>
              <w:keepLines w:val="0"/>
              <w:pageBreakBefore w:val="0"/>
              <w:widowControl/>
              <w:suppressLineNumbers w:val="0"/>
              <w:kinsoku/>
              <w:wordWrap/>
              <w:overflowPunct/>
              <w:topLinePunct w:val="0"/>
              <w:autoSpaceDE w:val="0"/>
              <w:autoSpaceDN w:val="0"/>
              <w:bidi w:val="0"/>
              <w:adjustRightInd w:val="0"/>
              <w:spacing w:before="0" w:beforeAutospacing="0" w:after="0" w:afterAutospacing="0" w:line="240" w:lineRule="auto"/>
              <w:ind w:left="0" w:leftChars="0" w:right="0" w:rightChars="0"/>
              <w:jc w:val="center"/>
              <w:rPr>
                <w:rFonts w:hint="eastAsia" w:ascii="宋体" w:hAnsi="宋体" w:eastAsia="宋体" w:cs="宋体"/>
                <w:bCs/>
                <w:sz w:val="21"/>
                <w:szCs w:val="21"/>
                <w:highlight w:val="none"/>
                <w:lang w:val="zh-CN" w:eastAsia="zh-CN" w:bidi="ar-SA"/>
              </w:rPr>
            </w:pPr>
            <w:r>
              <w:rPr>
                <w:rFonts w:hint="eastAsia" w:ascii="宋体" w:hAnsi="宋体" w:eastAsia="宋体" w:cs="宋体"/>
                <w:bCs/>
                <w:sz w:val="21"/>
                <w:szCs w:val="21"/>
                <w:highlight w:val="none"/>
                <w:lang w:val="zh-CN"/>
              </w:rPr>
              <w:t>序号</w:t>
            </w:r>
          </w:p>
        </w:tc>
        <w:tc>
          <w:tcPr>
            <w:tcW w:w="1092" w:type="pct"/>
            <w:vAlign w:val="center"/>
          </w:tcPr>
          <w:p w14:paraId="542C3F87">
            <w:pPr>
              <w:keepNext w:val="0"/>
              <w:keepLines w:val="0"/>
              <w:pageBreakBefore w:val="0"/>
              <w:widowControl/>
              <w:suppressLineNumbers w:val="0"/>
              <w:kinsoku/>
              <w:wordWrap/>
              <w:overflowPunct/>
              <w:topLinePunct w:val="0"/>
              <w:autoSpaceDE w:val="0"/>
              <w:autoSpaceDN w:val="0"/>
              <w:bidi w:val="0"/>
              <w:adjustRightInd w:val="0"/>
              <w:spacing w:before="0" w:beforeAutospacing="0" w:after="0" w:afterAutospacing="0" w:line="240" w:lineRule="auto"/>
              <w:ind w:left="0" w:leftChars="0" w:right="0" w:rightChars="0"/>
              <w:jc w:val="center"/>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评审因素</w:t>
            </w:r>
          </w:p>
        </w:tc>
        <w:tc>
          <w:tcPr>
            <w:tcW w:w="3514" w:type="pct"/>
            <w:vAlign w:val="center"/>
          </w:tcPr>
          <w:p w14:paraId="6906EBE9">
            <w:pPr>
              <w:keepNext w:val="0"/>
              <w:keepLines w:val="0"/>
              <w:pageBreakBefore w:val="0"/>
              <w:widowControl/>
              <w:suppressLineNumbers w:val="0"/>
              <w:kinsoku/>
              <w:wordWrap/>
              <w:overflowPunct/>
              <w:topLinePunct w:val="0"/>
              <w:autoSpaceDE w:val="0"/>
              <w:autoSpaceDN w:val="0"/>
              <w:bidi w:val="0"/>
              <w:adjustRightInd w:val="0"/>
              <w:spacing w:before="0" w:beforeAutospacing="0" w:after="0" w:afterAutospacing="0" w:line="240" w:lineRule="auto"/>
              <w:ind w:left="0" w:leftChars="0" w:right="0" w:rightChars="0"/>
              <w:jc w:val="center"/>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zh-CN"/>
              </w:rPr>
              <w:t>评审标准</w:t>
            </w:r>
          </w:p>
        </w:tc>
      </w:tr>
      <w:tr w14:paraId="0E8EA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4E4123F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zh-CN" w:eastAsia="zh-CN" w:bidi="ar-SA"/>
              </w:rPr>
            </w:pPr>
            <w:r>
              <w:rPr>
                <w:rFonts w:hint="eastAsia" w:ascii="宋体" w:hAnsi="宋体" w:eastAsia="宋体" w:cs="宋体"/>
                <w:bCs/>
                <w:snapToGrid w:val="0"/>
                <w:sz w:val="21"/>
                <w:szCs w:val="21"/>
                <w:highlight w:val="none"/>
              </w:rPr>
              <w:t>1</w:t>
            </w:r>
          </w:p>
        </w:tc>
        <w:tc>
          <w:tcPr>
            <w:tcW w:w="1092" w:type="pct"/>
            <w:vAlign w:val="center"/>
          </w:tcPr>
          <w:p w14:paraId="69A50282">
            <w:pPr>
              <w:keepNext w:val="0"/>
              <w:keepLines w:val="0"/>
              <w:widowControl/>
              <w:suppressLineNumbers w:val="0"/>
              <w:spacing w:before="0" w:beforeAutospacing="0" w:after="0" w:afterAutospacing="0"/>
              <w:ind w:left="0" w:right="0"/>
              <w:jc w:val="center"/>
              <w:rPr>
                <w:rFonts w:hint="eastAsia" w:ascii="宋体" w:hAnsi="宋体" w:eastAsia="宋体" w:cs="宋体"/>
                <w:bCs/>
                <w:sz w:val="21"/>
                <w:szCs w:val="21"/>
                <w:highlight w:val="none"/>
                <w:lang w:val="zh-CN"/>
              </w:rPr>
            </w:pPr>
            <w:r>
              <w:rPr>
                <w:rFonts w:hint="eastAsia" w:ascii="宋体" w:hAnsi="宋体" w:eastAsia="宋体" w:cs="宋体"/>
                <w:sz w:val="21"/>
                <w:szCs w:val="21"/>
                <w:highlight w:val="none"/>
                <w:lang w:val="en-US" w:eastAsia="zh-CN"/>
              </w:rPr>
              <w:t>技术暗标</w:t>
            </w:r>
          </w:p>
        </w:tc>
        <w:tc>
          <w:tcPr>
            <w:tcW w:w="3514" w:type="pct"/>
            <w:vAlign w:val="center"/>
          </w:tcPr>
          <w:p w14:paraId="025418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响应文件技术标必须遵守的统一格式和规范。</w:t>
            </w:r>
          </w:p>
          <w:p w14:paraId="18337E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技术标文件（暗标）未按以下“盲评”要求制作的，为无效投标，除下述要求外，不得因暗标格式问题认定为无效投标：</w:t>
            </w:r>
          </w:p>
          <w:p w14:paraId="6BDE0C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1.版面要求：A4纸张大小；</w:t>
            </w:r>
          </w:p>
          <w:p w14:paraId="4CAAAC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2.颜色要求：所有文字、图、表均为黑色；</w:t>
            </w:r>
          </w:p>
          <w:p w14:paraId="6F3091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3.字体要求：标题及正文部分所用文字均采用“宋体”四号“常规”字；所有字体均不得出现加粗、加色、倾斜、下划线等标记；</w:t>
            </w:r>
          </w:p>
          <w:p w14:paraId="7B7226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7031B4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 w:val="0"/>
                <w:bCs/>
                <w:color w:val="auto"/>
                <w:kern w:val="0"/>
                <w:sz w:val="21"/>
                <w:szCs w:val="21"/>
                <w:highlight w:val="none"/>
                <w:lang w:val="zh-CN" w:bidi="zh-CN"/>
              </w:rPr>
            </w:pPr>
            <w:r>
              <w:rPr>
                <w:rFonts w:hint="eastAsia" w:ascii="宋体" w:hAnsi="宋体" w:eastAsia="宋体" w:cs="宋体"/>
                <w:b w:val="0"/>
                <w:bCs/>
                <w:color w:val="auto"/>
                <w:kern w:val="0"/>
                <w:sz w:val="21"/>
                <w:szCs w:val="21"/>
                <w:highlight w:val="none"/>
                <w:lang w:val="zh-CN" w:bidi="zh-CN"/>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4BD3B4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right="0"/>
              <w:jc w:val="left"/>
              <w:textAlignment w:val="auto"/>
              <w:rPr>
                <w:rFonts w:hint="eastAsia" w:ascii="宋体" w:hAnsi="宋体" w:eastAsia="宋体" w:cs="宋体"/>
                <w:bCs/>
                <w:sz w:val="21"/>
                <w:szCs w:val="21"/>
                <w:highlight w:val="none"/>
                <w:lang w:val="zh-CN"/>
              </w:rPr>
            </w:pPr>
            <w:r>
              <w:rPr>
                <w:rFonts w:hint="eastAsia" w:ascii="宋体" w:hAnsi="宋体" w:eastAsia="宋体" w:cs="宋体"/>
                <w:b w:val="0"/>
                <w:bCs/>
                <w:color w:val="auto"/>
                <w:kern w:val="0"/>
                <w:sz w:val="21"/>
                <w:szCs w:val="21"/>
                <w:highlight w:val="none"/>
                <w:lang w:val="zh-CN" w:bidi="zh-CN"/>
              </w:rPr>
              <w:t>6.其它：除满足上述各项要求外，构成投标文件的“技术暗标”的正文中均不得出现</w:t>
            </w:r>
            <w:r>
              <w:rPr>
                <w:rFonts w:hint="eastAsia" w:ascii="宋体" w:hAnsi="宋体" w:eastAsia="宋体" w:cs="宋体"/>
                <w:b w:val="0"/>
                <w:bCs/>
                <w:color w:val="auto"/>
                <w:kern w:val="0"/>
                <w:sz w:val="21"/>
                <w:szCs w:val="21"/>
                <w:highlight w:val="none"/>
                <w:lang w:val="en-US" w:bidi="zh-CN"/>
              </w:rPr>
              <w:t>投标人</w:t>
            </w:r>
            <w:r>
              <w:rPr>
                <w:rFonts w:hint="eastAsia" w:ascii="宋体" w:hAnsi="宋体" w:eastAsia="宋体" w:cs="宋体"/>
                <w:b w:val="0"/>
                <w:bCs/>
                <w:color w:val="auto"/>
                <w:kern w:val="0"/>
                <w:sz w:val="21"/>
                <w:szCs w:val="21"/>
                <w:highlight w:val="none"/>
                <w:lang w:val="zh-CN" w:bidi="zh-CN"/>
              </w:rPr>
              <w:t>的名称和其它可识别</w:t>
            </w:r>
            <w:r>
              <w:rPr>
                <w:rFonts w:hint="eastAsia" w:ascii="宋体" w:hAnsi="宋体" w:eastAsia="宋体" w:cs="宋体"/>
                <w:b w:val="0"/>
                <w:bCs/>
                <w:color w:val="auto"/>
                <w:kern w:val="0"/>
                <w:sz w:val="21"/>
                <w:szCs w:val="21"/>
                <w:highlight w:val="none"/>
                <w:lang w:val="en-US" w:bidi="zh-CN"/>
              </w:rPr>
              <w:t>投标人</w:t>
            </w:r>
            <w:r>
              <w:rPr>
                <w:rFonts w:hint="eastAsia" w:ascii="宋体" w:hAnsi="宋体" w:eastAsia="宋体" w:cs="宋体"/>
                <w:b w:val="0"/>
                <w:bCs/>
                <w:color w:val="auto"/>
                <w:kern w:val="0"/>
                <w:sz w:val="21"/>
                <w:szCs w:val="21"/>
                <w:highlight w:val="none"/>
                <w:lang w:val="zh-CN" w:bidi="zh-CN"/>
              </w:rPr>
              <w:t>身份的字符、徽标、人员名称以及其他可能被辨别出</w:t>
            </w:r>
            <w:r>
              <w:rPr>
                <w:rFonts w:hint="eastAsia" w:ascii="宋体" w:hAnsi="宋体" w:eastAsia="宋体" w:cs="宋体"/>
                <w:b w:val="0"/>
                <w:bCs/>
                <w:color w:val="auto"/>
                <w:kern w:val="0"/>
                <w:sz w:val="21"/>
                <w:szCs w:val="21"/>
                <w:highlight w:val="none"/>
                <w:lang w:val="en-US" w:bidi="zh-CN"/>
              </w:rPr>
              <w:t>投标人</w:t>
            </w:r>
            <w:r>
              <w:rPr>
                <w:rFonts w:hint="eastAsia" w:ascii="宋体" w:hAnsi="宋体" w:eastAsia="宋体" w:cs="宋体"/>
                <w:b w:val="0"/>
                <w:bCs/>
                <w:color w:val="auto"/>
                <w:kern w:val="0"/>
                <w:sz w:val="21"/>
                <w:szCs w:val="21"/>
                <w:highlight w:val="none"/>
                <w:lang w:val="zh-CN" w:bidi="zh-CN"/>
              </w:rPr>
              <w:t>身份的任何标记。</w:t>
            </w:r>
          </w:p>
        </w:tc>
      </w:tr>
      <w:tr w14:paraId="31216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6E68CAD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2</w:t>
            </w:r>
          </w:p>
        </w:tc>
        <w:tc>
          <w:tcPr>
            <w:tcW w:w="1092" w:type="pct"/>
            <w:vAlign w:val="center"/>
          </w:tcPr>
          <w:p w14:paraId="0BC7FD2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投标人名称</w:t>
            </w:r>
          </w:p>
        </w:tc>
        <w:tc>
          <w:tcPr>
            <w:tcW w:w="3514" w:type="pct"/>
            <w:vAlign w:val="center"/>
          </w:tcPr>
          <w:p w14:paraId="6B05D33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lang w:val="en-US" w:eastAsia="zh-CN"/>
              </w:rPr>
              <w:t>投标人</w:t>
            </w:r>
            <w:r>
              <w:rPr>
                <w:rFonts w:hint="eastAsia" w:ascii="宋体" w:hAnsi="宋体" w:eastAsia="宋体" w:cs="宋体"/>
                <w:bCs/>
                <w:snapToGrid w:val="0"/>
                <w:sz w:val="21"/>
                <w:szCs w:val="21"/>
                <w:highlight w:val="none"/>
              </w:rPr>
              <w:t>名称与营业执照名称一致</w:t>
            </w:r>
          </w:p>
        </w:tc>
      </w:tr>
      <w:tr w14:paraId="20800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6F93B80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3</w:t>
            </w:r>
          </w:p>
        </w:tc>
        <w:tc>
          <w:tcPr>
            <w:tcW w:w="1092" w:type="pct"/>
            <w:shd w:val="clear" w:color="auto" w:fill="auto"/>
            <w:vAlign w:val="center"/>
          </w:tcPr>
          <w:p w14:paraId="7DC0CBA0">
            <w:pPr>
              <w:keepNext w:val="0"/>
              <w:keepLines w:val="0"/>
              <w:widowControl/>
              <w:suppressLineNumbers w:val="0"/>
              <w:autoSpaceDE w:val="0"/>
              <w:autoSpaceDN w:val="0"/>
              <w:spacing w:before="0" w:beforeAutospacing="0" w:after="0" w:afterAutospacing="0" w:line="400" w:lineRule="exact"/>
              <w:ind w:left="100" w:leftChars="50" w:right="100" w:rightChars="50"/>
              <w:contextualSpacing/>
              <w:jc w:val="center"/>
              <w:rPr>
                <w:rFonts w:hint="eastAsia" w:ascii="宋体" w:hAnsi="宋体" w:eastAsia="宋体" w:cs="宋体"/>
                <w:bCs/>
                <w:snapToGrid w:val="0"/>
                <w:sz w:val="21"/>
                <w:szCs w:val="21"/>
                <w:highlight w:val="none"/>
                <w:lang w:val="en-US" w:eastAsia="zh-CN" w:bidi="ar-SA"/>
              </w:rPr>
            </w:pPr>
            <w:r>
              <w:rPr>
                <w:rFonts w:hint="eastAsia" w:ascii="宋体" w:hAnsi="宋体" w:eastAsia="宋体" w:cs="宋体"/>
                <w:kern w:val="0"/>
                <w:sz w:val="21"/>
                <w:szCs w:val="21"/>
                <w:lang w:val="en-US" w:bidi="zh-CN"/>
              </w:rPr>
              <w:t>投标</w:t>
            </w:r>
            <w:r>
              <w:rPr>
                <w:rFonts w:hint="eastAsia" w:ascii="宋体" w:hAnsi="宋体" w:eastAsia="宋体" w:cs="宋体"/>
                <w:kern w:val="0"/>
                <w:sz w:val="21"/>
                <w:szCs w:val="21"/>
                <w:lang w:val="zh-CN" w:bidi="zh-CN"/>
              </w:rPr>
              <w:t>文件格式</w:t>
            </w:r>
          </w:p>
        </w:tc>
        <w:tc>
          <w:tcPr>
            <w:tcW w:w="3514" w:type="pct"/>
            <w:shd w:val="clear" w:color="auto" w:fill="auto"/>
            <w:vAlign w:val="center"/>
          </w:tcPr>
          <w:p w14:paraId="07050E14">
            <w:pPr>
              <w:keepNext w:val="0"/>
              <w:keepLines w:val="0"/>
              <w:widowControl/>
              <w:suppressLineNumbers w:val="0"/>
              <w:autoSpaceDE w:val="0"/>
              <w:autoSpaceDN w:val="0"/>
              <w:spacing w:before="0" w:beforeAutospacing="0" w:after="0" w:afterAutospacing="0" w:line="400" w:lineRule="exact"/>
              <w:ind w:left="100" w:leftChars="50" w:right="100" w:rightChars="50"/>
              <w:contextualSpacing/>
              <w:rPr>
                <w:rFonts w:hint="eastAsia" w:ascii="宋体" w:hAnsi="宋体" w:eastAsia="宋体" w:cs="宋体"/>
                <w:bCs/>
                <w:snapToGrid w:val="0"/>
                <w:sz w:val="21"/>
                <w:szCs w:val="21"/>
                <w:highlight w:val="none"/>
                <w:lang w:val="en-US" w:eastAsia="zh-CN" w:bidi="ar-SA"/>
              </w:rPr>
            </w:pPr>
            <w:r>
              <w:rPr>
                <w:rFonts w:hint="eastAsia" w:ascii="宋体" w:hAnsi="宋体" w:eastAsia="宋体" w:cs="宋体"/>
                <w:kern w:val="0"/>
                <w:sz w:val="21"/>
                <w:szCs w:val="21"/>
                <w:lang w:val="zh-CN" w:bidi="zh-CN"/>
              </w:rPr>
              <w:t>符合第</w:t>
            </w:r>
            <w:r>
              <w:rPr>
                <w:rFonts w:hint="eastAsia" w:ascii="宋体" w:hAnsi="宋体" w:eastAsia="宋体" w:cs="宋体"/>
                <w:kern w:val="0"/>
                <w:sz w:val="21"/>
                <w:szCs w:val="21"/>
                <w:lang w:bidi="zh-CN"/>
              </w:rPr>
              <w:t>六</w:t>
            </w:r>
            <w:r>
              <w:rPr>
                <w:rFonts w:hint="eastAsia" w:ascii="宋体" w:hAnsi="宋体" w:eastAsia="宋体" w:cs="宋体"/>
                <w:kern w:val="0"/>
                <w:sz w:val="21"/>
                <w:szCs w:val="21"/>
                <w:lang w:val="zh-CN" w:bidi="zh-CN"/>
              </w:rPr>
              <w:t>章“</w:t>
            </w:r>
            <w:r>
              <w:rPr>
                <w:rFonts w:hint="eastAsia" w:ascii="宋体" w:hAnsi="宋体" w:eastAsia="宋体" w:cs="宋体"/>
                <w:kern w:val="0"/>
                <w:sz w:val="21"/>
                <w:szCs w:val="21"/>
                <w:lang w:val="en-US" w:bidi="zh-CN"/>
              </w:rPr>
              <w:t>投标</w:t>
            </w:r>
            <w:r>
              <w:rPr>
                <w:rFonts w:hint="eastAsia" w:ascii="宋体" w:hAnsi="宋体" w:eastAsia="宋体" w:cs="宋体"/>
                <w:kern w:val="0"/>
                <w:sz w:val="21"/>
                <w:szCs w:val="21"/>
                <w:lang w:val="zh-CN" w:bidi="zh-CN"/>
              </w:rPr>
              <w:t>文件格式</w:t>
            </w:r>
            <w:r>
              <w:rPr>
                <w:rFonts w:hint="eastAsia" w:ascii="宋体" w:hAnsi="宋体" w:eastAsia="宋体" w:cs="宋体"/>
                <w:i/>
                <w:kern w:val="0"/>
                <w:sz w:val="21"/>
                <w:szCs w:val="21"/>
                <w:lang w:val="zh-CN" w:bidi="zh-CN"/>
              </w:rPr>
              <w:t>”</w:t>
            </w:r>
            <w:r>
              <w:rPr>
                <w:rFonts w:hint="eastAsia" w:ascii="宋体" w:hAnsi="宋体" w:eastAsia="宋体" w:cs="宋体"/>
                <w:kern w:val="0"/>
                <w:sz w:val="21"/>
                <w:szCs w:val="21"/>
                <w:lang w:val="zh-CN" w:bidi="zh-CN"/>
              </w:rPr>
              <w:t>的规定</w:t>
            </w:r>
          </w:p>
        </w:tc>
      </w:tr>
      <w:tr w14:paraId="45FE0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6179CCE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4</w:t>
            </w:r>
          </w:p>
        </w:tc>
        <w:tc>
          <w:tcPr>
            <w:tcW w:w="1092" w:type="pct"/>
            <w:vAlign w:val="center"/>
          </w:tcPr>
          <w:p w14:paraId="5530BA8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投标文件的签署</w:t>
            </w:r>
          </w:p>
        </w:tc>
        <w:tc>
          <w:tcPr>
            <w:tcW w:w="3514" w:type="pct"/>
            <w:vAlign w:val="center"/>
          </w:tcPr>
          <w:p w14:paraId="3300E45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投标文件的签署及填写符合招标文件的要求</w:t>
            </w:r>
          </w:p>
        </w:tc>
      </w:tr>
      <w:tr w14:paraId="65F88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3366BB71">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5</w:t>
            </w:r>
          </w:p>
        </w:tc>
        <w:tc>
          <w:tcPr>
            <w:tcW w:w="1092" w:type="pct"/>
            <w:vAlign w:val="center"/>
          </w:tcPr>
          <w:p w14:paraId="7465ABD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投标保证金</w:t>
            </w:r>
          </w:p>
        </w:tc>
        <w:tc>
          <w:tcPr>
            <w:tcW w:w="3514" w:type="pct"/>
            <w:vAlign w:val="center"/>
          </w:tcPr>
          <w:p w14:paraId="2C7BD01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按照招标文件的规定提供投标保证金</w:t>
            </w:r>
          </w:p>
        </w:tc>
      </w:tr>
      <w:tr w14:paraId="4A672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3285CC1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6</w:t>
            </w:r>
          </w:p>
        </w:tc>
        <w:tc>
          <w:tcPr>
            <w:tcW w:w="1092" w:type="pct"/>
            <w:vAlign w:val="center"/>
          </w:tcPr>
          <w:p w14:paraId="2A66DE17">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投标有效期</w:t>
            </w:r>
          </w:p>
        </w:tc>
        <w:tc>
          <w:tcPr>
            <w:tcW w:w="3514" w:type="pct"/>
            <w:tcBorders>
              <w:bottom w:val="single" w:color="auto" w:sz="4" w:space="0"/>
            </w:tcBorders>
            <w:vAlign w:val="center"/>
          </w:tcPr>
          <w:p w14:paraId="5D8E29B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投标有效期满足招标文件要求</w:t>
            </w:r>
          </w:p>
        </w:tc>
      </w:tr>
      <w:tr w14:paraId="5D7D8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tcBorders>
              <w:bottom w:val="single" w:color="auto" w:sz="4" w:space="0"/>
            </w:tcBorders>
            <w:shd w:val="clear" w:color="auto" w:fill="auto"/>
            <w:vAlign w:val="center"/>
          </w:tcPr>
          <w:p w14:paraId="5221FF4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7</w:t>
            </w:r>
          </w:p>
        </w:tc>
        <w:tc>
          <w:tcPr>
            <w:tcW w:w="1092" w:type="pct"/>
            <w:tcBorders>
              <w:bottom w:val="single" w:color="auto" w:sz="4" w:space="0"/>
            </w:tcBorders>
            <w:vAlign w:val="center"/>
          </w:tcPr>
          <w:p w14:paraId="10C0E2B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合同履行期限</w:t>
            </w:r>
          </w:p>
        </w:tc>
        <w:tc>
          <w:tcPr>
            <w:tcW w:w="3514" w:type="pct"/>
            <w:tcBorders>
              <w:bottom w:val="single" w:color="auto" w:sz="4" w:space="0"/>
            </w:tcBorders>
            <w:vAlign w:val="center"/>
          </w:tcPr>
          <w:p w14:paraId="6F94964B">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合同履行期限满足招标文件要求</w:t>
            </w:r>
          </w:p>
        </w:tc>
      </w:tr>
      <w:tr w14:paraId="1B904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0873D692">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8</w:t>
            </w:r>
          </w:p>
        </w:tc>
        <w:tc>
          <w:tcPr>
            <w:tcW w:w="1092" w:type="pct"/>
            <w:vAlign w:val="center"/>
          </w:tcPr>
          <w:p w14:paraId="4F03D194">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sz w:val="21"/>
                <w:szCs w:val="21"/>
                <w:highlight w:val="none"/>
              </w:rPr>
              <w:t>质量标准</w:t>
            </w:r>
          </w:p>
        </w:tc>
        <w:tc>
          <w:tcPr>
            <w:tcW w:w="3514" w:type="pct"/>
            <w:vAlign w:val="center"/>
          </w:tcPr>
          <w:p w14:paraId="1FA912AD">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sz w:val="21"/>
                <w:szCs w:val="21"/>
                <w:highlight w:val="none"/>
              </w:rPr>
              <w:t>符合国家及相关行业合格标准</w:t>
            </w:r>
          </w:p>
        </w:tc>
      </w:tr>
      <w:tr w14:paraId="02F4B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731CF33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rPr>
              <w:t>9</w:t>
            </w:r>
          </w:p>
        </w:tc>
        <w:tc>
          <w:tcPr>
            <w:tcW w:w="1092" w:type="pct"/>
            <w:shd w:val="clear" w:color="auto" w:fill="auto"/>
            <w:vAlign w:val="center"/>
          </w:tcPr>
          <w:p w14:paraId="2A7A0653">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rPr>
              <w:t>投标报价</w:t>
            </w:r>
          </w:p>
        </w:tc>
        <w:tc>
          <w:tcPr>
            <w:tcW w:w="3514" w:type="pct"/>
            <w:shd w:val="clear" w:color="auto" w:fill="auto"/>
            <w:vAlign w:val="center"/>
          </w:tcPr>
          <w:p w14:paraId="41A592FC">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both"/>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rPr>
              <w:t>投标报价不超过</w:t>
            </w:r>
            <w:r>
              <w:rPr>
                <w:rFonts w:hint="eastAsia" w:ascii="宋体" w:hAnsi="宋体" w:eastAsia="宋体" w:cs="宋体"/>
                <w:bCs/>
                <w:sz w:val="21"/>
                <w:szCs w:val="21"/>
                <w:highlight w:val="none"/>
                <w:lang w:val="zh-CN"/>
              </w:rPr>
              <w:t>预算金额或最高限价</w:t>
            </w:r>
          </w:p>
        </w:tc>
      </w:tr>
      <w:tr w14:paraId="51E04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7FEEBB5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rPr>
              <w:t>10</w:t>
            </w:r>
          </w:p>
        </w:tc>
        <w:tc>
          <w:tcPr>
            <w:tcW w:w="1092" w:type="pct"/>
            <w:vAlign w:val="center"/>
          </w:tcPr>
          <w:p w14:paraId="3542B8C8">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采购需求</w:t>
            </w:r>
          </w:p>
        </w:tc>
        <w:tc>
          <w:tcPr>
            <w:tcW w:w="3514" w:type="pct"/>
            <w:vAlign w:val="center"/>
          </w:tcPr>
          <w:p w14:paraId="1E9B549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lang w:eastAsia="zh-CN"/>
              </w:rPr>
            </w:pPr>
            <w:r>
              <w:rPr>
                <w:rFonts w:hint="eastAsia" w:ascii="宋体" w:hAnsi="宋体" w:eastAsia="宋体" w:cs="宋体"/>
                <w:bCs/>
                <w:snapToGrid w:val="0"/>
                <w:sz w:val="21"/>
                <w:szCs w:val="21"/>
                <w:highlight w:val="none"/>
                <w:lang w:val="en-US" w:eastAsia="zh-CN"/>
              </w:rPr>
              <w:t>投标文件完全满足招标文件</w:t>
            </w:r>
            <w:r>
              <w:rPr>
                <w:rFonts w:hint="eastAsia" w:ascii="宋体" w:hAnsi="宋体" w:eastAsia="宋体" w:cs="宋体"/>
                <w:sz w:val="21"/>
                <w:szCs w:val="21"/>
                <w:lang w:eastAsia="zh-CN"/>
              </w:rPr>
              <w:t>采购需求的要求</w:t>
            </w:r>
          </w:p>
        </w:tc>
      </w:tr>
      <w:tr w14:paraId="4B13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21F7B725">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rPr>
              <w:t>11</w:t>
            </w:r>
          </w:p>
        </w:tc>
        <w:tc>
          <w:tcPr>
            <w:tcW w:w="1092" w:type="pct"/>
            <w:vAlign w:val="center"/>
          </w:tcPr>
          <w:p w14:paraId="6C59F9B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投标文件内容</w:t>
            </w:r>
          </w:p>
        </w:tc>
        <w:tc>
          <w:tcPr>
            <w:tcW w:w="3514" w:type="pct"/>
            <w:vAlign w:val="center"/>
          </w:tcPr>
          <w:p w14:paraId="59F8DFC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投标文件关键内容无不全、字迹模糊、无法辨认</w:t>
            </w:r>
          </w:p>
        </w:tc>
      </w:tr>
      <w:tr w14:paraId="71BB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6FA56C0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bidi="ar-SA"/>
              </w:rPr>
              <w:t>12</w:t>
            </w:r>
          </w:p>
        </w:tc>
        <w:tc>
          <w:tcPr>
            <w:tcW w:w="1092" w:type="pct"/>
            <w:vAlign w:val="center"/>
          </w:tcPr>
          <w:p w14:paraId="3BA7B44E">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报价唯一</w:t>
            </w:r>
          </w:p>
        </w:tc>
        <w:tc>
          <w:tcPr>
            <w:tcW w:w="3514" w:type="pct"/>
            <w:vAlign w:val="center"/>
          </w:tcPr>
          <w:p w14:paraId="5474A8B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lang w:val="en-US" w:eastAsia="zh-CN"/>
              </w:rPr>
              <w:t>只能有</w:t>
            </w:r>
            <w:r>
              <w:rPr>
                <w:rFonts w:hint="eastAsia" w:ascii="宋体" w:hAnsi="宋体" w:eastAsia="宋体" w:cs="宋体"/>
                <w:bCs/>
                <w:snapToGrid w:val="0"/>
                <w:sz w:val="21"/>
                <w:szCs w:val="21"/>
                <w:highlight w:val="none"/>
              </w:rPr>
              <w:t>一个有效报价</w:t>
            </w:r>
          </w:p>
        </w:tc>
      </w:tr>
      <w:tr w14:paraId="66F5A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92" w:type="pct"/>
            <w:shd w:val="clear" w:color="auto" w:fill="auto"/>
            <w:vAlign w:val="center"/>
          </w:tcPr>
          <w:p w14:paraId="7C2B5396">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leftChars="0" w:right="0" w:rightChars="0"/>
              <w:jc w:val="center"/>
              <w:textAlignment w:val="baseline"/>
              <w:rPr>
                <w:rFonts w:hint="eastAsia" w:ascii="宋体" w:hAnsi="宋体" w:eastAsia="宋体" w:cs="宋体"/>
                <w:bCs/>
                <w:snapToGrid w:val="0"/>
                <w:sz w:val="21"/>
                <w:szCs w:val="21"/>
                <w:highlight w:val="none"/>
                <w:lang w:val="en-US" w:eastAsia="zh-CN" w:bidi="ar-SA"/>
              </w:rPr>
            </w:pPr>
            <w:r>
              <w:rPr>
                <w:rFonts w:hint="eastAsia" w:ascii="宋体" w:hAnsi="宋体" w:eastAsia="宋体" w:cs="宋体"/>
                <w:bCs/>
                <w:snapToGrid w:val="0"/>
                <w:sz w:val="21"/>
                <w:szCs w:val="21"/>
                <w:highlight w:val="none"/>
                <w:lang w:val="en-US" w:eastAsia="zh-CN" w:bidi="ar-SA"/>
              </w:rPr>
              <w:t>13</w:t>
            </w:r>
          </w:p>
        </w:tc>
        <w:tc>
          <w:tcPr>
            <w:tcW w:w="1092" w:type="pct"/>
            <w:vAlign w:val="center"/>
          </w:tcPr>
          <w:p w14:paraId="3E2F054F">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center"/>
              <w:textAlignment w:val="baseline"/>
              <w:rPr>
                <w:rFonts w:hint="eastAsia" w:ascii="宋体" w:hAnsi="宋体" w:eastAsia="宋体" w:cs="宋体"/>
                <w:bCs/>
                <w:snapToGrid w:val="0"/>
                <w:sz w:val="21"/>
                <w:szCs w:val="21"/>
                <w:highlight w:val="none"/>
                <w:lang w:val="en-US" w:eastAsia="zh-CN"/>
              </w:rPr>
            </w:pPr>
            <w:r>
              <w:rPr>
                <w:rFonts w:hint="eastAsia" w:ascii="宋体" w:hAnsi="宋体" w:eastAsia="宋体" w:cs="宋体"/>
                <w:bCs/>
                <w:snapToGrid w:val="0"/>
                <w:sz w:val="21"/>
                <w:szCs w:val="21"/>
                <w:highlight w:val="none"/>
                <w:lang w:val="en-US" w:eastAsia="zh-CN"/>
              </w:rPr>
              <w:t>其他要求</w:t>
            </w:r>
          </w:p>
        </w:tc>
        <w:tc>
          <w:tcPr>
            <w:tcW w:w="3514" w:type="pct"/>
            <w:vAlign w:val="center"/>
          </w:tcPr>
          <w:p w14:paraId="2B33D89A">
            <w:pPr>
              <w:keepNext w:val="0"/>
              <w:keepLines w:val="0"/>
              <w:pageBreakBefore w:val="0"/>
              <w:widowControl w:val="0"/>
              <w:suppressLineNumbers w:val="0"/>
              <w:kinsoku/>
              <w:wordWrap/>
              <w:overflowPunct/>
              <w:topLinePunct w:val="0"/>
              <w:bidi w:val="0"/>
              <w:adjustRightInd w:val="0"/>
              <w:snapToGrid w:val="0"/>
              <w:spacing w:before="0" w:beforeAutospacing="0" w:after="0" w:afterAutospacing="0" w:line="240" w:lineRule="auto"/>
              <w:ind w:left="0" w:right="0"/>
              <w:jc w:val="both"/>
              <w:textAlignment w:val="baseline"/>
              <w:rPr>
                <w:rFonts w:hint="eastAsia" w:ascii="宋体" w:hAnsi="宋体" w:eastAsia="宋体" w:cs="宋体"/>
                <w:bCs/>
                <w:snapToGrid w:val="0"/>
                <w:sz w:val="21"/>
                <w:szCs w:val="21"/>
                <w:highlight w:val="none"/>
              </w:rPr>
            </w:pPr>
            <w:r>
              <w:rPr>
                <w:rFonts w:hint="eastAsia" w:ascii="宋体" w:hAnsi="宋体" w:eastAsia="宋体" w:cs="宋体"/>
                <w:bCs/>
                <w:snapToGrid w:val="0"/>
                <w:sz w:val="21"/>
                <w:szCs w:val="21"/>
                <w:highlight w:val="none"/>
              </w:rPr>
              <w:t>招标文件规定的其他内容</w:t>
            </w:r>
          </w:p>
        </w:tc>
      </w:tr>
    </w:tbl>
    <w:p w14:paraId="74BCADAD">
      <w:pPr>
        <w:spacing w:line="400" w:lineRule="exact"/>
        <w:rPr>
          <w:rFonts w:ascii="宋体" w:hAnsi="宋体" w:cs="宋体"/>
          <w:b/>
          <w:sz w:val="24"/>
          <w:szCs w:val="24"/>
          <w:highlight w:val="none"/>
        </w:rPr>
      </w:pPr>
      <w:r>
        <w:rPr>
          <w:rFonts w:hint="eastAsia" w:ascii="宋体" w:hAnsi="宋体" w:cs="宋体"/>
          <w:b/>
          <w:sz w:val="24"/>
          <w:szCs w:val="24"/>
          <w:highlight w:val="none"/>
        </w:rPr>
        <w:t xml:space="preserve">                </w:t>
      </w:r>
    </w:p>
    <w:p w14:paraId="70433AD3">
      <w:pPr>
        <w:spacing w:line="400" w:lineRule="exact"/>
        <w:jc w:val="center"/>
        <w:rPr>
          <w:rFonts w:ascii="宋体" w:hAnsi="宋体" w:cs="宋体"/>
          <w:highlight w:val="none"/>
        </w:rPr>
      </w:pPr>
      <w:r>
        <w:rPr>
          <w:rFonts w:hint="eastAsia" w:ascii="宋体" w:hAnsi="宋体" w:cs="宋体"/>
          <w:b/>
          <w:sz w:val="24"/>
          <w:szCs w:val="24"/>
          <w:highlight w:val="none"/>
        </w:rPr>
        <w:br w:type="page"/>
      </w:r>
    </w:p>
    <w:p w14:paraId="41663098">
      <w:pPr>
        <w:spacing w:line="440" w:lineRule="exact"/>
        <w:jc w:val="both"/>
        <w:rPr>
          <w:rFonts w:hint="eastAsia" w:ascii="宋体" w:hAnsi="宋体" w:eastAsia="宋体" w:cs="宋体"/>
          <w:sz w:val="24"/>
          <w:szCs w:val="24"/>
          <w:highlight w:val="none"/>
        </w:rPr>
      </w:pPr>
      <w:r>
        <w:rPr>
          <w:rFonts w:hint="eastAsia" w:ascii="宋体" w:hAnsi="宋体" w:eastAsia="宋体" w:cs="宋体"/>
          <w:b/>
          <w:sz w:val="24"/>
          <w:szCs w:val="24"/>
          <w:highlight w:val="none"/>
        </w:rPr>
        <w:t>（三）详细评审</w:t>
      </w:r>
    </w:p>
    <w:tbl>
      <w:tblPr>
        <w:tblStyle w:val="44"/>
        <w:tblW w:w="493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91"/>
        <w:gridCol w:w="1326"/>
        <w:gridCol w:w="7288"/>
      </w:tblGrid>
      <w:tr w14:paraId="4BB734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06" w:type="pct"/>
            <w:gridSpan w:val="2"/>
            <w:vAlign w:val="center"/>
          </w:tcPr>
          <w:p w14:paraId="365EF852">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评分因素</w:t>
            </w:r>
          </w:p>
        </w:tc>
        <w:tc>
          <w:tcPr>
            <w:tcW w:w="3793" w:type="pct"/>
            <w:vAlign w:val="center"/>
          </w:tcPr>
          <w:p w14:paraId="48F84D5A">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评分标准</w:t>
            </w:r>
          </w:p>
        </w:tc>
      </w:tr>
      <w:tr w14:paraId="412FB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06" w:type="pct"/>
            <w:gridSpan w:val="2"/>
            <w:vAlign w:val="center"/>
          </w:tcPr>
          <w:p w14:paraId="6980F2E0">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分值构成（总分100分）</w:t>
            </w:r>
          </w:p>
        </w:tc>
        <w:tc>
          <w:tcPr>
            <w:tcW w:w="3793" w:type="pct"/>
            <w:vAlign w:val="center"/>
          </w:tcPr>
          <w:p w14:paraId="0678760A">
            <w:pPr>
              <w:keepNext w:val="0"/>
              <w:keepLines w:val="0"/>
              <w:widowControl/>
              <w:suppressLineNumbers w:val="0"/>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服务方案：64分</w:t>
            </w:r>
          </w:p>
          <w:p w14:paraId="4459A6BF">
            <w:pPr>
              <w:keepNext w:val="0"/>
              <w:keepLines w:val="0"/>
              <w:widowControl/>
              <w:suppressLineNumbers w:val="0"/>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商务部分：26分</w:t>
            </w:r>
          </w:p>
          <w:p w14:paraId="3E7C4989">
            <w:pPr>
              <w:keepNext w:val="0"/>
              <w:keepLines w:val="0"/>
              <w:widowControl/>
              <w:suppressLineNumbers w:val="0"/>
              <w:spacing w:before="0" w:beforeAutospacing="0" w:after="0" w:afterAutospacing="0"/>
              <w:ind w:left="0" w:right="0"/>
              <w:jc w:val="left"/>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投标报价：10分</w:t>
            </w:r>
          </w:p>
        </w:tc>
      </w:tr>
      <w:tr w14:paraId="3820F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1206" w:type="pct"/>
            <w:gridSpan w:val="2"/>
            <w:vAlign w:val="center"/>
          </w:tcPr>
          <w:p w14:paraId="7FD6752E">
            <w:pPr>
              <w:keepNext w:val="0"/>
              <w:keepLines w:val="0"/>
              <w:widowControl/>
              <w:suppressLineNumbers w:val="0"/>
              <w:spacing w:before="0" w:beforeAutospacing="0" w:after="0" w:afterAutospacing="0"/>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投标基准价计算方法</w:t>
            </w:r>
          </w:p>
        </w:tc>
        <w:tc>
          <w:tcPr>
            <w:tcW w:w="3793" w:type="pct"/>
            <w:vAlign w:val="center"/>
          </w:tcPr>
          <w:p w14:paraId="3EE183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textAlignment w:val="auto"/>
              <w:rPr>
                <w:rFonts w:hint="eastAsia" w:ascii="宋体" w:hAnsi="宋体" w:eastAsia="宋体" w:cs="宋体"/>
                <w:kern w:val="22"/>
                <w:sz w:val="21"/>
                <w:szCs w:val="22"/>
                <w:highlight w:val="none"/>
              </w:rPr>
            </w:pPr>
            <w:r>
              <w:rPr>
                <w:rFonts w:hint="eastAsia" w:ascii="宋体" w:hAnsi="宋体" w:eastAsia="宋体" w:cs="宋体"/>
                <w:kern w:val="22"/>
                <w:sz w:val="21"/>
                <w:szCs w:val="22"/>
                <w:highlight w:val="none"/>
              </w:rPr>
              <w:t>价格分统一采用低价优先法计算，即满足</w:t>
            </w:r>
            <w:r>
              <w:rPr>
                <w:rFonts w:hint="eastAsia" w:ascii="宋体" w:hAnsi="宋体" w:eastAsia="宋体" w:cs="宋体"/>
                <w:kern w:val="22"/>
                <w:sz w:val="21"/>
                <w:szCs w:val="22"/>
                <w:highlight w:val="none"/>
                <w:lang w:val="en-US" w:eastAsia="zh-CN"/>
              </w:rPr>
              <w:t>招标</w:t>
            </w:r>
            <w:r>
              <w:rPr>
                <w:rFonts w:hint="eastAsia" w:ascii="宋体" w:hAnsi="宋体" w:eastAsia="宋体" w:cs="宋体"/>
                <w:kern w:val="22"/>
                <w:sz w:val="21"/>
                <w:szCs w:val="22"/>
                <w:highlight w:val="none"/>
              </w:rPr>
              <w:t>文件要求且报价最低的</w:t>
            </w:r>
            <w:r>
              <w:rPr>
                <w:rFonts w:hint="eastAsia" w:ascii="宋体" w:hAnsi="宋体" w:eastAsia="宋体" w:cs="宋体"/>
                <w:kern w:val="22"/>
                <w:sz w:val="21"/>
                <w:szCs w:val="22"/>
                <w:highlight w:val="none"/>
                <w:lang w:val="en-US" w:eastAsia="zh-CN"/>
              </w:rPr>
              <w:t>投标人</w:t>
            </w:r>
            <w:r>
              <w:rPr>
                <w:rFonts w:hint="eastAsia" w:ascii="宋体" w:hAnsi="宋体" w:eastAsia="宋体" w:cs="宋体"/>
                <w:kern w:val="22"/>
                <w:sz w:val="21"/>
                <w:szCs w:val="22"/>
                <w:highlight w:val="none"/>
              </w:rPr>
              <w:t>的价格为</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基准价，其价格分为满分。其他</w:t>
            </w:r>
            <w:r>
              <w:rPr>
                <w:rFonts w:hint="eastAsia" w:ascii="宋体" w:hAnsi="宋体" w:eastAsia="宋体" w:cs="宋体"/>
                <w:kern w:val="22"/>
                <w:sz w:val="21"/>
                <w:szCs w:val="22"/>
                <w:highlight w:val="none"/>
                <w:lang w:val="en-US" w:eastAsia="zh-CN"/>
              </w:rPr>
              <w:t>投标人</w:t>
            </w:r>
            <w:r>
              <w:rPr>
                <w:rFonts w:hint="eastAsia" w:ascii="宋体" w:hAnsi="宋体" w:eastAsia="宋体" w:cs="宋体"/>
                <w:kern w:val="22"/>
                <w:sz w:val="21"/>
                <w:szCs w:val="22"/>
                <w:highlight w:val="none"/>
              </w:rPr>
              <w:t>的价格分统一按照下列公式计算：</w:t>
            </w:r>
          </w:p>
          <w:p w14:paraId="661656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auto"/>
              <w:rPr>
                <w:rFonts w:hint="eastAsia" w:ascii="宋体" w:hAnsi="宋体" w:eastAsia="宋体" w:cs="宋体"/>
                <w:sz w:val="21"/>
                <w:szCs w:val="21"/>
                <w:highlight w:val="none"/>
              </w:rPr>
            </w:pP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报价得分=（</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基准价/</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报价）×价格权值×100。</w:t>
            </w:r>
          </w:p>
        </w:tc>
      </w:tr>
      <w:tr w14:paraId="1798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2" w:hRule="atLeast"/>
          <w:jc w:val="center"/>
        </w:trPr>
        <w:tc>
          <w:tcPr>
            <w:tcW w:w="516" w:type="pct"/>
            <w:vMerge w:val="restart"/>
            <w:shd w:val="clear" w:color="auto" w:fill="auto"/>
            <w:vAlign w:val="center"/>
          </w:tcPr>
          <w:p w14:paraId="6D23C42B">
            <w:pPr>
              <w:keepNext w:val="0"/>
              <w:keepLines w:val="0"/>
              <w:widowControl/>
              <w:suppressLineNumbers w:val="0"/>
              <w:spacing w:before="0" w:beforeAutospacing="0" w:after="0" w:afterAutospacing="0" w:line="320" w:lineRule="exact"/>
              <w:ind w:left="0" w:right="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服务方案</w:t>
            </w:r>
            <w:r>
              <w:rPr>
                <w:rFonts w:hint="eastAsia" w:ascii="宋体" w:hAnsi="宋体" w:eastAsia="宋体" w:cs="宋体"/>
                <w:sz w:val="21"/>
                <w:szCs w:val="21"/>
                <w:highlight w:val="none"/>
              </w:rPr>
              <w:t>（</w:t>
            </w:r>
            <w:r>
              <w:rPr>
                <w:rFonts w:hint="eastAsia" w:ascii="宋体" w:hAnsi="宋体" w:eastAsia="宋体" w:cs="宋体"/>
                <w:sz w:val="21"/>
                <w:szCs w:val="21"/>
                <w:highlight w:val="none"/>
                <w:lang w:val="en-US" w:eastAsia="zh-CN"/>
              </w:rPr>
              <w:t>64</w:t>
            </w:r>
            <w:r>
              <w:rPr>
                <w:rFonts w:hint="eastAsia" w:ascii="宋体" w:hAnsi="宋体" w:eastAsia="宋体" w:cs="宋体"/>
                <w:sz w:val="21"/>
                <w:szCs w:val="21"/>
                <w:highlight w:val="none"/>
              </w:rPr>
              <w:t>分）</w:t>
            </w:r>
            <w:r>
              <w:rPr>
                <w:rFonts w:hint="eastAsia" w:ascii="宋体" w:hAnsi="宋体" w:eastAsia="宋体" w:cs="宋体"/>
                <w:b/>
                <w:bCs/>
                <w:sz w:val="21"/>
                <w:szCs w:val="21"/>
                <w:highlight w:val="none"/>
                <w:lang w:val="en-US" w:eastAsia="zh-CN"/>
              </w:rPr>
              <w:t>暗标</w:t>
            </w:r>
          </w:p>
        </w:tc>
        <w:tc>
          <w:tcPr>
            <w:tcW w:w="689" w:type="pct"/>
            <w:shd w:val="clear" w:color="auto" w:fill="auto"/>
            <w:vAlign w:val="center"/>
          </w:tcPr>
          <w:p w14:paraId="4A94F5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100" w:leftChars="50" w:right="0"/>
              <w:jc w:val="center"/>
              <w:rPr>
                <w:rFonts w:hint="eastAsia" w:ascii="宋体" w:hAnsi="宋体" w:eastAsia="宋体" w:cs="宋体"/>
                <w:sz w:val="21"/>
                <w:szCs w:val="21"/>
                <w:highlight w:val="none"/>
                <w:lang w:val="en-US" w:eastAsia="zh-CN" w:bidi="ar-SA"/>
              </w:rPr>
            </w:pPr>
            <w:r>
              <w:rPr>
                <w:rFonts w:hint="eastAsia" w:ascii="宋体" w:hAnsi="宋体" w:eastAsia="宋体" w:cs="宋体"/>
                <w:kern w:val="22"/>
                <w:sz w:val="21"/>
                <w:szCs w:val="21"/>
                <w:highlight w:val="none"/>
                <w:lang w:val="en-US" w:eastAsia="en-US"/>
              </w:rPr>
              <w:t>总体技术方案</w:t>
            </w:r>
            <w:r>
              <w:rPr>
                <w:rFonts w:hint="eastAsia" w:ascii="宋体" w:hAnsi="宋体" w:eastAsia="宋体" w:cs="宋体"/>
                <w:kern w:val="22"/>
                <w:sz w:val="21"/>
                <w:szCs w:val="21"/>
                <w:highlight w:val="none"/>
                <w:lang w:val="en-US" w:eastAsia="zh-CN"/>
              </w:rPr>
              <w:t>（1</w:t>
            </w:r>
            <w:r>
              <w:rPr>
                <w:rFonts w:hint="eastAsia" w:ascii="宋体" w:hAnsi="宋体" w:cs="宋体"/>
                <w:kern w:val="22"/>
                <w:sz w:val="21"/>
                <w:szCs w:val="21"/>
                <w:highlight w:val="none"/>
                <w:lang w:val="en-US" w:eastAsia="zh-CN"/>
              </w:rPr>
              <w:t>8</w:t>
            </w:r>
            <w:r>
              <w:rPr>
                <w:rFonts w:hint="eastAsia" w:ascii="宋体" w:hAnsi="宋体" w:eastAsia="宋体" w:cs="宋体"/>
                <w:kern w:val="22"/>
                <w:sz w:val="21"/>
                <w:szCs w:val="21"/>
                <w:highlight w:val="none"/>
                <w:lang w:val="en-US" w:eastAsia="zh-CN"/>
              </w:rPr>
              <w:t>分）</w:t>
            </w:r>
          </w:p>
        </w:tc>
        <w:tc>
          <w:tcPr>
            <w:tcW w:w="3793" w:type="pct"/>
            <w:shd w:val="clear" w:color="auto" w:fill="auto"/>
            <w:vAlign w:val="center"/>
          </w:tcPr>
          <w:p w14:paraId="40358C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bCs/>
                <w:sz w:val="21"/>
                <w:szCs w:val="21"/>
                <w:highlight w:val="none"/>
                <w:lang w:val="zh-CN"/>
              </w:rPr>
            </w:pPr>
            <w:r>
              <w:rPr>
                <w:rFonts w:hint="eastAsia" w:ascii="宋体" w:hAnsi="宋体" w:eastAsia="宋体" w:cs="宋体"/>
                <w:bCs/>
                <w:sz w:val="21"/>
                <w:szCs w:val="21"/>
                <w:highlight w:val="none"/>
                <w:lang w:val="en-US" w:eastAsia="zh-CN"/>
              </w:rPr>
              <w:t>投标人</w:t>
            </w:r>
            <w:r>
              <w:rPr>
                <w:rFonts w:hint="eastAsia" w:ascii="宋体" w:hAnsi="宋体" w:eastAsia="宋体" w:cs="宋体"/>
                <w:bCs/>
                <w:sz w:val="21"/>
                <w:szCs w:val="21"/>
                <w:highlight w:val="none"/>
                <w:lang w:val="zh-CN" w:eastAsia="en-US"/>
              </w:rPr>
              <w:t>根据项目实际情况制定出确实可行的总体技术方案，</w:t>
            </w:r>
            <w:r>
              <w:rPr>
                <w:rFonts w:hint="eastAsia" w:ascii="宋体" w:hAnsi="宋体" w:eastAsia="宋体" w:cs="宋体"/>
                <w:bCs/>
                <w:sz w:val="21"/>
                <w:szCs w:val="21"/>
                <w:highlight w:val="none"/>
                <w:lang w:val="zh-CN"/>
              </w:rPr>
              <w:t>包括但不限于:1</w:t>
            </w:r>
            <w:r>
              <w:rPr>
                <w:rFonts w:hint="eastAsia" w:ascii="宋体" w:hAnsi="宋体" w:eastAsia="宋体" w:cs="宋体"/>
                <w:bCs/>
                <w:sz w:val="21"/>
                <w:szCs w:val="21"/>
                <w:highlight w:val="none"/>
                <w:lang w:val="en-US" w:eastAsia="zh-CN"/>
              </w:rPr>
              <w:t>.</w:t>
            </w:r>
            <w:r>
              <w:rPr>
                <w:rFonts w:hint="eastAsia" w:ascii="宋体" w:hAnsi="宋体" w:eastAsia="宋体" w:cs="宋体"/>
                <w:bCs/>
                <w:sz w:val="21"/>
                <w:szCs w:val="21"/>
                <w:highlight w:val="none"/>
                <w:lang w:val="zh-CN" w:eastAsia="en-US"/>
              </w:rPr>
              <w:t>项目技术路线</w:t>
            </w:r>
            <w:r>
              <w:rPr>
                <w:rFonts w:hint="eastAsia" w:ascii="宋体" w:hAnsi="宋体" w:eastAsia="宋体" w:cs="宋体"/>
                <w:bCs/>
                <w:sz w:val="21"/>
                <w:szCs w:val="21"/>
                <w:highlight w:val="none"/>
                <w:lang w:val="zh-CN"/>
              </w:rPr>
              <w:t>；2.</w:t>
            </w:r>
            <w:r>
              <w:rPr>
                <w:rFonts w:hint="eastAsia" w:ascii="宋体" w:hAnsi="宋体" w:eastAsia="宋体" w:cs="宋体"/>
                <w:bCs/>
                <w:sz w:val="21"/>
                <w:szCs w:val="21"/>
                <w:highlight w:val="none"/>
                <w:lang w:val="zh-CN" w:eastAsia="en-US"/>
              </w:rPr>
              <w:t>总体工作思路</w:t>
            </w:r>
            <w:r>
              <w:rPr>
                <w:rFonts w:hint="eastAsia" w:ascii="宋体" w:hAnsi="宋体" w:eastAsia="宋体" w:cs="宋体"/>
                <w:bCs/>
                <w:sz w:val="21"/>
                <w:szCs w:val="21"/>
                <w:highlight w:val="none"/>
                <w:lang w:val="zh-CN"/>
              </w:rPr>
              <w:t>；3.</w:t>
            </w:r>
            <w:r>
              <w:rPr>
                <w:rFonts w:hint="eastAsia" w:ascii="宋体" w:hAnsi="宋体" w:eastAsia="宋体" w:cs="宋体"/>
                <w:bCs/>
                <w:sz w:val="21"/>
                <w:szCs w:val="21"/>
                <w:highlight w:val="none"/>
                <w:lang w:val="en-US" w:eastAsia="zh-CN"/>
              </w:rPr>
              <w:t>服务</w:t>
            </w:r>
            <w:r>
              <w:rPr>
                <w:rFonts w:hint="eastAsia" w:ascii="宋体" w:hAnsi="宋体" w:eastAsia="宋体" w:cs="宋体"/>
                <w:bCs/>
                <w:sz w:val="21"/>
                <w:szCs w:val="21"/>
                <w:highlight w:val="none"/>
                <w:lang w:val="zh-CN" w:eastAsia="en-US"/>
              </w:rPr>
              <w:t>方法内容</w:t>
            </w:r>
            <w:r>
              <w:rPr>
                <w:rFonts w:hint="eastAsia" w:ascii="宋体" w:hAnsi="宋体" w:eastAsia="宋体" w:cs="宋体"/>
                <w:bCs/>
                <w:sz w:val="21"/>
                <w:szCs w:val="21"/>
                <w:highlight w:val="none"/>
                <w:lang w:val="zh-CN"/>
              </w:rPr>
              <w:t>。</w:t>
            </w:r>
          </w:p>
          <w:p w14:paraId="5BD513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ind w:left="0" w:right="0"/>
              <w:jc w:val="left"/>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21"/>
                <w:szCs w:val="21"/>
                <w:highlight w:val="none"/>
                <w:u w:val="none"/>
                <w:lang w:val="en-US" w:eastAsia="zh-CN" w:bidi="ar"/>
              </w:rPr>
              <w:t>以上方案满分12分，每提供一小项内容适用于项目且无缺失的得</w:t>
            </w:r>
            <w:r>
              <w:rPr>
                <w:rFonts w:hint="eastAsia" w:ascii="宋体" w:hAnsi="宋体" w:cs="宋体"/>
                <w:i w:val="0"/>
                <w:iCs w:val="0"/>
                <w:color w:val="000000"/>
                <w:kern w:val="0"/>
                <w:sz w:val="21"/>
                <w:szCs w:val="21"/>
                <w:highlight w:val="none"/>
                <w:u w:val="none"/>
                <w:lang w:val="en-US" w:eastAsia="zh-CN" w:bidi="ar"/>
              </w:rPr>
              <w:t>6</w:t>
            </w:r>
            <w:r>
              <w:rPr>
                <w:rFonts w:hint="eastAsia" w:ascii="宋体" w:hAnsi="宋体" w:eastAsia="宋体" w:cs="宋体"/>
                <w:i w:val="0"/>
                <w:iCs w:val="0"/>
                <w:color w:val="000000"/>
                <w:kern w:val="0"/>
                <w:sz w:val="21"/>
                <w:szCs w:val="21"/>
                <w:highlight w:val="none"/>
                <w:u w:val="none"/>
                <w:lang w:val="en-US" w:eastAsia="zh-CN" w:bidi="ar"/>
              </w:rPr>
              <w:t>分，有缺失的得</w:t>
            </w:r>
            <w:r>
              <w:rPr>
                <w:rFonts w:hint="eastAsia" w:ascii="宋体" w:hAnsi="宋体" w:cs="宋体"/>
                <w:i w:val="0"/>
                <w:iCs w:val="0"/>
                <w:color w:val="000000"/>
                <w:kern w:val="0"/>
                <w:sz w:val="21"/>
                <w:szCs w:val="21"/>
                <w:highlight w:val="none"/>
                <w:u w:val="none"/>
                <w:lang w:val="en-US" w:eastAsia="zh-CN" w:bidi="ar"/>
              </w:rPr>
              <w:t>3</w:t>
            </w:r>
            <w:r>
              <w:rPr>
                <w:rFonts w:hint="eastAsia" w:ascii="宋体" w:hAnsi="宋体" w:eastAsia="宋体" w:cs="宋体"/>
                <w:i w:val="0"/>
                <w:iCs w:val="0"/>
                <w:color w:val="000000"/>
                <w:kern w:val="0"/>
                <w:sz w:val="21"/>
                <w:szCs w:val="21"/>
                <w:highlight w:val="none"/>
                <w:u w:val="none"/>
                <w:lang w:val="en-US" w:eastAsia="zh-CN" w:bidi="ar"/>
              </w:rPr>
              <w:t>分，未提供的得 0 分。（缺失是指：内容不切合行业实际、不符合国家法规政策，或内容生编硬造，与实际情况不符，存在偏差，或内容过于简略，或存在与项目无关的文字内容，或内容逻辑漏洞或原理错误）</w:t>
            </w:r>
          </w:p>
        </w:tc>
      </w:tr>
      <w:tr w14:paraId="5C20D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6" w:type="pct"/>
            <w:vMerge w:val="continue"/>
            <w:shd w:val="clear" w:color="auto" w:fill="auto"/>
            <w:vAlign w:val="center"/>
          </w:tcPr>
          <w:p w14:paraId="7D0752E6">
            <w:pPr>
              <w:keepNext w:val="0"/>
              <w:keepLines w:val="0"/>
              <w:widowControl/>
              <w:suppressLineNumbers w:val="0"/>
              <w:spacing w:before="0" w:beforeAutospacing="0" w:after="0" w:afterAutospacing="0" w:line="320" w:lineRule="exact"/>
              <w:ind w:left="0" w:right="0"/>
              <w:jc w:val="left"/>
              <w:rPr>
                <w:rFonts w:hint="eastAsia" w:ascii="宋体" w:hAnsi="宋体" w:eastAsia="宋体" w:cs="宋体"/>
                <w:sz w:val="21"/>
                <w:szCs w:val="21"/>
                <w:highlight w:val="none"/>
              </w:rPr>
            </w:pPr>
          </w:p>
        </w:tc>
        <w:tc>
          <w:tcPr>
            <w:tcW w:w="689" w:type="pct"/>
            <w:shd w:val="clear" w:color="auto" w:fill="auto"/>
            <w:vAlign w:val="center"/>
          </w:tcPr>
          <w:p w14:paraId="4B6214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100" w:leftChars="50" w:right="0"/>
              <w:jc w:val="center"/>
              <w:rPr>
                <w:rFonts w:hint="eastAsia" w:ascii="宋体" w:hAnsi="宋体" w:eastAsia="宋体" w:cs="宋体"/>
                <w:sz w:val="21"/>
                <w:szCs w:val="21"/>
                <w:highlight w:val="none"/>
                <w:lang w:val="en-US" w:eastAsia="zh-CN" w:bidi="ar-SA"/>
              </w:rPr>
            </w:pPr>
            <w:r>
              <w:rPr>
                <w:rFonts w:hint="eastAsia" w:ascii="宋体" w:hAnsi="宋体" w:eastAsia="宋体" w:cs="宋体"/>
                <w:kern w:val="22"/>
                <w:sz w:val="21"/>
                <w:szCs w:val="21"/>
                <w:highlight w:val="none"/>
                <w:lang w:val="en-US" w:eastAsia="en-US"/>
              </w:rPr>
              <w:t>项目实施方案</w:t>
            </w:r>
            <w:r>
              <w:rPr>
                <w:rFonts w:hint="eastAsia" w:ascii="宋体" w:hAnsi="宋体" w:eastAsia="宋体" w:cs="宋体"/>
                <w:kern w:val="22"/>
                <w:sz w:val="21"/>
                <w:szCs w:val="21"/>
                <w:highlight w:val="none"/>
                <w:lang w:val="en-US" w:eastAsia="zh-CN"/>
              </w:rPr>
              <w:t>（</w:t>
            </w:r>
            <w:r>
              <w:rPr>
                <w:rFonts w:hint="eastAsia" w:ascii="宋体" w:hAnsi="宋体" w:cs="宋体"/>
                <w:kern w:val="22"/>
                <w:sz w:val="21"/>
                <w:szCs w:val="21"/>
                <w:highlight w:val="none"/>
                <w:lang w:val="en-US" w:eastAsia="zh-CN"/>
              </w:rPr>
              <w:t>30</w:t>
            </w:r>
            <w:r>
              <w:rPr>
                <w:rFonts w:hint="eastAsia" w:ascii="宋体" w:hAnsi="宋体" w:eastAsia="宋体" w:cs="宋体"/>
                <w:kern w:val="22"/>
                <w:sz w:val="21"/>
                <w:szCs w:val="21"/>
                <w:highlight w:val="none"/>
                <w:lang w:val="en-US" w:eastAsia="zh-CN"/>
              </w:rPr>
              <w:t>分）</w:t>
            </w:r>
          </w:p>
        </w:tc>
        <w:tc>
          <w:tcPr>
            <w:tcW w:w="3793" w:type="pct"/>
            <w:shd w:val="clear" w:color="auto" w:fill="auto"/>
            <w:vAlign w:val="center"/>
          </w:tcPr>
          <w:p w14:paraId="107588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bCs/>
                <w:sz w:val="21"/>
                <w:szCs w:val="21"/>
                <w:highlight w:val="none"/>
                <w:lang w:val="zh-CN" w:eastAsia="zh-CN"/>
              </w:rPr>
            </w:pPr>
            <w:r>
              <w:rPr>
                <w:rFonts w:hint="eastAsia" w:ascii="宋体" w:hAnsi="宋体" w:eastAsia="宋体" w:cs="宋体"/>
                <w:bCs/>
                <w:sz w:val="21"/>
                <w:szCs w:val="21"/>
                <w:highlight w:val="none"/>
                <w:lang w:val="en-US" w:eastAsia="zh-CN"/>
              </w:rPr>
              <w:t>投标人</w:t>
            </w:r>
            <w:r>
              <w:rPr>
                <w:rFonts w:hint="eastAsia" w:ascii="宋体" w:hAnsi="宋体" w:eastAsia="宋体" w:cs="宋体"/>
                <w:bCs/>
                <w:sz w:val="21"/>
                <w:szCs w:val="21"/>
                <w:highlight w:val="none"/>
                <w:lang w:val="zh-CN" w:eastAsia="zh-CN"/>
              </w:rPr>
              <w:t>根据项目实际情况制定出确实可行的</w:t>
            </w:r>
            <w:r>
              <w:rPr>
                <w:rFonts w:hint="eastAsia" w:ascii="宋体" w:hAnsi="宋体" w:eastAsia="宋体" w:cs="宋体"/>
                <w:bCs/>
                <w:sz w:val="21"/>
                <w:szCs w:val="21"/>
                <w:highlight w:val="none"/>
                <w:lang w:val="en-US" w:eastAsia="zh-CN"/>
              </w:rPr>
              <w:t>项目</w:t>
            </w:r>
            <w:r>
              <w:rPr>
                <w:rFonts w:hint="eastAsia" w:ascii="宋体" w:hAnsi="宋体" w:eastAsia="宋体" w:cs="宋体"/>
                <w:bCs/>
                <w:sz w:val="21"/>
                <w:szCs w:val="21"/>
                <w:highlight w:val="none"/>
                <w:lang w:val="zh-CN" w:eastAsia="zh-CN"/>
              </w:rPr>
              <w:t>实施方案，包</w:t>
            </w:r>
            <w:r>
              <w:rPr>
                <w:rFonts w:hint="eastAsia" w:ascii="宋体" w:hAnsi="宋体" w:eastAsia="宋体" w:cs="宋体"/>
                <w:bCs/>
                <w:sz w:val="21"/>
                <w:szCs w:val="21"/>
                <w:highlight w:val="none"/>
                <w:lang w:val="en-US" w:eastAsia="zh-CN"/>
              </w:rPr>
              <w:t>括</w:t>
            </w:r>
            <w:r>
              <w:rPr>
                <w:rFonts w:hint="eastAsia" w:ascii="宋体" w:hAnsi="宋体" w:eastAsia="宋体" w:cs="宋体"/>
                <w:bCs/>
                <w:sz w:val="21"/>
                <w:szCs w:val="21"/>
                <w:highlight w:val="none"/>
                <w:lang w:val="zh-CN" w:eastAsia="zh-CN"/>
              </w:rPr>
              <w:t>但不限于:1项目的认识与理解；2.工作方法和工作流程；3服务目标；4前期筹备；</w:t>
            </w:r>
            <w:r>
              <w:rPr>
                <w:rFonts w:hint="eastAsia" w:ascii="宋体" w:hAnsi="宋体" w:eastAsia="宋体" w:cs="宋体"/>
                <w:bCs/>
                <w:sz w:val="21"/>
                <w:szCs w:val="21"/>
                <w:highlight w:val="none"/>
                <w:lang w:val="en-US" w:eastAsia="zh-CN"/>
              </w:rPr>
              <w:t>5.服务实施流程；6.项目验收</w:t>
            </w:r>
            <w:r>
              <w:rPr>
                <w:rFonts w:hint="eastAsia" w:ascii="宋体" w:hAnsi="宋体" w:eastAsia="宋体" w:cs="宋体"/>
                <w:bCs/>
                <w:sz w:val="21"/>
                <w:szCs w:val="21"/>
                <w:highlight w:val="none"/>
                <w:lang w:val="zh-CN" w:eastAsia="zh-CN"/>
              </w:rPr>
              <w:t>。</w:t>
            </w:r>
          </w:p>
          <w:p w14:paraId="2363CC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以上方案满分</w:t>
            </w:r>
            <w:r>
              <w:rPr>
                <w:rFonts w:hint="eastAsia" w:ascii="宋体" w:hAnsi="宋体" w:cs="宋体"/>
                <w:i w:val="0"/>
                <w:iCs w:val="0"/>
                <w:color w:val="000000"/>
                <w:kern w:val="0"/>
                <w:sz w:val="21"/>
                <w:szCs w:val="21"/>
                <w:highlight w:val="none"/>
                <w:u w:val="none"/>
                <w:lang w:val="en-US" w:eastAsia="zh-CN" w:bidi="ar"/>
              </w:rPr>
              <w:t>30</w:t>
            </w:r>
            <w:r>
              <w:rPr>
                <w:rFonts w:hint="eastAsia" w:ascii="宋体" w:hAnsi="宋体" w:eastAsia="宋体" w:cs="宋体"/>
                <w:i w:val="0"/>
                <w:iCs w:val="0"/>
                <w:color w:val="000000"/>
                <w:kern w:val="0"/>
                <w:sz w:val="21"/>
                <w:szCs w:val="21"/>
                <w:highlight w:val="none"/>
                <w:u w:val="none"/>
                <w:lang w:val="en-US" w:eastAsia="zh-CN" w:bidi="ar"/>
              </w:rPr>
              <w:t>分，每提供一小项内容适用于项目且无缺失的得</w:t>
            </w:r>
            <w:r>
              <w:rPr>
                <w:rFonts w:hint="eastAsia" w:ascii="宋体" w:hAnsi="宋体" w:cs="宋体"/>
                <w:i w:val="0"/>
                <w:iCs w:val="0"/>
                <w:color w:val="000000"/>
                <w:kern w:val="0"/>
                <w:sz w:val="21"/>
                <w:szCs w:val="21"/>
                <w:highlight w:val="none"/>
                <w:u w:val="none"/>
                <w:lang w:val="en-US" w:eastAsia="zh-CN" w:bidi="ar"/>
              </w:rPr>
              <w:t>5</w:t>
            </w:r>
            <w:r>
              <w:rPr>
                <w:rFonts w:hint="eastAsia" w:ascii="宋体" w:hAnsi="宋体" w:eastAsia="宋体" w:cs="宋体"/>
                <w:i w:val="0"/>
                <w:iCs w:val="0"/>
                <w:color w:val="000000"/>
                <w:kern w:val="0"/>
                <w:sz w:val="21"/>
                <w:szCs w:val="21"/>
                <w:highlight w:val="none"/>
                <w:u w:val="none"/>
                <w:lang w:val="en-US" w:eastAsia="zh-CN" w:bidi="ar"/>
              </w:rPr>
              <w:t>分，有缺失的得</w:t>
            </w:r>
            <w:r>
              <w:rPr>
                <w:rFonts w:hint="eastAsia" w:ascii="宋体" w:hAnsi="宋体" w:cs="宋体"/>
                <w:i w:val="0"/>
                <w:iCs w:val="0"/>
                <w:color w:val="000000"/>
                <w:kern w:val="0"/>
                <w:sz w:val="21"/>
                <w:szCs w:val="21"/>
                <w:highlight w:val="none"/>
                <w:u w:val="none"/>
                <w:lang w:val="en-US" w:eastAsia="zh-CN" w:bidi="ar"/>
              </w:rPr>
              <w:t>3</w:t>
            </w:r>
            <w:r>
              <w:rPr>
                <w:rFonts w:hint="eastAsia" w:ascii="宋体" w:hAnsi="宋体" w:eastAsia="宋体" w:cs="宋体"/>
                <w:i w:val="0"/>
                <w:iCs w:val="0"/>
                <w:color w:val="000000"/>
                <w:kern w:val="0"/>
                <w:sz w:val="21"/>
                <w:szCs w:val="21"/>
                <w:highlight w:val="none"/>
                <w:u w:val="none"/>
                <w:lang w:val="en-US" w:eastAsia="zh-CN" w:bidi="ar"/>
              </w:rPr>
              <w:t>分，未提供的得 0 分。（缺失是指：内容不切合行业实际、不符合国家法规政策，或内容生编硬造，与实际情况不符，存在偏差，或内容过于简略，或存在与项目无关的文字内容，或内容逻辑漏洞或原理错误</w:t>
            </w:r>
            <w:r>
              <w:rPr>
                <w:rFonts w:hint="eastAsia" w:ascii="宋体" w:hAnsi="宋体" w:eastAsia="宋体" w:cs="宋体"/>
                <w:bCs/>
                <w:sz w:val="21"/>
                <w:szCs w:val="21"/>
                <w:highlight w:val="none"/>
                <w:lang w:val="en-US" w:eastAsia="zh-CN"/>
              </w:rPr>
              <w:t>）</w:t>
            </w:r>
          </w:p>
        </w:tc>
      </w:tr>
      <w:tr w14:paraId="755EC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516" w:type="pct"/>
            <w:vMerge w:val="continue"/>
            <w:shd w:val="clear" w:color="auto" w:fill="auto"/>
            <w:vAlign w:val="center"/>
          </w:tcPr>
          <w:p w14:paraId="2AD7DD54">
            <w:pPr>
              <w:keepNext w:val="0"/>
              <w:keepLines w:val="0"/>
              <w:widowControl/>
              <w:suppressLineNumbers w:val="0"/>
              <w:spacing w:before="0" w:beforeAutospacing="0" w:after="0" w:afterAutospacing="0" w:line="320" w:lineRule="exact"/>
              <w:ind w:left="0" w:right="0"/>
              <w:jc w:val="left"/>
              <w:rPr>
                <w:rFonts w:hint="eastAsia" w:ascii="宋体" w:hAnsi="宋体" w:eastAsia="宋体" w:cs="宋体"/>
                <w:bCs/>
                <w:sz w:val="21"/>
                <w:szCs w:val="21"/>
              </w:rPr>
            </w:pPr>
          </w:p>
        </w:tc>
        <w:tc>
          <w:tcPr>
            <w:tcW w:w="689" w:type="pct"/>
            <w:shd w:val="clear" w:color="auto" w:fill="auto"/>
            <w:vAlign w:val="center"/>
          </w:tcPr>
          <w:p w14:paraId="336563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100" w:leftChars="50" w:right="0"/>
              <w:jc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质量保障措施及方案</w:t>
            </w:r>
          </w:p>
          <w:p w14:paraId="0BD1C7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tLeast"/>
              <w:ind w:left="100" w:leftChars="50" w:right="0"/>
              <w:jc w:val="center"/>
              <w:rPr>
                <w:rFonts w:hint="eastAsia" w:ascii="宋体" w:hAnsi="宋体" w:eastAsia="宋体" w:cs="宋体"/>
                <w:color w:val="000000"/>
                <w:sz w:val="21"/>
                <w:szCs w:val="21"/>
                <w:highlight w:val="none"/>
                <w:lang w:val="en-US" w:eastAsia="zh-CN" w:bidi="ar-SA"/>
              </w:rPr>
            </w:pPr>
            <w:r>
              <w:rPr>
                <w:rFonts w:hint="eastAsia" w:ascii="宋体" w:hAnsi="宋体" w:eastAsia="宋体" w:cs="宋体"/>
                <w:i w:val="0"/>
                <w:iCs w:val="0"/>
                <w:color w:val="000000"/>
                <w:kern w:val="0"/>
                <w:sz w:val="21"/>
                <w:szCs w:val="21"/>
                <w:highlight w:val="none"/>
                <w:u w:val="none"/>
                <w:lang w:val="en-US" w:eastAsia="zh-CN" w:bidi="ar"/>
              </w:rPr>
              <w:t>（16分）</w:t>
            </w:r>
          </w:p>
        </w:tc>
        <w:tc>
          <w:tcPr>
            <w:tcW w:w="3793" w:type="pct"/>
            <w:shd w:val="clear" w:color="auto" w:fill="auto"/>
            <w:vAlign w:val="center"/>
          </w:tcPr>
          <w:p w14:paraId="5DB741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投标人</w:t>
            </w:r>
            <w:r>
              <w:rPr>
                <w:rFonts w:hint="eastAsia" w:ascii="宋体" w:hAnsi="宋体" w:eastAsia="宋体" w:cs="宋体"/>
                <w:bCs/>
                <w:sz w:val="21"/>
                <w:szCs w:val="21"/>
                <w:highlight w:val="none"/>
                <w:lang w:val="zh-CN" w:eastAsia="en-US"/>
              </w:rPr>
              <w:t>根据项目实际情况制定出确实可行的质量保障措施及方案，</w:t>
            </w:r>
            <w:r>
              <w:rPr>
                <w:rFonts w:hint="eastAsia" w:ascii="宋体" w:hAnsi="宋体" w:eastAsia="宋体" w:cs="宋体"/>
                <w:bCs/>
                <w:sz w:val="21"/>
                <w:szCs w:val="21"/>
                <w:highlight w:val="none"/>
                <w:lang w:val="zh-CN" w:eastAsia="zh-CN"/>
              </w:rPr>
              <w:t>包</w:t>
            </w:r>
            <w:r>
              <w:rPr>
                <w:rFonts w:hint="eastAsia" w:ascii="宋体" w:hAnsi="宋体" w:eastAsia="宋体" w:cs="宋体"/>
                <w:bCs/>
                <w:sz w:val="21"/>
                <w:szCs w:val="21"/>
                <w:highlight w:val="none"/>
                <w:lang w:val="en-US" w:eastAsia="zh-CN"/>
              </w:rPr>
              <w:t>括</w:t>
            </w:r>
            <w:r>
              <w:rPr>
                <w:rFonts w:hint="eastAsia" w:ascii="宋体" w:hAnsi="宋体" w:eastAsia="宋体" w:cs="宋体"/>
                <w:bCs/>
                <w:sz w:val="21"/>
                <w:szCs w:val="21"/>
                <w:highlight w:val="none"/>
                <w:lang w:val="zh-CN" w:eastAsia="zh-CN"/>
              </w:rPr>
              <w:t>但不限于:1.项目质量管理；2</w:t>
            </w:r>
            <w:r>
              <w:rPr>
                <w:rFonts w:hint="eastAsia" w:ascii="宋体" w:hAnsi="宋体" w:eastAsia="宋体" w:cs="宋体"/>
                <w:bCs/>
                <w:sz w:val="21"/>
                <w:szCs w:val="21"/>
                <w:highlight w:val="none"/>
                <w:lang w:val="en-US" w:eastAsia="zh-CN"/>
              </w:rPr>
              <w:t>.项目服务人员架构管理；3.项目进度安排以及预计完成时间</w:t>
            </w:r>
            <w:r>
              <w:rPr>
                <w:rFonts w:hint="eastAsia" w:ascii="宋体" w:hAnsi="宋体" w:eastAsia="宋体" w:cs="宋体"/>
                <w:bCs/>
                <w:sz w:val="21"/>
                <w:szCs w:val="21"/>
                <w:highlight w:val="none"/>
                <w:lang w:val="zh-CN" w:eastAsia="zh-CN"/>
              </w:rPr>
              <w:t>；</w:t>
            </w:r>
            <w:r>
              <w:rPr>
                <w:rFonts w:hint="eastAsia" w:ascii="宋体" w:hAnsi="宋体" w:eastAsia="宋体" w:cs="宋体"/>
                <w:bCs/>
                <w:sz w:val="21"/>
                <w:szCs w:val="21"/>
                <w:highlight w:val="none"/>
                <w:lang w:val="en-US" w:eastAsia="zh-CN"/>
              </w:rPr>
              <w:t>4</w:t>
            </w:r>
            <w:r>
              <w:rPr>
                <w:rFonts w:hint="eastAsia" w:ascii="宋体" w:hAnsi="宋体" w:eastAsia="宋体" w:cs="宋体"/>
                <w:bCs/>
                <w:sz w:val="21"/>
                <w:szCs w:val="21"/>
                <w:highlight w:val="none"/>
                <w:lang w:val="zh-CN" w:eastAsia="zh-CN"/>
              </w:rPr>
              <w:t>.项目实施安全保障</w:t>
            </w:r>
            <w:r>
              <w:rPr>
                <w:rFonts w:hint="eastAsia" w:ascii="宋体" w:hAnsi="宋体" w:eastAsia="宋体" w:cs="宋体"/>
                <w:bCs/>
                <w:sz w:val="21"/>
                <w:szCs w:val="21"/>
                <w:highlight w:val="none"/>
                <w:lang w:val="en-US" w:eastAsia="zh-CN"/>
              </w:rPr>
              <w:t>。</w:t>
            </w:r>
          </w:p>
          <w:p w14:paraId="03B5E8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sz w:val="21"/>
                <w:szCs w:val="21"/>
                <w:highlight w:val="none"/>
                <w:lang w:val="en-US" w:eastAsia="zh-CN" w:bidi="ar-SA"/>
              </w:rPr>
            </w:pPr>
            <w:r>
              <w:rPr>
                <w:rFonts w:hint="eastAsia" w:ascii="宋体" w:hAnsi="宋体" w:eastAsia="宋体" w:cs="宋体"/>
                <w:bCs/>
                <w:sz w:val="21"/>
                <w:szCs w:val="21"/>
                <w:highlight w:val="none"/>
                <w:lang w:val="en-US" w:eastAsia="zh-CN"/>
              </w:rPr>
              <w:t>以上方案满分16分，每提供一小项内容适用于项目且无缺失的得4分，有缺失的得2分，未提供的得 0 分。（缺失是指：内容不切合行业实际、不符合国家法规政策，或内容生编硬造，与实际情况不符，存在偏差，或内容过于简略，或存在与项目无关的文字内容，或内容逻辑漏洞或原理错误）</w:t>
            </w:r>
          </w:p>
        </w:tc>
      </w:tr>
      <w:tr w14:paraId="196B0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16" w:type="pct"/>
            <w:vMerge w:val="restart"/>
            <w:shd w:val="clear" w:color="auto" w:fill="auto"/>
            <w:vAlign w:val="center"/>
          </w:tcPr>
          <w:p w14:paraId="77C1E531">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商务部分</w:t>
            </w:r>
          </w:p>
          <w:p w14:paraId="30DBABA8">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Cs/>
                <w:sz w:val="21"/>
                <w:szCs w:val="21"/>
                <w:highlight w:val="none"/>
              </w:rPr>
            </w:pPr>
            <w:r>
              <w:rPr>
                <w:rFonts w:hint="eastAsia" w:ascii="宋体" w:hAnsi="宋体" w:eastAsia="宋体" w:cs="宋体"/>
                <w:sz w:val="21"/>
                <w:szCs w:val="21"/>
                <w:highlight w:val="none"/>
                <w:lang w:val="en-US" w:eastAsia="zh-CN"/>
              </w:rPr>
              <w:t>（26分）</w:t>
            </w:r>
          </w:p>
        </w:tc>
        <w:tc>
          <w:tcPr>
            <w:tcW w:w="689" w:type="pct"/>
            <w:shd w:val="clear" w:color="auto" w:fill="auto"/>
            <w:vAlign w:val="center"/>
          </w:tcPr>
          <w:p w14:paraId="03995432">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企业业绩</w:t>
            </w:r>
          </w:p>
          <w:p w14:paraId="2F4EB3B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bCs/>
                <w:sz w:val="21"/>
                <w:szCs w:val="21"/>
                <w:highlight w:val="none"/>
              </w:rPr>
            </w:pPr>
            <w:r>
              <w:rPr>
                <w:rFonts w:hint="eastAsia" w:ascii="宋体" w:hAnsi="宋体" w:eastAsia="宋体" w:cs="宋体"/>
                <w:i w:val="0"/>
                <w:iCs w:val="0"/>
                <w:color w:val="000000"/>
                <w:kern w:val="0"/>
                <w:sz w:val="21"/>
                <w:szCs w:val="21"/>
                <w:highlight w:val="none"/>
                <w:u w:val="none"/>
                <w:lang w:val="en-US" w:eastAsia="zh-CN" w:bidi="ar"/>
              </w:rPr>
              <w:t>（</w:t>
            </w:r>
            <w:r>
              <w:rPr>
                <w:rFonts w:hint="eastAsia" w:ascii="宋体" w:hAnsi="宋体" w:cs="宋体"/>
                <w:i w:val="0"/>
                <w:iCs w:val="0"/>
                <w:color w:val="000000"/>
                <w:kern w:val="0"/>
                <w:sz w:val="21"/>
                <w:szCs w:val="21"/>
                <w:highlight w:val="none"/>
                <w:u w:val="none"/>
                <w:lang w:val="en-US" w:eastAsia="zh-CN" w:bidi="ar"/>
              </w:rPr>
              <w:t>9</w:t>
            </w:r>
            <w:r>
              <w:rPr>
                <w:rFonts w:hint="eastAsia" w:ascii="宋体" w:hAnsi="宋体" w:eastAsia="宋体" w:cs="宋体"/>
                <w:i w:val="0"/>
                <w:iCs w:val="0"/>
                <w:color w:val="000000"/>
                <w:kern w:val="0"/>
                <w:sz w:val="21"/>
                <w:szCs w:val="21"/>
                <w:highlight w:val="none"/>
                <w:u w:val="none"/>
                <w:lang w:val="en-US" w:eastAsia="zh-CN" w:bidi="ar"/>
              </w:rPr>
              <w:t>分）</w:t>
            </w:r>
          </w:p>
        </w:tc>
        <w:tc>
          <w:tcPr>
            <w:tcW w:w="3793" w:type="pct"/>
            <w:shd w:val="clear" w:color="auto" w:fill="auto"/>
            <w:vAlign w:val="center"/>
          </w:tcPr>
          <w:p w14:paraId="21DE5D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60" w:lineRule="atLeast"/>
              <w:ind w:left="0" w:right="0"/>
              <w:jc w:val="left"/>
              <w:rPr>
                <w:rFonts w:hint="eastAsia" w:ascii="宋体" w:hAnsi="宋体" w:eastAsia="宋体" w:cs="宋体"/>
                <w:sz w:val="21"/>
                <w:szCs w:val="21"/>
                <w:highlight w:val="none"/>
              </w:rPr>
            </w:pPr>
            <w:r>
              <w:rPr>
                <w:rFonts w:hint="eastAsia" w:ascii="宋体" w:hAnsi="宋体" w:eastAsia="宋体" w:cs="宋体"/>
                <w:bCs/>
                <w:sz w:val="21"/>
                <w:szCs w:val="21"/>
                <w:highlight w:val="none"/>
                <w:lang w:val="en-US" w:eastAsia="zh-CN"/>
              </w:rPr>
              <w:t>提供投标人2023年至今具备类似项目的业绩，每有一项得</w:t>
            </w:r>
            <w:r>
              <w:rPr>
                <w:rFonts w:hint="eastAsia" w:ascii="宋体" w:hAnsi="宋体" w:cs="宋体"/>
                <w:bCs/>
                <w:sz w:val="21"/>
                <w:szCs w:val="21"/>
                <w:highlight w:val="none"/>
                <w:lang w:val="en-US" w:eastAsia="zh-CN"/>
              </w:rPr>
              <w:t>3</w:t>
            </w:r>
            <w:r>
              <w:rPr>
                <w:rFonts w:hint="eastAsia" w:ascii="宋体" w:hAnsi="宋体" w:eastAsia="宋体" w:cs="宋体"/>
                <w:bCs/>
                <w:sz w:val="21"/>
                <w:szCs w:val="21"/>
                <w:highlight w:val="none"/>
                <w:lang w:val="en-US" w:eastAsia="zh-CN"/>
              </w:rPr>
              <w:t>分，最多得</w:t>
            </w:r>
            <w:r>
              <w:rPr>
                <w:rFonts w:hint="eastAsia" w:ascii="宋体" w:hAnsi="宋体" w:cs="宋体"/>
                <w:bCs/>
                <w:sz w:val="21"/>
                <w:szCs w:val="21"/>
                <w:highlight w:val="none"/>
                <w:lang w:val="en-US" w:eastAsia="zh-CN"/>
              </w:rPr>
              <w:t>9</w:t>
            </w:r>
            <w:r>
              <w:rPr>
                <w:rFonts w:hint="eastAsia" w:ascii="宋体" w:hAnsi="宋体" w:eastAsia="宋体" w:cs="宋体"/>
                <w:bCs/>
                <w:sz w:val="21"/>
                <w:szCs w:val="21"/>
                <w:highlight w:val="none"/>
                <w:lang w:val="en-US" w:eastAsia="zh-CN"/>
              </w:rPr>
              <w:t>分。</w:t>
            </w:r>
            <w:r>
              <w:rPr>
                <w:rFonts w:hint="eastAsia" w:ascii="宋体" w:hAnsi="宋体" w:eastAsia="宋体" w:cs="宋体"/>
                <w:bCs/>
                <w:sz w:val="21"/>
                <w:szCs w:val="21"/>
                <w:highlight w:val="none"/>
                <w:lang w:val="en-US" w:eastAsia="zh-CN"/>
              </w:rPr>
              <w:br w:type="textWrapping"/>
            </w:r>
            <w:r>
              <w:rPr>
                <w:rFonts w:hint="eastAsia" w:ascii="宋体" w:hAnsi="宋体" w:eastAsia="宋体" w:cs="宋体"/>
                <w:bCs/>
                <w:sz w:val="21"/>
                <w:szCs w:val="21"/>
                <w:highlight w:val="none"/>
                <w:lang w:val="en-US" w:eastAsia="zh-CN"/>
              </w:rPr>
              <w:t>提供中标（成交）通知书或合同，标书内附加盖公章的复印件</w:t>
            </w:r>
          </w:p>
        </w:tc>
      </w:tr>
      <w:tr w14:paraId="4BD4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5" w:hRule="atLeast"/>
          <w:jc w:val="center"/>
        </w:trPr>
        <w:tc>
          <w:tcPr>
            <w:tcW w:w="516" w:type="pct"/>
            <w:vMerge w:val="continue"/>
            <w:shd w:val="clear" w:color="auto" w:fill="auto"/>
            <w:vAlign w:val="center"/>
          </w:tcPr>
          <w:p w14:paraId="1F88B4C7">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sz w:val="21"/>
                <w:szCs w:val="21"/>
                <w:highlight w:val="none"/>
                <w:lang w:val="en-US" w:eastAsia="zh-CN"/>
              </w:rPr>
            </w:pPr>
          </w:p>
        </w:tc>
        <w:tc>
          <w:tcPr>
            <w:tcW w:w="689" w:type="pct"/>
            <w:shd w:val="clear" w:color="auto" w:fill="auto"/>
            <w:vAlign w:val="center"/>
          </w:tcPr>
          <w:p w14:paraId="577889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100" w:leftChars="50" w:right="0"/>
              <w:jc w:val="center"/>
              <w:textAlignment w:val="center"/>
              <w:rPr>
                <w:rFonts w:hint="default"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项目团队配置</w:t>
            </w:r>
          </w:p>
          <w:p w14:paraId="2244E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100" w:leftChars="50" w:right="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auto"/>
                <w:kern w:val="0"/>
                <w:sz w:val="21"/>
                <w:szCs w:val="21"/>
                <w:highlight w:val="none"/>
                <w:u w:val="none"/>
                <w:lang w:val="en-US" w:eastAsia="zh-CN" w:bidi="ar"/>
              </w:rPr>
              <w:t>（12分）</w:t>
            </w:r>
          </w:p>
        </w:tc>
        <w:tc>
          <w:tcPr>
            <w:tcW w:w="3793" w:type="pct"/>
            <w:shd w:val="clear" w:color="auto" w:fill="auto"/>
            <w:vAlign w:val="center"/>
          </w:tcPr>
          <w:p w14:paraId="3828C8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i w:val="0"/>
                <w:iCs w:val="0"/>
                <w:color w:val="auto"/>
                <w:kern w:val="0"/>
                <w:sz w:val="21"/>
                <w:szCs w:val="21"/>
                <w:highlight w:val="none"/>
                <w:u w:val="none"/>
                <w:lang w:val="en-US" w:eastAsia="zh-CN" w:bidi="ar"/>
              </w:rPr>
              <w:t>根据投标人所提供项目团队配备的</w:t>
            </w:r>
            <w:r>
              <w:rPr>
                <w:rFonts w:hint="eastAsia" w:ascii="宋体" w:hAnsi="宋体" w:cs="宋体"/>
                <w:i w:val="0"/>
                <w:iCs w:val="0"/>
                <w:color w:val="auto"/>
                <w:kern w:val="0"/>
                <w:sz w:val="21"/>
                <w:szCs w:val="21"/>
                <w:highlight w:val="none"/>
                <w:u w:val="none"/>
                <w:lang w:val="en-US" w:eastAsia="zh-CN" w:bidi="ar"/>
              </w:rPr>
              <w:t>人员</w:t>
            </w:r>
            <w:r>
              <w:rPr>
                <w:rFonts w:hint="eastAsia" w:ascii="宋体" w:hAnsi="宋体" w:eastAsia="宋体" w:cs="宋体"/>
                <w:i w:val="0"/>
                <w:iCs w:val="0"/>
                <w:color w:val="auto"/>
                <w:kern w:val="0"/>
                <w:sz w:val="21"/>
                <w:szCs w:val="21"/>
                <w:highlight w:val="none"/>
                <w:u w:val="none"/>
                <w:lang w:val="en-US" w:eastAsia="zh-CN" w:bidi="ar"/>
              </w:rPr>
              <w:t>组成的数量进行评价。每提供 1 人得 2 分，最多得</w:t>
            </w:r>
            <w:r>
              <w:rPr>
                <w:rFonts w:hint="eastAsia" w:ascii="宋体" w:hAnsi="宋体" w:cs="宋体"/>
                <w:i w:val="0"/>
                <w:iCs w:val="0"/>
                <w:color w:val="auto"/>
                <w:kern w:val="0"/>
                <w:sz w:val="21"/>
                <w:szCs w:val="21"/>
                <w:highlight w:val="none"/>
                <w:u w:val="none"/>
                <w:lang w:val="en-US" w:eastAsia="zh-CN" w:bidi="ar"/>
              </w:rPr>
              <w:t>12</w:t>
            </w:r>
            <w:r>
              <w:rPr>
                <w:rFonts w:hint="eastAsia" w:ascii="宋体" w:hAnsi="宋体" w:eastAsia="宋体" w:cs="宋体"/>
                <w:i w:val="0"/>
                <w:iCs w:val="0"/>
                <w:color w:val="auto"/>
                <w:kern w:val="0"/>
                <w:sz w:val="21"/>
                <w:szCs w:val="21"/>
                <w:highlight w:val="none"/>
                <w:u w:val="none"/>
                <w:lang w:val="en-US" w:eastAsia="zh-CN" w:bidi="ar"/>
              </w:rPr>
              <w:t>分。</w:t>
            </w:r>
          </w:p>
          <w:p w14:paraId="498BDA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left"/>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iCs w:val="0"/>
                <w:color w:val="auto"/>
                <w:kern w:val="0"/>
                <w:sz w:val="21"/>
                <w:szCs w:val="21"/>
                <w:highlight w:val="none"/>
                <w:u w:val="none"/>
                <w:lang w:val="en-US" w:eastAsia="zh-CN" w:bidi="ar"/>
              </w:rPr>
              <w:t>标书内附身份证等相关证明材料。</w:t>
            </w:r>
          </w:p>
        </w:tc>
      </w:tr>
      <w:tr w14:paraId="40AA4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516" w:type="pct"/>
            <w:vMerge w:val="continue"/>
            <w:shd w:val="clear" w:color="auto" w:fill="auto"/>
            <w:vAlign w:val="center"/>
          </w:tcPr>
          <w:p w14:paraId="3C182DA3">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sz w:val="21"/>
                <w:szCs w:val="21"/>
                <w:highlight w:val="none"/>
                <w:lang w:val="en-US" w:eastAsia="zh-CN"/>
              </w:rPr>
            </w:pPr>
          </w:p>
        </w:tc>
        <w:tc>
          <w:tcPr>
            <w:tcW w:w="689" w:type="pct"/>
            <w:shd w:val="clear" w:color="auto" w:fill="auto"/>
            <w:vAlign w:val="center"/>
          </w:tcPr>
          <w:p w14:paraId="49A5A0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100" w:leftChars="50" w:right="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服务承诺</w:t>
            </w:r>
          </w:p>
          <w:p w14:paraId="411595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100" w:leftChars="50" w:right="0"/>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宋体" w:hAnsi="宋体" w:cs="宋体"/>
                <w:i w:val="0"/>
                <w:iCs w:val="0"/>
                <w:color w:val="000000"/>
                <w:kern w:val="0"/>
                <w:sz w:val="21"/>
                <w:szCs w:val="21"/>
                <w:u w:val="none"/>
                <w:lang w:val="en-US" w:eastAsia="zh-CN" w:bidi="ar"/>
              </w:rPr>
              <w:t>（5分）</w:t>
            </w:r>
          </w:p>
        </w:tc>
        <w:tc>
          <w:tcPr>
            <w:tcW w:w="3793" w:type="pct"/>
            <w:shd w:val="clear" w:color="auto" w:fill="auto"/>
            <w:vAlign w:val="center"/>
          </w:tcPr>
          <w:p w14:paraId="228C4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center"/>
              <w:rPr>
                <w:rFonts w:hint="eastAsia" w:ascii="宋体" w:hAnsi="宋体" w:cs="宋体"/>
                <w:i w:val="0"/>
                <w:iCs w:val="0"/>
                <w:color w:val="000000"/>
                <w:kern w:val="0"/>
                <w:sz w:val="21"/>
                <w:szCs w:val="21"/>
                <w:highlight w:val="none"/>
                <w:u w:val="none"/>
                <w:lang w:val="en-US" w:eastAsia="zh-CN" w:bidi="ar"/>
              </w:rPr>
            </w:pPr>
            <w:r>
              <w:rPr>
                <w:rFonts w:hint="eastAsia" w:ascii="宋体" w:hAnsi="宋体" w:eastAsia="宋体" w:cs="宋体"/>
                <w:i w:val="0"/>
                <w:iCs w:val="0"/>
                <w:color w:val="000000"/>
                <w:kern w:val="0"/>
                <w:sz w:val="21"/>
                <w:szCs w:val="21"/>
                <w:highlight w:val="none"/>
                <w:u w:val="none"/>
                <w:lang w:val="en-US" w:eastAsia="zh-CN" w:bidi="ar"/>
              </w:rPr>
              <w:t>对本项目提供采购人能接受的有实质性的服务承诺，每有一项得1分，</w:t>
            </w:r>
            <w:r>
              <w:rPr>
                <w:rFonts w:hint="eastAsia" w:ascii="宋体" w:hAnsi="宋体" w:cs="宋体"/>
                <w:i w:val="0"/>
                <w:iCs w:val="0"/>
                <w:color w:val="000000"/>
                <w:kern w:val="0"/>
                <w:sz w:val="21"/>
                <w:szCs w:val="21"/>
                <w:highlight w:val="none"/>
                <w:u w:val="none"/>
                <w:lang w:val="en-US" w:eastAsia="zh-CN" w:bidi="ar"/>
              </w:rPr>
              <w:t>最多得</w:t>
            </w:r>
          </w:p>
          <w:p w14:paraId="6FB0E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80" w:lineRule="exact"/>
              <w:ind w:left="0" w:right="0"/>
              <w:jc w:val="both"/>
              <w:textAlignment w:val="center"/>
              <w:rPr>
                <w:rFonts w:hint="eastAsia" w:ascii="宋体" w:hAnsi="宋体" w:eastAsia="宋体" w:cs="宋体"/>
                <w:bCs/>
                <w:sz w:val="21"/>
                <w:szCs w:val="21"/>
                <w:highlight w:val="none"/>
                <w:lang w:val="en-US" w:eastAsia="zh-CN"/>
              </w:rPr>
            </w:pPr>
            <w:r>
              <w:rPr>
                <w:rFonts w:hint="eastAsia" w:ascii="宋体" w:hAnsi="宋体" w:cs="宋体"/>
                <w:i w:val="0"/>
                <w:iCs w:val="0"/>
                <w:color w:val="000000"/>
                <w:kern w:val="0"/>
                <w:sz w:val="21"/>
                <w:szCs w:val="21"/>
                <w:highlight w:val="none"/>
                <w:u w:val="none"/>
                <w:lang w:val="en-US" w:eastAsia="zh-CN" w:bidi="ar"/>
              </w:rPr>
              <w:t>5</w:t>
            </w:r>
            <w:r>
              <w:rPr>
                <w:rFonts w:hint="eastAsia" w:ascii="宋体" w:hAnsi="宋体" w:eastAsia="宋体" w:cs="宋体"/>
                <w:i w:val="0"/>
                <w:iCs w:val="0"/>
                <w:color w:val="000000"/>
                <w:kern w:val="0"/>
                <w:sz w:val="21"/>
                <w:szCs w:val="21"/>
                <w:highlight w:val="none"/>
                <w:u w:val="none"/>
                <w:lang w:val="en-US" w:eastAsia="zh-CN" w:bidi="ar"/>
              </w:rPr>
              <w:t>分。</w:t>
            </w:r>
          </w:p>
        </w:tc>
      </w:tr>
      <w:tr w14:paraId="1095F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 w:hRule="atLeast"/>
          <w:jc w:val="center"/>
        </w:trPr>
        <w:tc>
          <w:tcPr>
            <w:tcW w:w="516" w:type="pct"/>
            <w:shd w:val="clear" w:color="auto" w:fill="auto"/>
            <w:vAlign w:val="center"/>
          </w:tcPr>
          <w:p w14:paraId="5560AB94">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Cs/>
                <w:sz w:val="21"/>
                <w:szCs w:val="21"/>
                <w:highlight w:val="none"/>
              </w:rPr>
            </w:pPr>
            <w:r>
              <w:rPr>
                <w:rFonts w:hint="eastAsia" w:ascii="宋体" w:hAnsi="宋体" w:eastAsia="宋体" w:cs="宋体"/>
                <w:sz w:val="21"/>
                <w:szCs w:val="21"/>
                <w:highlight w:val="none"/>
                <w:lang w:val="en-US" w:eastAsia="zh-CN"/>
              </w:rPr>
              <w:t>投标报价（10分）</w:t>
            </w:r>
          </w:p>
        </w:tc>
        <w:tc>
          <w:tcPr>
            <w:tcW w:w="689" w:type="pct"/>
            <w:shd w:val="clear" w:color="auto" w:fill="auto"/>
            <w:vAlign w:val="center"/>
          </w:tcPr>
          <w:p w14:paraId="41ECC85E">
            <w:pPr>
              <w:keepNext w:val="0"/>
              <w:keepLines w:val="0"/>
              <w:widowControl/>
              <w:suppressLineNumbers w:val="0"/>
              <w:spacing w:before="0" w:beforeAutospacing="0" w:after="0" w:afterAutospacing="0"/>
              <w:ind w:left="0" w:leftChars="0" w:right="0" w:rightChars="0"/>
              <w:jc w:val="center"/>
              <w:rPr>
                <w:rFonts w:hint="eastAsia" w:ascii="宋体" w:hAnsi="宋体" w:eastAsia="宋体" w:cs="宋体"/>
                <w:bCs/>
                <w:sz w:val="21"/>
                <w:szCs w:val="21"/>
                <w:highlight w:val="none"/>
              </w:rPr>
            </w:pPr>
            <w:r>
              <w:rPr>
                <w:rFonts w:hint="eastAsia" w:ascii="宋体" w:hAnsi="宋体" w:eastAsia="宋体" w:cs="宋体"/>
                <w:sz w:val="21"/>
                <w:szCs w:val="21"/>
                <w:highlight w:val="none"/>
              </w:rPr>
              <w:t>投标报价</w:t>
            </w:r>
            <w:r>
              <w:rPr>
                <w:rFonts w:hint="eastAsia" w:ascii="宋体" w:hAnsi="宋体" w:eastAsia="宋体" w:cs="宋体"/>
                <w:sz w:val="21"/>
                <w:szCs w:val="21"/>
                <w:highlight w:val="none"/>
                <w:lang w:val="en-US" w:eastAsia="zh-CN"/>
              </w:rPr>
              <w:t>得分（10分）</w:t>
            </w:r>
          </w:p>
        </w:tc>
        <w:tc>
          <w:tcPr>
            <w:tcW w:w="3793" w:type="pct"/>
            <w:shd w:val="clear" w:color="auto" w:fill="auto"/>
            <w:vAlign w:val="center"/>
          </w:tcPr>
          <w:p w14:paraId="329F627B">
            <w:pPr>
              <w:keepNext w:val="0"/>
              <w:keepLines w:val="0"/>
              <w:widowControl/>
              <w:suppressLineNumbers w:val="0"/>
              <w:spacing w:before="0" w:beforeAutospacing="0" w:after="0" w:afterAutospacing="0"/>
              <w:ind w:left="0" w:leftChars="0" w:right="0" w:rightChars="0"/>
              <w:jc w:val="both"/>
              <w:rPr>
                <w:rFonts w:hint="eastAsia" w:ascii="宋体" w:hAnsi="宋体" w:eastAsia="宋体" w:cs="宋体"/>
                <w:sz w:val="21"/>
                <w:szCs w:val="21"/>
                <w:highlight w:val="none"/>
              </w:rPr>
            </w:pPr>
            <w:r>
              <w:rPr>
                <w:rFonts w:hint="eastAsia" w:ascii="宋体" w:hAnsi="宋体" w:eastAsia="宋体" w:cs="宋体"/>
                <w:bCs/>
                <w:sz w:val="21"/>
                <w:szCs w:val="21"/>
                <w:highlight w:val="none"/>
                <w:lang w:val="en-US" w:eastAsia="zh-CN"/>
              </w:rPr>
              <w:t>价格分统一采用低价优先法计算，即满足招标文件要求且报价最低的投标人的价格为投标基准价，其价格分为满分10分。</w:t>
            </w:r>
            <w:r>
              <w:rPr>
                <w:rFonts w:hint="eastAsia" w:ascii="宋体" w:hAnsi="宋体" w:eastAsia="宋体" w:cs="宋体"/>
                <w:bCs/>
                <w:sz w:val="21"/>
                <w:szCs w:val="21"/>
                <w:highlight w:val="none"/>
                <w:lang w:val="en-US" w:eastAsia="zh-CN"/>
              </w:rPr>
              <w:br w:type="textWrapping"/>
            </w:r>
            <w:r>
              <w:rPr>
                <w:rFonts w:hint="eastAsia" w:ascii="宋体" w:hAnsi="宋体" w:eastAsia="宋体" w:cs="宋体"/>
                <w:bCs/>
                <w:sz w:val="21"/>
                <w:szCs w:val="21"/>
                <w:highlight w:val="none"/>
                <w:lang w:val="en-US" w:eastAsia="zh-CN"/>
              </w:rPr>
              <w:t>其他投标人的价格分统一按照下列公式计算：</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报价得分=（</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基准价/</w:t>
            </w:r>
            <w:r>
              <w:rPr>
                <w:rFonts w:hint="eastAsia" w:ascii="宋体" w:hAnsi="宋体" w:eastAsia="宋体" w:cs="宋体"/>
                <w:kern w:val="22"/>
                <w:sz w:val="21"/>
                <w:szCs w:val="22"/>
                <w:highlight w:val="none"/>
                <w:lang w:val="en-US" w:eastAsia="zh-CN"/>
              </w:rPr>
              <w:t>投标</w:t>
            </w:r>
            <w:r>
              <w:rPr>
                <w:rFonts w:hint="eastAsia" w:ascii="宋体" w:hAnsi="宋体" w:eastAsia="宋体" w:cs="宋体"/>
                <w:kern w:val="22"/>
                <w:sz w:val="21"/>
                <w:szCs w:val="22"/>
                <w:highlight w:val="none"/>
              </w:rPr>
              <w:t>报价）×价格权值×100。</w:t>
            </w:r>
          </w:p>
        </w:tc>
      </w:tr>
    </w:tbl>
    <w:p w14:paraId="65F8FC8A">
      <w:pPr>
        <w:rPr>
          <w:rFonts w:hint="eastAsia" w:ascii="宋体" w:hAnsi="宋体" w:cs="宋体"/>
          <w:b/>
          <w:sz w:val="24"/>
          <w:szCs w:val="24"/>
          <w:highlight w:val="none"/>
        </w:rPr>
      </w:pPr>
      <w:r>
        <w:rPr>
          <w:rFonts w:hint="eastAsia" w:ascii="宋体" w:hAnsi="宋体" w:cs="宋体"/>
          <w:b/>
          <w:sz w:val="24"/>
          <w:szCs w:val="24"/>
          <w:highlight w:val="none"/>
        </w:rPr>
        <w:br w:type="page"/>
      </w:r>
    </w:p>
    <w:p w14:paraId="6E66445F">
      <w:pPr>
        <w:rPr>
          <w:rFonts w:ascii="宋体" w:hAnsi="宋体" w:cs="宋体"/>
          <w:b/>
          <w:sz w:val="24"/>
          <w:szCs w:val="24"/>
          <w:highlight w:val="none"/>
        </w:rPr>
      </w:pPr>
      <w:r>
        <w:rPr>
          <w:rFonts w:hint="eastAsia" w:ascii="宋体" w:hAnsi="宋体" w:cs="宋体"/>
          <w:b/>
          <w:sz w:val="24"/>
          <w:szCs w:val="24"/>
          <w:highlight w:val="none"/>
          <w:lang w:val="en-US" w:eastAsia="zh-CN"/>
        </w:rPr>
        <w:t>四</w:t>
      </w:r>
      <w:r>
        <w:rPr>
          <w:rFonts w:hint="eastAsia" w:ascii="宋体" w:hAnsi="宋体" w:cs="宋体"/>
          <w:b/>
          <w:sz w:val="24"/>
          <w:szCs w:val="24"/>
          <w:highlight w:val="none"/>
        </w:rPr>
        <w:t>、政府采购政策</w:t>
      </w:r>
    </w:p>
    <w:p w14:paraId="50021662">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一、 小型和微型企业产品价格扣除 </w:t>
      </w:r>
    </w:p>
    <w:p w14:paraId="46AD7A03">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(一) 根据财政部、工业和信息化部印发的《政府采购促进中小企业发展管理办法》（财库[2020]46 号）、《关于进一步加大政府采购支持中小企业力度的通知》（财库〔2022〕19 号）的规定，</w:t>
      </w:r>
      <w:r>
        <w:rPr>
          <w:rFonts w:hint="eastAsia" w:ascii="宋体" w:hAnsi="宋体" w:eastAsia="宋体" w:cs="宋体"/>
          <w:b/>
          <w:bCs/>
          <w:sz w:val="21"/>
          <w:szCs w:val="21"/>
          <w:lang w:val="en-US" w:eastAsia="zh-CN"/>
        </w:rPr>
        <w:t xml:space="preserve">本项目专门面向中小企业采购，申请人应为中小微企业、监狱企业、残疾人福利性单位。中小企业参加政府采购活动，应当出具本办法规定的《中小企业声明函》。 </w:t>
      </w:r>
      <w:r>
        <w:rPr>
          <w:rFonts w:hint="eastAsia" w:asciiTheme="minorEastAsia" w:hAnsiTheme="minorEastAsia" w:eastAsiaTheme="minorEastAsia" w:cstheme="minorEastAsia"/>
          <w:sz w:val="21"/>
          <w:szCs w:val="21"/>
          <w:lang w:val="en-US" w:eastAsia="zh-CN"/>
        </w:rPr>
        <w:t xml:space="preserve"> </w:t>
      </w:r>
    </w:p>
    <w:p w14:paraId="2A8F96CE">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(二) 《政府采购促进中小企业发展管理办法》所称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中小企业划分标准以《工业和信息化部、国家统计局、国家发展和改革委员会、财政部关于印发中小企业划型标准规定的通知》（工信部联企业[2011]300 号）规定的划分标准为准。小型、微型企业提供中型企业制造的货物的，视同为中型企业。在货物采购项目中，供应商提供的货物既有中小企业制造货物，也有大型企业制造货物的，不享受本办法规定的中小企业扶持政策。以联合体形式参加政府采购活动，联合体各方均为中小企业的，联合体视同中小企业。其中，联合体各方均为小微企业的，联合体视同小微企业。 </w:t>
      </w:r>
    </w:p>
    <w:p w14:paraId="763FA458">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(三) 参加政府采购活动的中小企业应当提供《中小企业声明函》（格式见第六章投标文件格式）。中标、成交供应商享受本办法规定的中小企业扶持政策的，采购人、采购代理机构应当随中标、成交结果公开中标、成交供应商的《中小企业声明函》。供应商按照本办法规定提供声明函内容不实的，属于提供虚假材料谋取中标、成交，依照《中华人民共和国政府采购法》等国家有关规定追究相应责任。 </w:t>
      </w:r>
    </w:p>
    <w:p w14:paraId="04738C43">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(四) 监狱企业产品价格扣除 </w:t>
      </w:r>
    </w:p>
    <w:p w14:paraId="11173E61">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1.监狱企业视同小型、微型企业，按上述第（一）条款享受评审中价格扣除。 </w:t>
      </w:r>
    </w:p>
    <w:p w14:paraId="14F55BBC">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2.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 </w:t>
      </w:r>
    </w:p>
    <w:p w14:paraId="79DD9036">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3.监狱企业参加政府采购活动时，应当提供由省级以上监狱管理局、戒毒管理局（含新疆生产建设兵团）出具的属于监狱企业的证明文件，否则不予认可。 </w:t>
      </w:r>
    </w:p>
    <w:p w14:paraId="565E258B">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(五) 残疾人福利性单位产品价格扣除 </w:t>
      </w:r>
    </w:p>
    <w:p w14:paraId="43191892">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1. 残疾人福利性单位视同小型、微型企业，按上述第（一）条款享受评审中价格扣除。 </w:t>
      </w:r>
    </w:p>
    <w:p w14:paraId="09EE1014">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2. 根据财政部、民政部、中国残疾人联合会印发的《关于促进残疾人就业政府采购政策的通知》（财库〔2017〕141 号）的规定，符合条件的残疾人福利性单位在参加政府采购活动时，应当提供该通知规定的《残疾人福利性单位声明函》（格式见第六章投标文件格式），并对声明的真实性负责。一旦中标将在中标公告中公告其声明函，接受社会监督。投标人提供的《残疾人福利性单位声明函》与事实不符的，依照《中华人民共和国政府采购法》第七十七条第一款的规定追究法律责任。 </w:t>
      </w:r>
    </w:p>
    <w:p w14:paraId="54D1B9A5">
      <w:pPr>
        <w:autoSpaceDE w:val="0"/>
        <w:autoSpaceDN w:val="0"/>
        <w:adjustRightInd w:val="0"/>
        <w:spacing w:line="400" w:lineRule="exact"/>
        <w:ind w:firstLine="420" w:firstLineChars="200"/>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 xml:space="preserve">二、 投标人同时为小型、微型企业、监狱企业、残疾人福利性单位任两种或以上情况的，评审中只享受一次价格扣除，不重复进行价格扣除。 </w:t>
      </w:r>
    </w:p>
    <w:p w14:paraId="31ED823A">
      <w:pPr>
        <w:rPr>
          <w:rFonts w:hint="eastAsia" w:ascii="宋体" w:hAnsi="宋体" w:cs="宋体"/>
          <w:szCs w:val="18"/>
          <w:highlight w:val="none"/>
        </w:rPr>
      </w:pPr>
    </w:p>
    <w:p w14:paraId="4621CBF8">
      <w:pPr>
        <w:pStyle w:val="2"/>
        <w:spacing w:before="0" w:after="0" w:line="360" w:lineRule="auto"/>
        <w:jc w:val="center"/>
        <w:rPr>
          <w:rFonts w:hint="eastAsia" w:ascii="宋体" w:hAnsi="宋体" w:eastAsia="宋体" w:cs="宋体"/>
          <w:sz w:val="36"/>
          <w:szCs w:val="36"/>
          <w:highlight w:val="none"/>
        </w:rPr>
      </w:pPr>
      <w:r>
        <w:rPr>
          <w:rFonts w:hint="eastAsia" w:ascii="宋体" w:hAnsi="宋体" w:eastAsia="宋体" w:cs="宋体"/>
          <w:sz w:val="36"/>
          <w:szCs w:val="36"/>
          <w:highlight w:val="none"/>
          <w:lang w:val="en-US" w:eastAsia="zh-CN"/>
        </w:rPr>
        <w:t>第四部分</w:t>
      </w:r>
      <w:r>
        <w:rPr>
          <w:rFonts w:hint="eastAsia" w:ascii="宋体" w:hAnsi="宋体" w:eastAsia="宋体" w:cs="宋体"/>
          <w:sz w:val="36"/>
          <w:szCs w:val="36"/>
          <w:highlight w:val="none"/>
        </w:rPr>
        <w:t xml:space="preserve"> </w:t>
      </w:r>
      <w:bookmarkStart w:id="57" w:name="_第五部分__"/>
      <w:bookmarkEnd w:id="57"/>
      <w:r>
        <w:rPr>
          <w:rFonts w:hint="eastAsia" w:ascii="宋体" w:hAnsi="宋体" w:eastAsia="宋体" w:cs="宋体"/>
          <w:sz w:val="36"/>
          <w:szCs w:val="36"/>
          <w:highlight w:val="none"/>
          <w:lang w:val="en-US" w:eastAsia="zh-CN"/>
        </w:rPr>
        <w:t>合同条款及格式</w:t>
      </w:r>
    </w:p>
    <w:p w14:paraId="09244EB9">
      <w:pPr>
        <w:spacing w:line="288" w:lineRule="auto"/>
        <w:ind w:firstLine="482" w:firstLineChars="200"/>
        <w:rPr>
          <w:b/>
          <w:bCs/>
          <w:highlight w:val="none"/>
        </w:rPr>
      </w:pPr>
      <w:r>
        <w:rPr>
          <w:rFonts w:hint="eastAsia" w:ascii="宋体" w:hAnsi="宋体" w:cs="宋体"/>
          <w:b/>
          <w:bCs/>
          <w:color w:val="000000"/>
          <w:sz w:val="24"/>
          <w:szCs w:val="24"/>
          <w:highlight w:val="none"/>
          <w:lang w:bidi="ar"/>
        </w:rPr>
        <w:t xml:space="preserve"> </w:t>
      </w:r>
    </w:p>
    <w:p w14:paraId="2F613622">
      <w:pPr>
        <w:pStyle w:val="9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zh-CN"/>
        </w:rPr>
        <w:t>（具体以甲乙双方实际签订为准）</w:t>
      </w:r>
    </w:p>
    <w:p w14:paraId="5577489E">
      <w:pPr>
        <w:pStyle w:val="98"/>
        <w:rPr>
          <w:rFonts w:hAnsi="宋体"/>
          <w:color w:val="auto"/>
          <w:highlight w:val="none"/>
        </w:rPr>
      </w:pPr>
    </w:p>
    <w:p w14:paraId="361369D9">
      <w:pPr>
        <w:rPr>
          <w:rFonts w:ascii="宋体" w:hAnsi="宋体" w:cs="宋体"/>
          <w:highlight w:val="none"/>
        </w:rPr>
      </w:pPr>
      <w:r>
        <w:rPr>
          <w:rFonts w:ascii="宋体" w:hAnsi="宋体" w:cs="宋体"/>
          <w:highlight w:val="none"/>
        </w:rPr>
        <w:br w:type="page"/>
      </w:r>
    </w:p>
    <w:p w14:paraId="1CCA07E1">
      <w:pPr>
        <w:rPr>
          <w:rFonts w:ascii="宋体" w:hAnsi="宋体" w:cs="宋体"/>
          <w:highlight w:val="none"/>
        </w:rPr>
      </w:pPr>
    </w:p>
    <w:p w14:paraId="530C85B5">
      <w:pPr>
        <w:pStyle w:val="2"/>
        <w:spacing w:before="0" w:after="0" w:line="360" w:lineRule="auto"/>
        <w:jc w:val="center"/>
        <w:rPr>
          <w:rFonts w:hint="default" w:ascii="宋体" w:hAnsi="宋体" w:eastAsia="宋体" w:cs="宋体"/>
          <w:sz w:val="36"/>
          <w:szCs w:val="36"/>
          <w:highlight w:val="none"/>
          <w:lang w:val="en-US" w:eastAsia="zh-CN"/>
        </w:rPr>
      </w:pPr>
      <w:bookmarkStart w:id="58" w:name="_Toc18914"/>
      <w:r>
        <w:rPr>
          <w:rFonts w:hint="eastAsia" w:ascii="宋体" w:hAnsi="宋体" w:cs="宋体"/>
          <w:sz w:val="36"/>
          <w:szCs w:val="36"/>
          <w:highlight w:val="none"/>
        </w:rPr>
        <w:t xml:space="preserve">第五部分  </w:t>
      </w:r>
      <w:bookmarkEnd w:id="58"/>
      <w:r>
        <w:rPr>
          <w:rFonts w:hint="eastAsia" w:ascii="宋体" w:hAnsi="宋体" w:cs="宋体"/>
          <w:sz w:val="36"/>
          <w:szCs w:val="36"/>
          <w:highlight w:val="none"/>
          <w:lang w:val="en-US" w:eastAsia="zh-CN"/>
        </w:rPr>
        <w:t>采购需求</w:t>
      </w:r>
    </w:p>
    <w:p w14:paraId="63463F55">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bookmarkStart w:id="59" w:name="_Toc22209"/>
      <w:r>
        <w:rPr>
          <w:rFonts w:ascii="宋体" w:hAnsi="宋体" w:eastAsia="Arial" w:cs="宋体"/>
          <w:snapToGrid w:val="0"/>
          <w:color w:val="000000"/>
          <w:kern w:val="0"/>
          <w:sz w:val="24"/>
          <w:szCs w:val="24"/>
          <w:lang w:val="en-US" w:eastAsia="en-US" w:bidi="ar-SA"/>
        </w:rPr>
        <w:t>1、</w:t>
      </w:r>
      <w:r>
        <w:rPr>
          <w:rFonts w:hint="eastAsia" w:ascii="宋体" w:hAnsi="宋体" w:eastAsia="Arial" w:cs="宋体"/>
          <w:b/>
          <w:bCs/>
          <w:snapToGrid w:val="0"/>
          <w:color w:val="000000"/>
          <w:kern w:val="0"/>
          <w:sz w:val="24"/>
          <w:szCs w:val="24"/>
          <w:lang w:eastAsia="en-US"/>
        </w:rPr>
        <w:t>自主可控：</w:t>
      </w:r>
      <w:r>
        <w:rPr>
          <w:rFonts w:hint="eastAsia" w:ascii="宋体" w:hAnsi="宋体" w:eastAsia="Arial" w:cs="宋体"/>
          <w:snapToGrid w:val="0"/>
          <w:color w:val="000000"/>
          <w:kern w:val="0"/>
          <w:sz w:val="24"/>
          <w:szCs w:val="24"/>
          <w:lang w:eastAsia="en-US"/>
        </w:rPr>
        <w:t>具备独立知识产权，自主可控全球专利检索分析数据库，不接受多个数据库组合。</w:t>
      </w:r>
    </w:p>
    <w:p w14:paraId="7E1A27D2">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r>
        <w:rPr>
          <w:rFonts w:ascii="宋体" w:hAnsi="宋体" w:eastAsia="Arial" w:cs="宋体"/>
          <w:snapToGrid w:val="0"/>
          <w:color w:val="000000"/>
          <w:kern w:val="0"/>
          <w:sz w:val="24"/>
          <w:szCs w:val="24"/>
          <w:lang w:val="en-US" w:eastAsia="en-US" w:bidi="ar-SA"/>
        </w:rPr>
        <w:t>2、</w:t>
      </w:r>
      <w:r>
        <w:rPr>
          <w:rFonts w:hint="eastAsia" w:ascii="宋体" w:hAnsi="宋体" w:eastAsia="Arial" w:cs="宋体"/>
          <w:b/>
          <w:bCs/>
          <w:snapToGrid w:val="0"/>
          <w:color w:val="000000"/>
          <w:kern w:val="0"/>
          <w:sz w:val="24"/>
          <w:szCs w:val="24"/>
          <w:lang w:eastAsia="en-US"/>
        </w:rPr>
        <w:t>访问方式：</w:t>
      </w:r>
      <w:r>
        <w:rPr>
          <w:rFonts w:hint="eastAsia" w:ascii="宋体" w:hAnsi="宋体" w:eastAsia="Arial" w:cs="宋体"/>
          <w:snapToGrid w:val="0"/>
          <w:color w:val="000000"/>
          <w:kern w:val="0"/>
          <w:sz w:val="24"/>
          <w:szCs w:val="24"/>
          <w:lang w:eastAsia="en-US"/>
        </w:rPr>
        <w:t>IP段访问，IP段内注册账号数量不限、并发数量不少于</w:t>
      </w:r>
      <w:r>
        <w:rPr>
          <w:rFonts w:ascii="宋体" w:hAnsi="宋体" w:eastAsia="Arial" w:cs="宋体"/>
          <w:snapToGrid w:val="0"/>
          <w:color w:val="000000"/>
          <w:kern w:val="0"/>
          <w:sz w:val="24"/>
          <w:szCs w:val="24"/>
          <w:lang w:eastAsia="en-US"/>
        </w:rPr>
        <w:t>20</w:t>
      </w:r>
      <w:r>
        <w:rPr>
          <w:rFonts w:hint="eastAsia" w:ascii="宋体" w:hAnsi="宋体" w:eastAsia="Arial" w:cs="宋体"/>
          <w:snapToGrid w:val="0"/>
          <w:color w:val="000000"/>
          <w:kern w:val="0"/>
          <w:sz w:val="24"/>
          <w:szCs w:val="24"/>
          <w:lang w:eastAsia="en-US"/>
        </w:rPr>
        <w:t>个。</w:t>
      </w:r>
    </w:p>
    <w:p w14:paraId="4E29A289">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r>
        <w:rPr>
          <w:rFonts w:ascii="宋体" w:hAnsi="宋体" w:eastAsia="Arial" w:cs="宋体"/>
          <w:snapToGrid w:val="0"/>
          <w:color w:val="000000"/>
          <w:kern w:val="0"/>
          <w:sz w:val="24"/>
          <w:szCs w:val="24"/>
          <w:lang w:val="en-US" w:eastAsia="en-US" w:bidi="ar-SA"/>
        </w:rPr>
        <w:t>3、</w:t>
      </w:r>
      <w:r>
        <w:rPr>
          <w:rFonts w:hint="eastAsia" w:ascii="宋体" w:hAnsi="宋体" w:eastAsia="Arial" w:cs="宋体"/>
          <w:b/>
          <w:bCs/>
          <w:snapToGrid w:val="0"/>
          <w:color w:val="000000"/>
          <w:kern w:val="0"/>
          <w:sz w:val="24"/>
          <w:szCs w:val="24"/>
          <w:lang w:eastAsia="en-US"/>
        </w:rPr>
        <w:t>数据范围：</w:t>
      </w:r>
      <w:r>
        <w:rPr>
          <w:rFonts w:hint="eastAsia" w:ascii="宋体" w:hAnsi="宋体" w:eastAsia="Arial" w:cs="宋体"/>
          <w:snapToGrid w:val="0"/>
          <w:color w:val="000000"/>
          <w:kern w:val="0"/>
          <w:sz w:val="24"/>
          <w:szCs w:val="24"/>
          <w:lang w:eastAsia="en-US"/>
        </w:rPr>
        <w:t>覆盖172个国家/地区/国际组织，专利数量不少于2亿件。</w:t>
      </w:r>
    </w:p>
    <w:p w14:paraId="1CC9149E">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r>
        <w:rPr>
          <w:rFonts w:ascii="宋体" w:hAnsi="宋体" w:eastAsia="Arial" w:cs="宋体"/>
          <w:snapToGrid w:val="0"/>
          <w:color w:val="000000"/>
          <w:kern w:val="0"/>
          <w:sz w:val="24"/>
          <w:szCs w:val="24"/>
          <w:lang w:val="en-US" w:eastAsia="en-US" w:bidi="ar-SA"/>
        </w:rPr>
        <w:t>4、</w:t>
      </w:r>
      <w:r>
        <w:rPr>
          <w:rFonts w:hint="eastAsia" w:ascii="宋体" w:hAnsi="宋体" w:eastAsia="Arial" w:cs="宋体"/>
          <w:b/>
          <w:bCs/>
          <w:snapToGrid w:val="0"/>
          <w:color w:val="000000"/>
          <w:kern w:val="0"/>
          <w:sz w:val="24"/>
          <w:szCs w:val="24"/>
          <w:lang w:eastAsia="en-US"/>
        </w:rPr>
        <w:t>检索功能：</w:t>
      </w:r>
      <w:r>
        <w:rPr>
          <w:rFonts w:hint="eastAsia" w:ascii="宋体" w:hAnsi="宋体" w:eastAsia="Arial" w:cs="宋体"/>
          <w:snapToGrid w:val="0"/>
          <w:color w:val="000000"/>
          <w:kern w:val="0"/>
          <w:sz w:val="24"/>
          <w:szCs w:val="24"/>
          <w:lang w:eastAsia="en-US"/>
        </w:rPr>
        <w:t>检索功能模块不低于9个，并支持语义检索、图像检索、新创性检索、AI等。</w:t>
      </w:r>
    </w:p>
    <w:p w14:paraId="56922A02">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r>
        <w:rPr>
          <w:rFonts w:ascii="宋体" w:hAnsi="宋体" w:eastAsia="Arial" w:cs="宋体"/>
          <w:snapToGrid w:val="0"/>
          <w:color w:val="000000"/>
          <w:kern w:val="0"/>
          <w:sz w:val="24"/>
          <w:szCs w:val="24"/>
          <w:lang w:val="en-US" w:eastAsia="en-US" w:bidi="ar-SA"/>
        </w:rPr>
        <w:t>5、</w:t>
      </w:r>
      <w:r>
        <w:rPr>
          <w:rFonts w:hint="eastAsia" w:ascii="宋体" w:hAnsi="宋体" w:eastAsia="Arial" w:cs="宋体"/>
          <w:b/>
          <w:bCs/>
          <w:snapToGrid w:val="0"/>
          <w:color w:val="000000"/>
          <w:kern w:val="0"/>
          <w:sz w:val="24"/>
          <w:szCs w:val="24"/>
          <w:lang w:eastAsia="en-US"/>
        </w:rPr>
        <w:t>分析功能：</w:t>
      </w:r>
      <w:r>
        <w:rPr>
          <w:rFonts w:hint="eastAsia" w:ascii="宋体" w:hAnsi="宋体" w:eastAsia="Arial" w:cs="宋体"/>
          <w:snapToGrid w:val="0"/>
          <w:color w:val="000000"/>
          <w:kern w:val="0"/>
          <w:sz w:val="24"/>
          <w:szCs w:val="24"/>
          <w:lang w:eastAsia="en-US"/>
        </w:rPr>
        <w:t>分析功能包括年份分析、申请人分析、发明人分析、地域分析、代理人及机构分析、技术领域分析、自定义分析等维度，并提供文本聚类分析、专利沙盘图分析、AI深度分析等功能。</w:t>
      </w:r>
    </w:p>
    <w:p w14:paraId="6CA2ECF5">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eastAsia="en-US"/>
        </w:rPr>
      </w:pPr>
      <w:r>
        <w:rPr>
          <w:rFonts w:ascii="宋体" w:hAnsi="宋体" w:eastAsia="Arial" w:cs="宋体"/>
          <w:snapToGrid w:val="0"/>
          <w:color w:val="000000"/>
          <w:kern w:val="0"/>
          <w:sz w:val="24"/>
          <w:szCs w:val="24"/>
          <w:lang w:val="en-US" w:eastAsia="en-US" w:bidi="ar-SA"/>
        </w:rPr>
        <w:t>6、</w:t>
      </w:r>
      <w:r>
        <w:rPr>
          <w:rFonts w:hint="eastAsia" w:ascii="宋体" w:hAnsi="宋体" w:eastAsia="Arial" w:cs="宋体"/>
          <w:b/>
          <w:bCs/>
          <w:snapToGrid w:val="0"/>
          <w:color w:val="000000"/>
          <w:kern w:val="0"/>
          <w:sz w:val="24"/>
          <w:szCs w:val="24"/>
          <w:lang w:eastAsia="en-US"/>
        </w:rPr>
        <w:t>专题库：</w:t>
      </w:r>
      <w:r>
        <w:rPr>
          <w:rFonts w:hint="eastAsia" w:ascii="宋体" w:hAnsi="宋体" w:eastAsia="Arial" w:cs="宋体"/>
          <w:snapToGrid w:val="0"/>
          <w:color w:val="000000"/>
          <w:kern w:val="0"/>
          <w:sz w:val="24"/>
          <w:szCs w:val="24"/>
          <w:lang w:eastAsia="en-US"/>
        </w:rPr>
        <w:t>视采购人具体需求免费构建专利专题库，个数不限。</w:t>
      </w:r>
    </w:p>
    <w:p w14:paraId="018FC43B">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val="en-US" w:eastAsia="en-US" w:bidi="ar-SA"/>
        </w:rPr>
      </w:pPr>
      <w:r>
        <w:rPr>
          <w:rFonts w:ascii="宋体" w:hAnsi="宋体" w:eastAsia="Arial" w:cs="宋体"/>
          <w:snapToGrid w:val="0"/>
          <w:color w:val="000000"/>
          <w:kern w:val="0"/>
          <w:sz w:val="24"/>
          <w:szCs w:val="24"/>
          <w:lang w:val="en-US" w:eastAsia="en-US" w:bidi="ar-SA"/>
        </w:rPr>
        <w:t>7、</w:t>
      </w:r>
      <w:r>
        <w:rPr>
          <w:rFonts w:hint="eastAsia" w:ascii="宋体" w:hAnsi="宋体" w:eastAsia="Arial" w:cs="宋体"/>
          <w:b/>
          <w:bCs/>
          <w:snapToGrid w:val="0"/>
          <w:color w:val="000000"/>
          <w:kern w:val="0"/>
          <w:sz w:val="24"/>
          <w:szCs w:val="24"/>
          <w:lang w:val="en-US" w:eastAsia="en-US" w:bidi="ar-SA"/>
        </w:rPr>
        <w:t>专利预警：</w:t>
      </w:r>
      <w:r>
        <w:rPr>
          <w:rFonts w:hint="eastAsia" w:ascii="宋体" w:hAnsi="宋体" w:eastAsia="Arial" w:cs="宋体"/>
          <w:snapToGrid w:val="0"/>
          <w:color w:val="000000"/>
          <w:kern w:val="0"/>
          <w:sz w:val="24"/>
          <w:szCs w:val="24"/>
          <w:lang w:val="en-US" w:eastAsia="en-US" w:bidi="ar-SA"/>
        </w:rPr>
        <w:t>支持对于指定检索表达式/单篇专利周期性地监控，命中最新检索结果，或者对指定文件夹中的文件周期性监控其专利状态变化。</w:t>
      </w:r>
    </w:p>
    <w:p w14:paraId="4F0DEB83">
      <w:pPr>
        <w:numPr>
          <w:ilvl w:val="0"/>
          <w:numId w:val="0"/>
        </w:numPr>
        <w:kinsoku w:val="0"/>
        <w:autoSpaceDE w:val="0"/>
        <w:autoSpaceDN w:val="0"/>
        <w:adjustRightInd w:val="0"/>
        <w:snapToGrid w:val="0"/>
        <w:spacing w:line="360" w:lineRule="auto"/>
        <w:jc w:val="left"/>
        <w:textAlignment w:val="baseline"/>
        <w:rPr>
          <w:rFonts w:ascii="宋体" w:hAnsi="宋体" w:eastAsia="Arial" w:cs="宋体"/>
          <w:snapToGrid w:val="0"/>
          <w:color w:val="000000"/>
          <w:kern w:val="0"/>
          <w:sz w:val="24"/>
          <w:szCs w:val="24"/>
          <w:lang w:val="en-US" w:eastAsia="en-US" w:bidi="ar-SA"/>
        </w:rPr>
      </w:pPr>
      <w:r>
        <w:rPr>
          <w:rFonts w:ascii="宋体" w:hAnsi="宋体" w:eastAsia="Arial" w:cs="宋体"/>
          <w:b/>
          <w:bCs/>
          <w:snapToGrid w:val="0"/>
          <w:color w:val="000000"/>
          <w:kern w:val="0"/>
          <w:sz w:val="24"/>
          <w:szCs w:val="24"/>
          <w:lang w:val="en-US" w:eastAsia="en-US" w:bidi="ar-SA"/>
        </w:rPr>
        <w:t>8、</w:t>
      </w:r>
      <w:r>
        <w:rPr>
          <w:rFonts w:hint="eastAsia" w:ascii="宋体" w:hAnsi="宋体" w:eastAsia="Arial" w:cs="宋体"/>
          <w:b/>
          <w:bCs/>
          <w:snapToGrid w:val="0"/>
          <w:color w:val="000000"/>
          <w:kern w:val="0"/>
          <w:sz w:val="24"/>
          <w:szCs w:val="24"/>
          <w:lang w:val="en-US" w:eastAsia="en-US" w:bidi="ar-SA"/>
        </w:rPr>
        <w:t>培训服务：</w:t>
      </w:r>
      <w:r>
        <w:rPr>
          <w:rFonts w:hint="eastAsia" w:ascii="宋体" w:hAnsi="宋体" w:eastAsia="Arial" w:cs="宋体"/>
          <w:snapToGrid w:val="0"/>
          <w:color w:val="000000"/>
          <w:kern w:val="0"/>
          <w:sz w:val="24"/>
          <w:szCs w:val="24"/>
          <w:lang w:val="en-US" w:eastAsia="en-US" w:bidi="ar-SA"/>
        </w:rPr>
        <w:t>在采购人指定地点，为采购人提供数据库使用培训，数据库使用培训时间视采购人的具体情况而定。</w:t>
      </w:r>
    </w:p>
    <w:bookmarkEnd w:id="59"/>
    <w:p w14:paraId="4F346938">
      <w:pPr>
        <w:rPr>
          <w:rFonts w:hint="eastAsia" w:ascii="宋体" w:hAnsi="宋体" w:eastAsia="宋体" w:cs="宋体"/>
          <w:sz w:val="36"/>
          <w:szCs w:val="36"/>
          <w:highlight w:val="none"/>
          <w:lang w:val="en-US" w:eastAsia="zh-CN"/>
        </w:rPr>
      </w:pPr>
      <w:bookmarkStart w:id="60" w:name="_Toc19534"/>
      <w:r>
        <w:rPr>
          <w:rFonts w:hint="eastAsia" w:ascii="宋体" w:hAnsi="宋体" w:cs="宋体"/>
          <w:sz w:val="36"/>
          <w:szCs w:val="36"/>
          <w:highlight w:val="none"/>
        </w:rPr>
        <w:br w:type="page"/>
      </w:r>
      <w:r>
        <w:rPr>
          <w:rFonts w:hint="eastAsia" w:ascii="宋体" w:hAnsi="宋体" w:cs="宋体"/>
          <w:sz w:val="36"/>
          <w:szCs w:val="36"/>
          <w:highlight w:val="none"/>
          <w:lang w:val="en-US" w:eastAsia="zh-CN"/>
        </w:rPr>
        <w:t xml:space="preserve"> </w:t>
      </w:r>
    </w:p>
    <w:p w14:paraId="40DDF02E">
      <w:pPr>
        <w:pStyle w:val="2"/>
        <w:spacing w:before="0" w:after="0" w:line="360" w:lineRule="auto"/>
        <w:jc w:val="center"/>
        <w:rPr>
          <w:rFonts w:ascii="宋体" w:hAnsi="宋体" w:cs="宋体"/>
          <w:sz w:val="36"/>
          <w:szCs w:val="36"/>
          <w:highlight w:val="none"/>
        </w:rPr>
      </w:pPr>
      <w:r>
        <w:rPr>
          <w:rFonts w:hint="eastAsia" w:ascii="宋体" w:hAnsi="宋体" w:cs="宋体"/>
          <w:sz w:val="36"/>
          <w:szCs w:val="36"/>
          <w:highlight w:val="none"/>
        </w:rPr>
        <w:t xml:space="preserve">第六部分  </w:t>
      </w:r>
      <w:bookmarkEnd w:id="26"/>
      <w:r>
        <w:rPr>
          <w:rFonts w:hint="eastAsia" w:ascii="宋体" w:hAnsi="宋体" w:cs="宋体"/>
          <w:sz w:val="36"/>
          <w:szCs w:val="36"/>
          <w:highlight w:val="none"/>
        </w:rPr>
        <w:t>投标文件格式</w:t>
      </w:r>
      <w:bookmarkEnd w:id="60"/>
    </w:p>
    <w:p w14:paraId="78E001B9">
      <w:pPr>
        <w:spacing w:line="440" w:lineRule="exact"/>
        <w:rPr>
          <w:rFonts w:ascii="宋体" w:hAnsi="宋体" w:cs="宋体"/>
          <w:highlight w:val="none"/>
        </w:rPr>
      </w:pPr>
    </w:p>
    <w:p w14:paraId="5F4A0A8D">
      <w:pPr>
        <w:rPr>
          <w:rFonts w:ascii="宋体" w:hAnsi="宋体" w:cs="宋体"/>
          <w:highlight w:val="none"/>
        </w:rPr>
      </w:pPr>
      <w:r>
        <w:rPr>
          <w:rFonts w:hint="eastAsia" w:ascii="宋体" w:hAnsi="宋体" w:cs="宋体"/>
          <w:highlight w:val="none"/>
        </w:rPr>
        <w:br w:type="page"/>
      </w:r>
    </w:p>
    <w:p w14:paraId="5CE0FAF3">
      <w:pPr>
        <w:pStyle w:val="64"/>
        <w:rPr>
          <w:rFonts w:ascii="宋体" w:hAnsi="宋体" w:eastAsia="宋体" w:cs="宋体"/>
          <w:highlight w:val="none"/>
        </w:rPr>
      </w:pPr>
    </w:p>
    <w:p w14:paraId="65892A54">
      <w:pPr>
        <w:spacing w:line="440" w:lineRule="exact"/>
        <w:rPr>
          <w:rFonts w:ascii="宋体" w:hAnsi="宋体" w:cs="宋体"/>
          <w:highlight w:val="none"/>
        </w:rPr>
      </w:pPr>
    </w:p>
    <w:p w14:paraId="16CD1F01">
      <w:pPr>
        <w:pStyle w:val="64"/>
        <w:jc w:val="right"/>
        <w:rPr>
          <w:rFonts w:ascii="宋体" w:hAnsi="宋体" w:eastAsia="宋体" w:cs="宋体"/>
          <w:b/>
          <w:bCs/>
          <w:sz w:val="36"/>
          <w:szCs w:val="36"/>
          <w:highlight w:val="none"/>
        </w:rPr>
      </w:pPr>
      <w:r>
        <w:rPr>
          <w:rFonts w:hint="eastAsia" w:ascii="宋体" w:hAnsi="宋体" w:eastAsia="宋体" w:cs="宋体"/>
          <w:b/>
          <w:bCs/>
          <w:sz w:val="36"/>
          <w:szCs w:val="36"/>
          <w:highlight w:val="none"/>
        </w:rPr>
        <w:t>正/副本</w:t>
      </w:r>
    </w:p>
    <w:p w14:paraId="67DF3DA4">
      <w:pPr>
        <w:pStyle w:val="64"/>
        <w:rPr>
          <w:rFonts w:ascii="宋体" w:hAnsi="宋体" w:eastAsia="宋体" w:cs="宋体"/>
          <w:highlight w:val="none"/>
        </w:rPr>
      </w:pPr>
    </w:p>
    <w:p w14:paraId="1EF16A06">
      <w:pPr>
        <w:pStyle w:val="64"/>
        <w:rPr>
          <w:rFonts w:ascii="宋体" w:hAnsi="宋体" w:eastAsia="宋体" w:cs="宋体"/>
          <w:highlight w:val="none"/>
        </w:rPr>
      </w:pPr>
    </w:p>
    <w:p w14:paraId="06C37D6A">
      <w:pPr>
        <w:spacing w:line="440" w:lineRule="exact"/>
        <w:rPr>
          <w:rFonts w:ascii="宋体" w:hAnsi="宋体" w:cs="宋体"/>
          <w:highlight w:val="none"/>
        </w:rPr>
      </w:pPr>
    </w:p>
    <w:p w14:paraId="74132F44">
      <w:pPr>
        <w:jc w:val="center"/>
        <w:rPr>
          <w:rFonts w:ascii="宋体" w:hAnsi="宋体" w:cs="宋体"/>
          <w:sz w:val="36"/>
          <w:szCs w:val="36"/>
          <w:highlight w:val="none"/>
        </w:rPr>
      </w:pPr>
      <w:r>
        <w:rPr>
          <w:rFonts w:hint="eastAsia" w:ascii="宋体" w:hAnsi="宋体" w:cs="宋体"/>
          <w:sz w:val="36"/>
          <w:szCs w:val="36"/>
          <w:highlight w:val="none"/>
          <w:u w:val="single"/>
        </w:rPr>
        <w:t xml:space="preserve">                </w:t>
      </w:r>
      <w:r>
        <w:rPr>
          <w:rFonts w:hint="eastAsia" w:ascii="宋体" w:hAnsi="宋体" w:cs="宋体"/>
          <w:sz w:val="36"/>
          <w:szCs w:val="36"/>
          <w:highlight w:val="none"/>
        </w:rPr>
        <w:t>（项目名称）</w:t>
      </w:r>
    </w:p>
    <w:p w14:paraId="3B77DF12">
      <w:pPr>
        <w:jc w:val="center"/>
        <w:rPr>
          <w:rFonts w:ascii="宋体" w:hAnsi="宋体" w:cs="宋体"/>
          <w:highlight w:val="none"/>
        </w:rPr>
      </w:pPr>
    </w:p>
    <w:p w14:paraId="469C786B">
      <w:pPr>
        <w:rPr>
          <w:rFonts w:ascii="宋体" w:hAnsi="宋体" w:cs="宋体"/>
          <w:highlight w:val="none"/>
        </w:rPr>
      </w:pPr>
    </w:p>
    <w:p w14:paraId="07356CAD">
      <w:pPr>
        <w:pStyle w:val="64"/>
        <w:rPr>
          <w:rFonts w:ascii="宋体" w:hAnsi="宋体" w:eastAsia="宋体" w:cs="宋体"/>
          <w:highlight w:val="none"/>
        </w:rPr>
      </w:pPr>
    </w:p>
    <w:p w14:paraId="2095578A">
      <w:pPr>
        <w:jc w:val="center"/>
        <w:rPr>
          <w:rFonts w:ascii="宋体" w:hAnsi="宋体" w:cs="宋体"/>
          <w:sz w:val="144"/>
          <w:szCs w:val="144"/>
          <w:highlight w:val="none"/>
        </w:rPr>
      </w:pPr>
      <w:r>
        <w:rPr>
          <w:rFonts w:hint="eastAsia" w:ascii="宋体" w:hAnsi="宋体" w:cs="宋体"/>
          <w:sz w:val="144"/>
          <w:szCs w:val="144"/>
          <w:highlight w:val="none"/>
        </w:rPr>
        <w:t>投标文件</w:t>
      </w:r>
    </w:p>
    <w:p w14:paraId="15612596">
      <w:pPr>
        <w:jc w:val="center"/>
        <w:rPr>
          <w:rFonts w:ascii="宋体" w:hAnsi="宋体" w:cs="宋体"/>
          <w:sz w:val="28"/>
          <w:szCs w:val="28"/>
          <w:highlight w:val="none"/>
        </w:rPr>
      </w:pPr>
    </w:p>
    <w:p w14:paraId="6A466CB3">
      <w:pPr>
        <w:jc w:val="center"/>
        <w:rPr>
          <w:rFonts w:ascii="宋体" w:hAnsi="宋体" w:cs="宋体"/>
          <w:sz w:val="28"/>
          <w:szCs w:val="28"/>
          <w:highlight w:val="none"/>
        </w:rPr>
      </w:pPr>
      <w:r>
        <w:rPr>
          <w:rFonts w:hint="eastAsia" w:ascii="宋体" w:hAnsi="宋体" w:cs="宋体"/>
          <w:sz w:val="28"/>
          <w:szCs w:val="28"/>
          <w:highlight w:val="none"/>
        </w:rPr>
        <w:t>项目编号：</w:t>
      </w:r>
    </w:p>
    <w:p w14:paraId="20564C95">
      <w:pPr>
        <w:rPr>
          <w:rFonts w:ascii="宋体" w:hAnsi="宋体" w:cs="宋体"/>
          <w:sz w:val="28"/>
          <w:szCs w:val="28"/>
          <w:highlight w:val="none"/>
        </w:rPr>
      </w:pPr>
    </w:p>
    <w:p w14:paraId="31FE3492">
      <w:pPr>
        <w:rPr>
          <w:rFonts w:ascii="宋体" w:hAnsi="宋体" w:cs="宋体"/>
          <w:sz w:val="28"/>
          <w:szCs w:val="28"/>
          <w:highlight w:val="none"/>
        </w:rPr>
      </w:pPr>
    </w:p>
    <w:p w14:paraId="5A94E37E">
      <w:pPr>
        <w:rPr>
          <w:rFonts w:ascii="宋体" w:hAnsi="宋体" w:cs="宋体"/>
          <w:sz w:val="28"/>
          <w:szCs w:val="28"/>
          <w:highlight w:val="none"/>
        </w:rPr>
      </w:pPr>
    </w:p>
    <w:p w14:paraId="42D121FD">
      <w:pPr>
        <w:rPr>
          <w:rFonts w:ascii="宋体" w:hAnsi="宋体" w:cs="宋体"/>
          <w:sz w:val="28"/>
          <w:szCs w:val="28"/>
          <w:highlight w:val="none"/>
        </w:rPr>
      </w:pPr>
    </w:p>
    <w:p w14:paraId="1AA36C14">
      <w:pPr>
        <w:rPr>
          <w:rFonts w:ascii="宋体" w:hAnsi="宋体" w:cs="宋体"/>
          <w:sz w:val="28"/>
          <w:szCs w:val="28"/>
          <w:highlight w:val="none"/>
        </w:rPr>
      </w:pPr>
    </w:p>
    <w:p w14:paraId="163B90BF">
      <w:pPr>
        <w:rPr>
          <w:rFonts w:ascii="宋体" w:hAnsi="宋体" w:cs="宋体"/>
          <w:sz w:val="28"/>
          <w:szCs w:val="28"/>
          <w:highlight w:val="none"/>
        </w:rPr>
      </w:pPr>
    </w:p>
    <w:p w14:paraId="13ED3A32">
      <w:pPr>
        <w:rPr>
          <w:rFonts w:ascii="宋体" w:hAnsi="宋体" w:cs="宋体"/>
          <w:sz w:val="28"/>
          <w:szCs w:val="28"/>
          <w:highlight w:val="none"/>
        </w:rPr>
      </w:pPr>
    </w:p>
    <w:p w14:paraId="7C72E037">
      <w:pPr>
        <w:rPr>
          <w:rFonts w:ascii="宋体" w:hAnsi="宋体" w:cs="宋体"/>
          <w:sz w:val="28"/>
          <w:szCs w:val="28"/>
          <w:highlight w:val="none"/>
        </w:rPr>
      </w:pPr>
    </w:p>
    <w:p w14:paraId="5FA81743">
      <w:pPr>
        <w:rPr>
          <w:rFonts w:ascii="宋体" w:hAnsi="宋体" w:cs="宋体"/>
          <w:sz w:val="28"/>
          <w:szCs w:val="28"/>
          <w:highlight w:val="none"/>
        </w:rPr>
      </w:pPr>
    </w:p>
    <w:p w14:paraId="76D33363">
      <w:pPr>
        <w:rPr>
          <w:rFonts w:ascii="宋体" w:hAnsi="宋体" w:cs="宋体"/>
          <w:sz w:val="28"/>
          <w:szCs w:val="28"/>
          <w:highlight w:val="none"/>
        </w:rPr>
      </w:pPr>
    </w:p>
    <w:p w14:paraId="2D71D4D2">
      <w:pPr>
        <w:spacing w:line="360" w:lineRule="auto"/>
        <w:rPr>
          <w:rFonts w:ascii="宋体" w:hAnsi="宋体" w:cs="宋体"/>
          <w:sz w:val="28"/>
          <w:szCs w:val="28"/>
          <w:highlight w:val="none"/>
        </w:rPr>
      </w:pPr>
    </w:p>
    <w:p w14:paraId="5D7C03B0">
      <w:pPr>
        <w:spacing w:line="480" w:lineRule="auto"/>
        <w:ind w:firstLine="1120" w:firstLineChars="400"/>
        <w:jc w:val="both"/>
        <w:rPr>
          <w:rFonts w:ascii="宋体" w:hAnsi="宋体" w:cs="宋体"/>
          <w:sz w:val="28"/>
          <w:szCs w:val="28"/>
          <w:highlight w:val="none"/>
          <w:u w:val="single"/>
        </w:rPr>
      </w:pPr>
      <w:r>
        <w:rPr>
          <w:rFonts w:hint="eastAsia" w:ascii="宋体" w:hAnsi="宋体" w:cs="宋体"/>
          <w:sz w:val="28"/>
          <w:szCs w:val="28"/>
          <w:highlight w:val="none"/>
        </w:rPr>
        <w:t>投标人名称：</w:t>
      </w:r>
      <w:r>
        <w:rPr>
          <w:rFonts w:hint="eastAsia" w:ascii="宋体" w:hAnsi="宋体" w:cs="宋体"/>
          <w:sz w:val="28"/>
          <w:szCs w:val="28"/>
          <w:highlight w:val="none"/>
          <w:u w:val="single"/>
        </w:rPr>
        <w:t xml:space="preserve">                              </w:t>
      </w:r>
      <w:r>
        <w:rPr>
          <w:rFonts w:hint="eastAsia" w:ascii="宋体" w:hAnsi="宋体" w:cs="宋体"/>
          <w:sz w:val="28"/>
          <w:szCs w:val="28"/>
          <w:highlight w:val="none"/>
        </w:rPr>
        <w:t>（盖单位章）</w:t>
      </w:r>
    </w:p>
    <w:p w14:paraId="350C8423">
      <w:pPr>
        <w:spacing w:line="480" w:lineRule="auto"/>
        <w:ind w:firstLine="1120" w:firstLineChars="400"/>
        <w:jc w:val="both"/>
        <w:rPr>
          <w:rFonts w:ascii="宋体" w:hAnsi="宋体" w:cs="宋体"/>
          <w:sz w:val="28"/>
          <w:szCs w:val="28"/>
          <w:highlight w:val="none"/>
        </w:rPr>
      </w:pPr>
      <w:r>
        <w:rPr>
          <w:rFonts w:hint="eastAsia" w:ascii="宋体" w:hAnsi="宋体" w:cs="宋体"/>
          <w:sz w:val="28"/>
          <w:szCs w:val="28"/>
          <w:highlight w:val="none"/>
        </w:rPr>
        <w:t>法定代表人或其委托代理人：</w:t>
      </w:r>
      <w:r>
        <w:rPr>
          <w:rFonts w:hint="eastAsia" w:ascii="宋体" w:hAnsi="宋体" w:cs="宋体"/>
          <w:sz w:val="28"/>
          <w:szCs w:val="28"/>
          <w:highlight w:val="none"/>
          <w:u w:val="single"/>
        </w:rPr>
        <w:t xml:space="preserve">                </w:t>
      </w:r>
      <w:r>
        <w:rPr>
          <w:rFonts w:hint="eastAsia" w:ascii="宋体" w:hAnsi="宋体" w:cs="宋体"/>
          <w:sz w:val="28"/>
          <w:szCs w:val="28"/>
          <w:highlight w:val="none"/>
        </w:rPr>
        <w:t>（签字）</w:t>
      </w:r>
    </w:p>
    <w:p w14:paraId="2819898C">
      <w:pPr>
        <w:spacing w:line="480" w:lineRule="auto"/>
        <w:ind w:firstLine="1120" w:firstLineChars="400"/>
        <w:jc w:val="both"/>
        <w:rPr>
          <w:rFonts w:ascii="宋体" w:hAnsi="宋体" w:cs="宋体"/>
          <w:sz w:val="28"/>
          <w:szCs w:val="28"/>
          <w:highlight w:val="none"/>
        </w:rPr>
      </w:pPr>
      <w:r>
        <w:rPr>
          <w:rFonts w:hint="eastAsia" w:ascii="宋体" w:hAnsi="宋体" w:cs="宋体"/>
          <w:sz w:val="28"/>
          <w:szCs w:val="28"/>
          <w:highlight w:val="none"/>
        </w:rPr>
        <w:t>日期：</w:t>
      </w:r>
      <w:r>
        <w:rPr>
          <w:rFonts w:hint="eastAsia" w:ascii="宋体" w:hAnsi="宋体" w:cs="宋体"/>
          <w:sz w:val="28"/>
          <w:szCs w:val="28"/>
          <w:highlight w:val="none"/>
          <w:u w:val="single"/>
        </w:rPr>
        <w:t xml:space="preserve">        </w:t>
      </w:r>
      <w:r>
        <w:rPr>
          <w:rFonts w:hint="eastAsia" w:ascii="宋体" w:hAnsi="宋体" w:cs="宋体"/>
          <w:sz w:val="28"/>
          <w:szCs w:val="28"/>
          <w:highlight w:val="none"/>
        </w:rPr>
        <w:t>年</w:t>
      </w:r>
      <w:r>
        <w:rPr>
          <w:rFonts w:hint="eastAsia" w:ascii="宋体" w:hAnsi="宋体" w:cs="宋体"/>
          <w:sz w:val="28"/>
          <w:szCs w:val="28"/>
          <w:highlight w:val="none"/>
          <w:u w:val="single"/>
        </w:rPr>
        <w:t xml:space="preserve">        </w:t>
      </w:r>
      <w:r>
        <w:rPr>
          <w:rFonts w:hint="eastAsia" w:ascii="宋体" w:hAnsi="宋体" w:cs="宋体"/>
          <w:sz w:val="28"/>
          <w:szCs w:val="28"/>
          <w:highlight w:val="none"/>
        </w:rPr>
        <w:t>月</w:t>
      </w:r>
      <w:r>
        <w:rPr>
          <w:rFonts w:hint="eastAsia" w:ascii="宋体" w:hAnsi="宋体" w:cs="宋体"/>
          <w:sz w:val="28"/>
          <w:szCs w:val="28"/>
          <w:highlight w:val="none"/>
          <w:u w:val="single"/>
        </w:rPr>
        <w:t xml:space="preserve">        </w:t>
      </w:r>
      <w:r>
        <w:rPr>
          <w:rFonts w:hint="eastAsia" w:ascii="宋体" w:hAnsi="宋体" w:cs="宋体"/>
          <w:sz w:val="28"/>
          <w:szCs w:val="28"/>
          <w:highlight w:val="none"/>
        </w:rPr>
        <w:t>日</w:t>
      </w:r>
    </w:p>
    <w:p w14:paraId="23F3C27C">
      <w:pPr>
        <w:spacing w:line="360" w:lineRule="auto"/>
        <w:rPr>
          <w:rFonts w:ascii="宋体" w:hAnsi="宋体" w:cs="宋体"/>
          <w:sz w:val="32"/>
          <w:highlight w:val="none"/>
        </w:rPr>
      </w:pPr>
      <w:r>
        <w:rPr>
          <w:rFonts w:hint="eastAsia" w:ascii="宋体" w:hAnsi="宋体" w:cs="宋体"/>
          <w:sz w:val="32"/>
          <w:highlight w:val="none"/>
        </w:rPr>
        <w:br w:type="page"/>
      </w:r>
    </w:p>
    <w:bookmarkEnd w:id="27"/>
    <w:p w14:paraId="70B512B4">
      <w:pPr>
        <w:spacing w:line="360" w:lineRule="auto"/>
        <w:jc w:val="center"/>
        <w:rPr>
          <w:rFonts w:ascii="宋体" w:hAnsi="宋体" w:cs="宋体"/>
          <w:b/>
          <w:sz w:val="36"/>
          <w:szCs w:val="36"/>
          <w:highlight w:val="none"/>
        </w:rPr>
      </w:pPr>
    </w:p>
    <w:p w14:paraId="2F7BA349">
      <w:pPr>
        <w:spacing w:line="360" w:lineRule="auto"/>
        <w:jc w:val="center"/>
        <w:rPr>
          <w:rFonts w:ascii="宋体" w:hAnsi="宋体" w:cs="宋体"/>
          <w:color w:val="000000"/>
          <w:sz w:val="32"/>
          <w:szCs w:val="32"/>
          <w:highlight w:val="none"/>
        </w:rPr>
      </w:pPr>
      <w:r>
        <w:rPr>
          <w:rFonts w:hint="eastAsia" w:ascii="宋体" w:hAnsi="宋体" w:cs="宋体"/>
          <w:b/>
          <w:color w:val="000000"/>
          <w:sz w:val="32"/>
          <w:szCs w:val="32"/>
          <w:highlight w:val="none"/>
        </w:rPr>
        <w:t>目  录</w:t>
      </w:r>
    </w:p>
    <w:p w14:paraId="58EACA9C">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一、开标一览表</w:t>
      </w:r>
    </w:p>
    <w:p w14:paraId="1301A56E">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二、投标函 </w:t>
      </w:r>
    </w:p>
    <w:p w14:paraId="22223A2B">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三、法定代表人资格证明  </w:t>
      </w:r>
    </w:p>
    <w:p w14:paraId="28EEEC47">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四、法定代表人授权委托书 </w:t>
      </w:r>
    </w:p>
    <w:p w14:paraId="67B41A14">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五、投标保证金</w:t>
      </w:r>
    </w:p>
    <w:p w14:paraId="16736B7B">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六、</w:t>
      </w:r>
      <w:r>
        <w:rPr>
          <w:rFonts w:hint="eastAsia" w:ascii="宋体" w:hAnsi="宋体" w:cs="宋体"/>
          <w:color w:val="000000"/>
          <w:sz w:val="24"/>
          <w:szCs w:val="24"/>
          <w:highlight w:val="none"/>
          <w:lang w:val="en-US" w:eastAsia="zh-CN"/>
        </w:rPr>
        <w:t>报价明细及说明</w:t>
      </w:r>
      <w:r>
        <w:rPr>
          <w:rFonts w:hint="eastAsia" w:ascii="宋体" w:hAnsi="宋体" w:cs="宋体"/>
          <w:color w:val="000000"/>
          <w:sz w:val="24"/>
          <w:szCs w:val="24"/>
          <w:highlight w:val="none"/>
        </w:rPr>
        <w:t xml:space="preserve"> </w:t>
      </w:r>
    </w:p>
    <w:p w14:paraId="64547626">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七、</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基本情况表</w:t>
      </w:r>
    </w:p>
    <w:p w14:paraId="54028150">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八、近年来完成的类似项目业绩情况表</w:t>
      </w:r>
    </w:p>
    <w:p w14:paraId="4EEE81A7">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九、拟投入项目管理团队配置表</w:t>
      </w:r>
    </w:p>
    <w:p w14:paraId="38EB40D8">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十、</w:t>
      </w:r>
      <w:r>
        <w:rPr>
          <w:rFonts w:hint="eastAsia" w:ascii="宋体" w:hAnsi="宋体" w:eastAsia="宋体" w:cs="宋体"/>
          <w:color w:val="000000"/>
          <w:sz w:val="24"/>
          <w:szCs w:val="24"/>
          <w:highlight w:val="none"/>
        </w:rPr>
        <w:t>拟投入项目团队人员简历表</w:t>
      </w:r>
    </w:p>
    <w:p w14:paraId="6893863D">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十一、</w:t>
      </w:r>
      <w:r>
        <w:rPr>
          <w:rFonts w:hint="eastAsia" w:ascii="宋体" w:hAnsi="宋体" w:eastAsia="宋体" w:cs="宋体"/>
          <w:color w:val="000000"/>
          <w:sz w:val="24"/>
          <w:szCs w:val="24"/>
          <w:highlight w:val="none"/>
        </w:rPr>
        <w:t>中小企业声明函、残疾人福利性单位声明函、监狱企业证明文件</w:t>
      </w:r>
    </w:p>
    <w:p w14:paraId="67C42144">
      <w:pPr>
        <w:spacing w:line="360" w:lineRule="auto"/>
        <w:ind w:firstLine="480" w:firstLineChars="200"/>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十二、</w:t>
      </w:r>
      <w:r>
        <w:rPr>
          <w:rFonts w:hint="eastAsia" w:ascii="宋体" w:hAnsi="宋体" w:eastAsia="宋体" w:cs="宋体"/>
          <w:color w:val="000000"/>
          <w:sz w:val="24"/>
          <w:szCs w:val="24"/>
          <w:highlight w:val="none"/>
          <w:lang w:eastAsia="zh-CN"/>
        </w:rPr>
        <w:t>投标人</w:t>
      </w:r>
      <w:r>
        <w:rPr>
          <w:rFonts w:hint="eastAsia" w:ascii="宋体" w:hAnsi="宋体" w:eastAsia="宋体" w:cs="宋体"/>
          <w:color w:val="000000"/>
          <w:sz w:val="24"/>
          <w:szCs w:val="24"/>
          <w:highlight w:val="none"/>
        </w:rPr>
        <w:t>认为有必要提供的其他材料</w:t>
      </w:r>
    </w:p>
    <w:p w14:paraId="72B99BED">
      <w:pPr>
        <w:spacing w:line="360" w:lineRule="auto"/>
        <w:ind w:firstLine="480" w:firstLineChars="200"/>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服务方案（暗标）</w:t>
      </w:r>
    </w:p>
    <w:p w14:paraId="065C1C25">
      <w:pPr>
        <w:spacing w:line="360" w:lineRule="auto"/>
        <w:ind w:firstLine="400" w:firstLineChars="200"/>
        <w:rPr>
          <w:rFonts w:ascii="宋体" w:hAnsi="宋体" w:cs="宋体"/>
          <w:color w:val="000000"/>
          <w:szCs w:val="21"/>
          <w:highlight w:val="none"/>
        </w:rPr>
      </w:pPr>
    </w:p>
    <w:p w14:paraId="18D388E1">
      <w:pPr>
        <w:rPr>
          <w:rFonts w:ascii="宋体" w:hAnsi="宋体" w:cs="宋体"/>
          <w:b/>
          <w:color w:val="000000"/>
          <w:sz w:val="28"/>
          <w:szCs w:val="28"/>
          <w:highlight w:val="none"/>
          <w:lang w:val="zh-CN"/>
        </w:rPr>
      </w:pPr>
      <w:r>
        <w:rPr>
          <w:rFonts w:hint="eastAsia" w:ascii="宋体" w:hAnsi="宋体" w:cs="宋体"/>
          <w:b/>
          <w:color w:val="000000"/>
          <w:sz w:val="28"/>
          <w:szCs w:val="28"/>
          <w:highlight w:val="none"/>
          <w:lang w:val="zh-CN"/>
        </w:rPr>
        <w:br w:type="page"/>
      </w:r>
    </w:p>
    <w:p w14:paraId="169E243E">
      <w:pPr>
        <w:rPr>
          <w:rFonts w:ascii="宋体" w:hAnsi="宋体" w:cs="宋体"/>
          <w:highlight w:val="none"/>
        </w:rPr>
      </w:pPr>
    </w:p>
    <w:p w14:paraId="36C591BB">
      <w:pPr>
        <w:autoSpaceDE w:val="0"/>
        <w:autoSpaceDN w:val="0"/>
        <w:adjustRightInd w:val="0"/>
        <w:spacing w:before="120" w:beforeLines="50" w:after="120" w:afterLines="50"/>
        <w:jc w:val="center"/>
        <w:rPr>
          <w:rFonts w:ascii="宋体" w:hAnsi="宋体" w:cs="宋体"/>
          <w:b/>
          <w:color w:val="000000"/>
          <w:sz w:val="28"/>
          <w:szCs w:val="28"/>
          <w:highlight w:val="none"/>
          <w:lang w:val="zh-CN"/>
        </w:rPr>
      </w:pPr>
      <w:r>
        <w:rPr>
          <w:rFonts w:hint="eastAsia" w:ascii="宋体" w:hAnsi="宋体" w:cs="宋体"/>
          <w:b/>
          <w:color w:val="000000"/>
          <w:sz w:val="28"/>
          <w:szCs w:val="28"/>
          <w:highlight w:val="none"/>
          <w:lang w:val="zh-CN"/>
        </w:rPr>
        <w:t>一、</w:t>
      </w:r>
      <w:r>
        <w:rPr>
          <w:rFonts w:hint="eastAsia" w:ascii="宋体" w:hAnsi="宋体" w:cs="宋体"/>
          <w:b/>
          <w:color w:val="000000"/>
          <w:sz w:val="32"/>
          <w:szCs w:val="32"/>
          <w:highlight w:val="none"/>
        </w:rPr>
        <w:t>开标一览表</w:t>
      </w:r>
    </w:p>
    <w:p w14:paraId="4A151D62">
      <w:pPr>
        <w:rPr>
          <w:rFonts w:ascii="宋体" w:hAnsi="宋体" w:cs="宋体"/>
          <w:color w:val="000000"/>
          <w:szCs w:val="21"/>
          <w:highlight w:val="none"/>
        </w:rPr>
      </w:pPr>
    </w:p>
    <w:p w14:paraId="4BD9C1B2">
      <w:pPr>
        <w:ind w:left="152" w:leftChars="-109" w:hanging="370" w:hangingChars="185"/>
        <w:rPr>
          <w:rFonts w:ascii="宋体" w:hAnsi="宋体" w:cs="宋体"/>
          <w:color w:val="000000"/>
          <w:szCs w:val="21"/>
          <w:highlight w:val="none"/>
        </w:rPr>
      </w:pPr>
    </w:p>
    <w:p w14:paraId="7B6FED04">
      <w:pPr>
        <w:spacing w:line="320" w:lineRule="exact"/>
        <w:ind w:left="-342" w:leftChars="-171" w:firstLine="1320" w:firstLineChars="550"/>
        <w:rPr>
          <w:rFonts w:ascii="宋体" w:hAnsi="宋体" w:cs="宋体"/>
          <w:color w:val="000000"/>
          <w:sz w:val="24"/>
          <w:szCs w:val="24"/>
          <w:highlight w:val="none"/>
        </w:rPr>
      </w:pPr>
      <w:r>
        <w:rPr>
          <w:rFonts w:hint="eastAsia" w:ascii="宋体" w:hAnsi="宋体" w:cs="宋体"/>
          <w:color w:val="000000"/>
          <w:sz w:val="24"/>
          <w:szCs w:val="24"/>
          <w:highlight w:val="none"/>
        </w:rPr>
        <w:t>项目编号：                                       开标时间：</w:t>
      </w:r>
    </w:p>
    <w:tbl>
      <w:tblPr>
        <w:tblStyle w:val="44"/>
        <w:tblW w:w="10081" w:type="dxa"/>
        <w:jc w:val="center"/>
        <w:tblLayout w:type="fixed"/>
        <w:tblCellMar>
          <w:top w:w="0" w:type="dxa"/>
          <w:left w:w="108" w:type="dxa"/>
          <w:bottom w:w="0" w:type="dxa"/>
          <w:right w:w="108" w:type="dxa"/>
        </w:tblCellMar>
      </w:tblPr>
      <w:tblGrid>
        <w:gridCol w:w="1532"/>
        <w:gridCol w:w="2114"/>
        <w:gridCol w:w="1875"/>
        <w:gridCol w:w="1822"/>
        <w:gridCol w:w="1804"/>
        <w:gridCol w:w="934"/>
      </w:tblGrid>
      <w:tr w14:paraId="12CDAA37">
        <w:tblPrEx>
          <w:tblCellMar>
            <w:top w:w="0" w:type="dxa"/>
            <w:left w:w="108" w:type="dxa"/>
            <w:bottom w:w="0" w:type="dxa"/>
            <w:right w:w="108" w:type="dxa"/>
          </w:tblCellMar>
        </w:tblPrEx>
        <w:trPr>
          <w:trHeight w:val="1180" w:hRule="atLeast"/>
          <w:jc w:val="center"/>
        </w:trPr>
        <w:tc>
          <w:tcPr>
            <w:tcW w:w="1532" w:type="dxa"/>
            <w:tcBorders>
              <w:top w:val="single" w:color="auto" w:sz="4" w:space="0"/>
              <w:left w:val="single" w:color="auto" w:sz="4" w:space="0"/>
              <w:bottom w:val="single" w:color="auto" w:sz="4" w:space="0"/>
              <w:right w:val="single" w:color="auto" w:sz="4" w:space="0"/>
            </w:tcBorders>
            <w:shd w:val="clear" w:color="auto" w:fill="auto"/>
            <w:vAlign w:val="center"/>
          </w:tcPr>
          <w:p w14:paraId="295FB9C1">
            <w:pPr>
              <w:keepNext w:val="0"/>
              <w:keepLines w:val="0"/>
              <w:widowControl/>
              <w:suppressLineNumbers w:val="0"/>
              <w:spacing w:before="0" w:beforeAutospacing="0" w:after="0" w:afterAutospacing="0"/>
              <w:ind w:left="0" w:right="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投标人名称</w:t>
            </w:r>
          </w:p>
        </w:tc>
        <w:tc>
          <w:tcPr>
            <w:tcW w:w="2114" w:type="dxa"/>
            <w:tcBorders>
              <w:top w:val="single" w:color="auto" w:sz="4" w:space="0"/>
              <w:left w:val="single" w:color="auto" w:sz="4" w:space="0"/>
              <w:bottom w:val="single" w:color="auto" w:sz="4" w:space="0"/>
              <w:right w:val="single" w:color="auto" w:sz="4" w:space="0"/>
            </w:tcBorders>
            <w:shd w:val="clear" w:color="auto" w:fill="auto"/>
            <w:vAlign w:val="center"/>
          </w:tcPr>
          <w:p w14:paraId="63480748">
            <w:pPr>
              <w:keepNext w:val="0"/>
              <w:keepLines w:val="0"/>
              <w:widowControl/>
              <w:suppressLineNumbers w:val="0"/>
              <w:spacing w:before="0" w:beforeAutospacing="0" w:after="0" w:afterAutospacing="0"/>
              <w:ind w:left="0" w:right="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投标报价</w:t>
            </w:r>
            <w:r>
              <w:rPr>
                <w:rFonts w:hint="eastAsia" w:ascii="宋体" w:hAnsi="宋体" w:cs="宋体"/>
                <w:color w:val="000000"/>
                <w:sz w:val="24"/>
                <w:szCs w:val="24"/>
                <w:highlight w:val="none"/>
                <w:lang w:val="en-US" w:eastAsia="zh-CN"/>
              </w:rPr>
              <w:t>(元)</w:t>
            </w:r>
          </w:p>
        </w:tc>
        <w:tc>
          <w:tcPr>
            <w:tcW w:w="1875" w:type="dxa"/>
            <w:tcBorders>
              <w:top w:val="single" w:color="auto" w:sz="4" w:space="0"/>
              <w:left w:val="nil"/>
              <w:bottom w:val="single" w:color="auto" w:sz="4" w:space="0"/>
              <w:right w:val="single" w:color="auto" w:sz="4" w:space="0"/>
            </w:tcBorders>
            <w:shd w:val="clear" w:color="auto" w:fill="auto"/>
            <w:vAlign w:val="center"/>
          </w:tcPr>
          <w:p w14:paraId="1C369F83">
            <w:pPr>
              <w:keepNext w:val="0"/>
              <w:keepLines w:val="0"/>
              <w:widowControl/>
              <w:suppressLineNumbers w:val="0"/>
              <w:spacing w:before="0" w:beforeAutospacing="0" w:after="0" w:afterAutospacing="0"/>
              <w:ind w:left="0" w:right="0"/>
              <w:jc w:val="center"/>
              <w:rPr>
                <w:rFonts w:hint="eastAsia"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投标保证金</w:t>
            </w:r>
          </w:p>
          <w:p w14:paraId="410FE483">
            <w:pPr>
              <w:keepNext w:val="0"/>
              <w:keepLines w:val="0"/>
              <w:widowControl/>
              <w:suppressLineNumbers w:val="0"/>
              <w:spacing w:before="0" w:beforeAutospacing="0" w:after="0" w:afterAutospacing="0"/>
              <w:ind w:left="0" w:right="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rPr>
              <w:t>（有/无）</w:t>
            </w:r>
          </w:p>
        </w:tc>
        <w:tc>
          <w:tcPr>
            <w:tcW w:w="1822" w:type="dxa"/>
            <w:tcBorders>
              <w:top w:val="single" w:color="auto" w:sz="4" w:space="0"/>
              <w:left w:val="nil"/>
              <w:bottom w:val="single" w:color="auto" w:sz="4" w:space="0"/>
              <w:right w:val="single" w:color="auto" w:sz="4" w:space="0"/>
            </w:tcBorders>
            <w:shd w:val="clear" w:color="auto" w:fill="auto"/>
            <w:vAlign w:val="center"/>
          </w:tcPr>
          <w:p w14:paraId="230F715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合同履行期限</w:t>
            </w:r>
          </w:p>
        </w:tc>
        <w:tc>
          <w:tcPr>
            <w:tcW w:w="1804" w:type="dxa"/>
            <w:tcBorders>
              <w:top w:val="single" w:color="auto" w:sz="4" w:space="0"/>
              <w:left w:val="nil"/>
              <w:bottom w:val="single" w:color="auto" w:sz="4" w:space="0"/>
              <w:right w:val="single" w:color="auto" w:sz="4" w:space="0"/>
            </w:tcBorders>
            <w:shd w:val="clear" w:color="auto" w:fill="auto"/>
            <w:vAlign w:val="center"/>
          </w:tcPr>
          <w:p w14:paraId="69AB962D">
            <w:pPr>
              <w:keepNext w:val="0"/>
              <w:keepLines w:val="0"/>
              <w:widowControl/>
              <w:suppressLineNumbers w:val="0"/>
              <w:spacing w:before="0" w:beforeAutospacing="0" w:after="0" w:afterAutospacing="0"/>
              <w:ind w:left="0" w:right="0"/>
              <w:jc w:val="center"/>
              <w:rPr>
                <w:rFonts w:hint="default" w:ascii="宋体" w:hAnsi="宋体" w:eastAsia="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质量标准</w:t>
            </w:r>
          </w:p>
        </w:tc>
        <w:tc>
          <w:tcPr>
            <w:tcW w:w="934" w:type="dxa"/>
            <w:tcBorders>
              <w:top w:val="single" w:color="auto" w:sz="4" w:space="0"/>
              <w:left w:val="nil"/>
              <w:bottom w:val="single" w:color="auto" w:sz="4" w:space="0"/>
              <w:right w:val="single" w:color="auto" w:sz="4" w:space="0"/>
            </w:tcBorders>
            <w:shd w:val="clear" w:color="auto" w:fill="auto"/>
            <w:vAlign w:val="center"/>
          </w:tcPr>
          <w:p w14:paraId="56EB6ED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lang w:val="en-US" w:eastAsia="zh-CN"/>
              </w:rPr>
            </w:pPr>
            <w:r>
              <w:rPr>
                <w:rFonts w:hint="eastAsia" w:ascii="宋体" w:hAnsi="宋体" w:cs="宋体"/>
                <w:color w:val="000000"/>
                <w:sz w:val="24"/>
                <w:szCs w:val="24"/>
                <w:highlight w:val="none"/>
                <w:lang w:val="en-US" w:eastAsia="zh-CN"/>
              </w:rPr>
              <w:t>备注</w:t>
            </w:r>
          </w:p>
        </w:tc>
      </w:tr>
      <w:tr w14:paraId="4043D6E4">
        <w:tblPrEx>
          <w:tblCellMar>
            <w:top w:w="0" w:type="dxa"/>
            <w:left w:w="108" w:type="dxa"/>
            <w:bottom w:w="0" w:type="dxa"/>
            <w:right w:w="108" w:type="dxa"/>
          </w:tblCellMar>
        </w:tblPrEx>
        <w:trPr>
          <w:trHeight w:val="1236" w:hRule="atLeast"/>
          <w:jc w:val="center"/>
        </w:trPr>
        <w:tc>
          <w:tcPr>
            <w:tcW w:w="1532" w:type="dxa"/>
            <w:tcBorders>
              <w:top w:val="single" w:color="auto" w:sz="4" w:space="0"/>
              <w:left w:val="single" w:color="auto" w:sz="4" w:space="0"/>
              <w:bottom w:val="single" w:color="auto" w:sz="4" w:space="0"/>
              <w:right w:val="single" w:color="auto" w:sz="4" w:space="0"/>
            </w:tcBorders>
            <w:shd w:val="clear" w:color="auto" w:fill="auto"/>
            <w:vAlign w:val="center"/>
          </w:tcPr>
          <w:p w14:paraId="1747E0A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2114" w:type="dxa"/>
            <w:tcBorders>
              <w:top w:val="single" w:color="auto" w:sz="4" w:space="0"/>
              <w:left w:val="single" w:color="auto" w:sz="4" w:space="0"/>
              <w:bottom w:val="single" w:color="auto" w:sz="4" w:space="0"/>
              <w:right w:val="single" w:color="auto" w:sz="4" w:space="0"/>
            </w:tcBorders>
            <w:shd w:val="clear" w:color="auto" w:fill="auto"/>
            <w:vAlign w:val="center"/>
          </w:tcPr>
          <w:p w14:paraId="595C2D1B">
            <w:pPr>
              <w:keepNext w:val="0"/>
              <w:keepLines w:val="0"/>
              <w:widowControl/>
              <w:suppressLineNumbers w:val="0"/>
              <w:spacing w:before="0" w:beforeAutospacing="0" w:after="0" w:afterAutospacing="0"/>
              <w:ind w:left="0" w:right="0"/>
              <w:jc w:val="both"/>
              <w:rPr>
                <w:rFonts w:hint="default" w:ascii="宋体" w:hAnsi="宋体" w:cs="宋体"/>
                <w:color w:val="000000"/>
                <w:sz w:val="24"/>
                <w:szCs w:val="24"/>
                <w:highlight w:val="none"/>
              </w:rPr>
            </w:pPr>
          </w:p>
        </w:tc>
        <w:tc>
          <w:tcPr>
            <w:tcW w:w="1875" w:type="dxa"/>
            <w:tcBorders>
              <w:top w:val="single" w:color="auto" w:sz="4" w:space="0"/>
              <w:left w:val="nil"/>
              <w:bottom w:val="single" w:color="auto" w:sz="4" w:space="0"/>
              <w:right w:val="single" w:color="auto" w:sz="4" w:space="0"/>
            </w:tcBorders>
            <w:shd w:val="clear" w:color="auto" w:fill="auto"/>
            <w:noWrap/>
            <w:vAlign w:val="center"/>
          </w:tcPr>
          <w:p w14:paraId="4BA02771">
            <w:pPr>
              <w:keepNext w:val="0"/>
              <w:keepLines w:val="0"/>
              <w:widowControl/>
              <w:suppressLineNumbers w:val="0"/>
              <w:spacing w:before="0" w:beforeAutospacing="0" w:after="0" w:afterAutospacing="0"/>
              <w:ind w:left="0" w:right="-16"/>
              <w:jc w:val="center"/>
              <w:rPr>
                <w:rFonts w:hint="default" w:ascii="宋体" w:hAnsi="宋体" w:cs="宋体"/>
                <w:sz w:val="24"/>
                <w:szCs w:val="24"/>
                <w:highlight w:val="none"/>
              </w:rPr>
            </w:pPr>
          </w:p>
        </w:tc>
        <w:tc>
          <w:tcPr>
            <w:tcW w:w="1822" w:type="dxa"/>
            <w:tcBorders>
              <w:top w:val="single" w:color="auto" w:sz="4" w:space="0"/>
              <w:left w:val="nil"/>
              <w:bottom w:val="single" w:color="auto" w:sz="4" w:space="0"/>
              <w:right w:val="single" w:color="auto" w:sz="4" w:space="0"/>
            </w:tcBorders>
            <w:shd w:val="clear" w:color="auto" w:fill="auto"/>
            <w:vAlign w:val="center"/>
          </w:tcPr>
          <w:p w14:paraId="7A6A697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804" w:type="dxa"/>
            <w:tcBorders>
              <w:top w:val="single" w:color="auto" w:sz="4" w:space="0"/>
              <w:left w:val="nil"/>
              <w:bottom w:val="single" w:color="auto" w:sz="4" w:space="0"/>
              <w:right w:val="single" w:color="auto" w:sz="4" w:space="0"/>
            </w:tcBorders>
            <w:shd w:val="clear" w:color="auto" w:fill="auto"/>
            <w:noWrap/>
            <w:vAlign w:val="center"/>
          </w:tcPr>
          <w:p w14:paraId="5186C8F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934" w:type="dxa"/>
            <w:tcBorders>
              <w:top w:val="single" w:color="auto" w:sz="4" w:space="0"/>
              <w:left w:val="nil"/>
              <w:bottom w:val="single" w:color="auto" w:sz="4" w:space="0"/>
              <w:right w:val="single" w:color="auto" w:sz="4" w:space="0"/>
            </w:tcBorders>
            <w:shd w:val="clear" w:color="auto" w:fill="auto"/>
            <w:noWrap/>
            <w:vAlign w:val="center"/>
          </w:tcPr>
          <w:p w14:paraId="0ABA3C5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bl>
    <w:p w14:paraId="54A88BAF">
      <w:pPr>
        <w:spacing w:line="360" w:lineRule="auto"/>
        <w:ind w:firstLine="472" w:firstLineChars="196"/>
        <w:rPr>
          <w:rFonts w:ascii="宋体" w:hAnsi="宋体" w:cs="宋体"/>
          <w:b/>
          <w:color w:val="000000"/>
          <w:sz w:val="24"/>
          <w:szCs w:val="24"/>
          <w:highlight w:val="none"/>
        </w:rPr>
      </w:pPr>
      <w:r>
        <w:rPr>
          <w:rFonts w:hint="eastAsia" w:ascii="宋体" w:hAnsi="宋体" w:cs="宋体"/>
          <w:b/>
          <w:color w:val="000000"/>
          <w:sz w:val="24"/>
          <w:szCs w:val="24"/>
          <w:highlight w:val="none"/>
        </w:rPr>
        <w:t xml:space="preserve">  </w:t>
      </w:r>
    </w:p>
    <w:p w14:paraId="013A79B4">
      <w:pPr>
        <w:spacing w:line="360" w:lineRule="auto"/>
        <w:ind w:firstLine="472" w:firstLineChars="196"/>
        <w:rPr>
          <w:rFonts w:ascii="宋体" w:hAnsi="宋体" w:cs="宋体"/>
          <w:b/>
          <w:bCs/>
          <w:color w:val="000000" w:themeColor="text1"/>
          <w:sz w:val="24"/>
          <w:szCs w:val="24"/>
          <w:highlight w:val="none"/>
          <w14:textFill>
            <w14:solidFill>
              <w14:schemeClr w14:val="tx1"/>
            </w14:solidFill>
          </w14:textFill>
        </w:rPr>
      </w:pPr>
      <w:r>
        <w:rPr>
          <w:rFonts w:hint="eastAsia" w:ascii="宋体" w:hAnsi="宋体" w:cs="宋体"/>
          <w:b/>
          <w:bCs/>
          <w:color w:val="000000"/>
          <w:sz w:val="24"/>
          <w:szCs w:val="24"/>
          <w:highlight w:val="none"/>
        </w:rPr>
        <w:t>注：</w:t>
      </w:r>
      <w:r>
        <w:rPr>
          <w:rFonts w:hint="eastAsia" w:ascii="宋体" w:hAnsi="宋体" w:cs="宋体"/>
          <w:b/>
          <w:bCs/>
          <w:color w:val="000000" w:themeColor="text1"/>
          <w:sz w:val="24"/>
          <w:szCs w:val="24"/>
          <w:highlight w:val="none"/>
          <w14:textFill>
            <w14:solidFill>
              <w14:schemeClr w14:val="tx1"/>
            </w14:solidFill>
          </w14:textFill>
        </w:rPr>
        <w:t>1、本表只作唱标用，但本表的一切内容均具有法律效力，不得更改；</w:t>
      </w:r>
    </w:p>
    <w:p w14:paraId="512C8220">
      <w:pPr>
        <w:spacing w:line="360" w:lineRule="auto"/>
        <w:ind w:left="482" w:hanging="482" w:hangingChars="200"/>
        <w:rPr>
          <w:rFonts w:hint="eastAsia" w:ascii="宋体" w:hAnsi="宋体" w:eastAsia="宋体" w:cs="宋体"/>
          <w:b/>
          <w:bCs/>
          <w:color w:val="000000" w:themeColor="text1"/>
          <w:sz w:val="24"/>
          <w:szCs w:val="24"/>
          <w:highlight w:val="none"/>
          <w:lang w:eastAsia="zh-CN"/>
          <w14:textFill>
            <w14:solidFill>
              <w14:schemeClr w14:val="tx1"/>
            </w14:solidFill>
          </w14:textFill>
        </w:rPr>
      </w:pPr>
      <w:r>
        <w:rPr>
          <w:rFonts w:hint="eastAsia" w:ascii="宋体" w:hAnsi="宋体" w:cs="宋体"/>
          <w:b/>
          <w:bCs/>
          <w:color w:val="000000" w:themeColor="text1"/>
          <w:sz w:val="24"/>
          <w:szCs w:val="24"/>
          <w:highlight w:val="none"/>
          <w14:textFill>
            <w14:solidFill>
              <w14:schemeClr w14:val="tx1"/>
            </w14:solidFill>
          </w14:textFill>
        </w:rPr>
        <w:t xml:space="preserve">        2、投标报价单位为</w:t>
      </w:r>
      <w:r>
        <w:rPr>
          <w:rFonts w:hint="eastAsia" w:ascii="宋体" w:hAnsi="宋体" w:cs="宋体"/>
          <w:b/>
          <w:bCs/>
          <w:color w:val="000000" w:themeColor="text1"/>
          <w:sz w:val="24"/>
          <w:szCs w:val="24"/>
          <w:highlight w:val="none"/>
          <w:lang w:val="en-US" w:eastAsia="zh-CN"/>
          <w14:textFill>
            <w14:solidFill>
              <w14:schemeClr w14:val="tx1"/>
            </w14:solidFill>
          </w14:textFill>
        </w:rPr>
        <w:t>万</w:t>
      </w:r>
      <w:r>
        <w:rPr>
          <w:rFonts w:hint="eastAsia" w:ascii="宋体" w:hAnsi="宋体" w:cs="宋体"/>
          <w:b/>
          <w:bCs/>
          <w:color w:val="000000" w:themeColor="text1"/>
          <w:sz w:val="24"/>
          <w:szCs w:val="24"/>
          <w:highlight w:val="none"/>
          <w14:textFill>
            <w14:solidFill>
              <w14:schemeClr w14:val="tx1"/>
            </w14:solidFill>
          </w14:textFill>
        </w:rPr>
        <w:t>元小数点后不超过2位小数</w:t>
      </w:r>
      <w:r>
        <w:rPr>
          <w:rFonts w:hint="eastAsia" w:ascii="宋体" w:hAnsi="宋体" w:cs="宋体"/>
          <w:b/>
          <w:color w:val="000000" w:themeColor="text1"/>
          <w:sz w:val="24"/>
          <w:szCs w:val="24"/>
          <w:highlight w:val="none"/>
          <w14:textFill>
            <w14:solidFill>
              <w14:schemeClr w14:val="tx1"/>
            </w14:solidFill>
          </w14:textFill>
        </w:rPr>
        <w:t>，不超过采购预算，超过为无效报价。</w:t>
      </w:r>
      <w:r>
        <w:rPr>
          <w:rFonts w:hint="eastAsia" w:ascii="宋体" w:hAnsi="宋体" w:cs="宋体"/>
          <w:b/>
          <w:bCs/>
          <w:color w:val="000000" w:themeColor="text1"/>
          <w:sz w:val="24"/>
          <w:szCs w:val="24"/>
          <w:highlight w:val="none"/>
          <w14:textFill>
            <w14:solidFill>
              <w14:schemeClr w14:val="tx1"/>
            </w14:solidFill>
          </w14:textFill>
        </w:rPr>
        <w:t>本表中填写的投标报价应与详细报价中填写的投标报价相一致，如果不一致为无效报价</w:t>
      </w:r>
      <w:r>
        <w:rPr>
          <w:rFonts w:hint="eastAsia" w:ascii="宋体" w:hAnsi="宋体" w:cs="宋体"/>
          <w:b/>
          <w:bCs/>
          <w:color w:val="000000" w:themeColor="text1"/>
          <w:sz w:val="24"/>
          <w:szCs w:val="24"/>
          <w:highlight w:val="none"/>
          <w:lang w:eastAsia="zh-CN"/>
          <w14:textFill>
            <w14:solidFill>
              <w14:schemeClr w14:val="tx1"/>
            </w14:solidFill>
          </w14:textFill>
        </w:rPr>
        <w:t>。</w:t>
      </w:r>
    </w:p>
    <w:p w14:paraId="488887DA">
      <w:pPr>
        <w:spacing w:line="360" w:lineRule="auto"/>
        <w:ind w:left="456" w:leftChars="228" w:firstLine="590" w:firstLineChars="245"/>
        <w:rPr>
          <w:rFonts w:ascii="宋体" w:hAnsi="宋体" w:cs="宋体"/>
          <w:b/>
          <w:bCs/>
          <w:color w:val="000000" w:themeColor="text1"/>
          <w:sz w:val="24"/>
          <w:szCs w:val="24"/>
          <w:highlight w:val="none"/>
          <w14:textFill>
            <w14:solidFill>
              <w14:schemeClr w14:val="tx1"/>
            </w14:solidFill>
          </w14:textFill>
        </w:rPr>
      </w:pPr>
    </w:p>
    <w:p w14:paraId="382A4EE2">
      <w:pPr>
        <w:spacing w:line="360" w:lineRule="auto"/>
        <w:ind w:left="456" w:leftChars="228" w:firstLine="711" w:firstLineChars="295"/>
        <w:rPr>
          <w:rFonts w:ascii="宋体" w:hAnsi="宋体" w:cs="宋体"/>
          <w:b/>
          <w:bCs/>
          <w:color w:val="000000"/>
          <w:sz w:val="24"/>
          <w:szCs w:val="24"/>
          <w:highlight w:val="none"/>
        </w:rPr>
      </w:pPr>
    </w:p>
    <w:p w14:paraId="1C33A4AB">
      <w:pPr>
        <w:spacing w:line="280" w:lineRule="exact"/>
        <w:ind w:firstLine="472" w:firstLineChars="196"/>
        <w:rPr>
          <w:rFonts w:ascii="宋体" w:hAnsi="宋体" w:cs="宋体"/>
          <w:b/>
          <w:bCs/>
          <w:color w:val="000000"/>
          <w:sz w:val="24"/>
          <w:szCs w:val="24"/>
          <w:highlight w:val="none"/>
        </w:rPr>
      </w:pPr>
      <w:r>
        <w:rPr>
          <w:rFonts w:hint="eastAsia" w:ascii="宋体" w:hAnsi="宋体" w:cs="宋体"/>
          <w:b/>
          <w:bCs/>
          <w:color w:val="000000"/>
          <w:sz w:val="24"/>
          <w:szCs w:val="24"/>
          <w:highlight w:val="none"/>
        </w:rPr>
        <w:t xml:space="preserve">                                                                     </w:t>
      </w:r>
    </w:p>
    <w:p w14:paraId="2DE48EDF">
      <w:pPr>
        <w:spacing w:line="280" w:lineRule="exact"/>
        <w:rPr>
          <w:rFonts w:ascii="宋体" w:hAnsi="宋体" w:cs="宋体"/>
          <w:b/>
          <w:bCs/>
          <w:color w:val="000000"/>
          <w:sz w:val="24"/>
          <w:szCs w:val="24"/>
          <w:highlight w:val="none"/>
        </w:rPr>
      </w:pPr>
    </w:p>
    <w:p w14:paraId="0E3B7B2B">
      <w:pPr>
        <w:spacing w:line="30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xml:space="preserve">：                （公章）                    </w:t>
      </w:r>
    </w:p>
    <w:p w14:paraId="41247713">
      <w:pPr>
        <w:spacing w:line="300" w:lineRule="auto"/>
        <w:ind w:firstLine="480" w:firstLineChars="200"/>
        <w:rPr>
          <w:rFonts w:ascii="宋体" w:hAnsi="宋体" w:cs="宋体"/>
          <w:color w:val="000000"/>
          <w:sz w:val="24"/>
          <w:szCs w:val="24"/>
          <w:highlight w:val="none"/>
        </w:rPr>
      </w:pPr>
    </w:p>
    <w:p w14:paraId="7263EBCC">
      <w:pPr>
        <w:spacing w:line="30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法定代表人：            （盖章）</w:t>
      </w:r>
    </w:p>
    <w:p w14:paraId="18E680C8">
      <w:pPr>
        <w:spacing w:line="300" w:lineRule="auto"/>
        <w:ind w:firstLine="480" w:firstLineChars="200"/>
        <w:rPr>
          <w:rFonts w:ascii="宋体" w:hAnsi="宋体" w:cs="宋体"/>
          <w:color w:val="000000"/>
          <w:sz w:val="24"/>
          <w:szCs w:val="24"/>
          <w:highlight w:val="none"/>
        </w:rPr>
      </w:pPr>
    </w:p>
    <w:p w14:paraId="170F6097">
      <w:pPr>
        <w:spacing w:line="30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委托代理人：            （签字）  </w:t>
      </w:r>
    </w:p>
    <w:p w14:paraId="136123CA">
      <w:pPr>
        <w:spacing w:line="360" w:lineRule="auto"/>
        <w:ind w:firstLine="4560" w:firstLineChars="1900"/>
        <w:rPr>
          <w:rFonts w:ascii="宋体" w:hAnsi="宋体" w:cs="宋体"/>
          <w:color w:val="000000"/>
          <w:sz w:val="24"/>
          <w:szCs w:val="24"/>
          <w:highlight w:val="none"/>
        </w:rPr>
      </w:pPr>
    </w:p>
    <w:p w14:paraId="0F81A350">
      <w:pPr>
        <w:spacing w:line="360" w:lineRule="auto"/>
        <w:ind w:firstLine="480" w:firstLineChars="200"/>
        <w:rPr>
          <w:rFonts w:ascii="宋体" w:hAnsi="宋体" w:cs="宋体"/>
          <w:color w:val="000000"/>
          <w:sz w:val="32"/>
          <w:szCs w:val="32"/>
          <w:highlight w:val="none"/>
        </w:rPr>
      </w:pPr>
      <w:r>
        <w:rPr>
          <w:rFonts w:hint="eastAsia" w:ascii="宋体" w:hAnsi="宋体" w:cs="宋体"/>
          <w:color w:val="000000"/>
          <w:sz w:val="24"/>
          <w:szCs w:val="24"/>
          <w:highlight w:val="none"/>
        </w:rPr>
        <w:t>日　　期：</w:t>
      </w:r>
    </w:p>
    <w:p w14:paraId="28F9A3DE">
      <w:pPr>
        <w:rPr>
          <w:rFonts w:ascii="宋体" w:hAnsi="宋体" w:cs="宋体"/>
          <w:b/>
          <w:color w:val="000000"/>
          <w:sz w:val="32"/>
          <w:szCs w:val="32"/>
          <w:highlight w:val="none"/>
        </w:rPr>
      </w:pPr>
      <w:r>
        <w:rPr>
          <w:rFonts w:hint="eastAsia" w:ascii="宋体" w:hAnsi="宋体" w:cs="宋体"/>
          <w:b/>
          <w:color w:val="000000"/>
          <w:sz w:val="32"/>
          <w:szCs w:val="32"/>
          <w:highlight w:val="none"/>
        </w:rPr>
        <w:br w:type="page"/>
      </w:r>
    </w:p>
    <w:p w14:paraId="00BBCB3D">
      <w:pPr>
        <w:rPr>
          <w:rFonts w:ascii="宋体" w:hAnsi="宋体" w:cs="宋体"/>
          <w:highlight w:val="none"/>
        </w:rPr>
      </w:pPr>
    </w:p>
    <w:p w14:paraId="4E058B54">
      <w:pPr>
        <w:jc w:val="center"/>
        <w:rPr>
          <w:rFonts w:ascii="宋体" w:hAnsi="宋体" w:cs="宋体"/>
          <w:b/>
          <w:color w:val="000000"/>
          <w:sz w:val="32"/>
          <w:szCs w:val="32"/>
          <w:highlight w:val="none"/>
        </w:rPr>
      </w:pPr>
      <w:r>
        <w:rPr>
          <w:rFonts w:hint="eastAsia" w:ascii="宋体" w:hAnsi="宋体" w:cs="宋体"/>
          <w:b/>
          <w:color w:val="000000"/>
          <w:sz w:val="32"/>
          <w:szCs w:val="32"/>
          <w:highlight w:val="none"/>
        </w:rPr>
        <w:t>二、投标函</w:t>
      </w:r>
    </w:p>
    <w:p w14:paraId="2CFCA4E1">
      <w:pPr>
        <w:jc w:val="center"/>
        <w:rPr>
          <w:rFonts w:ascii="宋体" w:hAnsi="宋体" w:cs="宋体"/>
          <w:color w:val="000000"/>
          <w:sz w:val="24"/>
          <w:szCs w:val="24"/>
          <w:highlight w:val="none"/>
        </w:rPr>
      </w:pPr>
    </w:p>
    <w:p w14:paraId="668CECD3">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致：</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（采购人名称）</w:t>
      </w:r>
    </w:p>
    <w:p w14:paraId="2F27094F">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经研究贵单位招标文件后，我方愿完成招标文件中所规定的全部任务。</w:t>
      </w:r>
    </w:p>
    <w:p w14:paraId="6B1385DC">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一旦我方中标，我方保证按招标文件中所规定的范围和将签订的合同的内容完成任务，参与项目全过程的服务。我方将接受并遵守招标文件所规定的各项条款。</w:t>
      </w:r>
    </w:p>
    <w:p w14:paraId="75298ABD">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我方同意本投标文件在</w:t>
      </w:r>
      <w:r>
        <w:rPr>
          <w:rFonts w:hint="eastAsia" w:ascii="宋体" w:hAnsi="宋体" w:cs="宋体"/>
          <w:color w:val="000000"/>
          <w:sz w:val="24"/>
          <w:szCs w:val="24"/>
          <w:highlight w:val="none"/>
          <w:lang w:eastAsia="zh-CN"/>
        </w:rPr>
        <w:t>投标人</w:t>
      </w:r>
      <w:r>
        <w:rPr>
          <w:rFonts w:hint="eastAsia" w:ascii="宋体" w:hAnsi="宋体" w:cs="宋体"/>
          <w:color w:val="000000"/>
          <w:sz w:val="24"/>
          <w:szCs w:val="24"/>
          <w:highlight w:val="none"/>
        </w:rPr>
        <w:t>须知中规定的开标日期对我方有约束力，并在</w:t>
      </w:r>
      <w:r>
        <w:rPr>
          <w:rFonts w:hint="eastAsia" w:ascii="宋体" w:hAnsi="宋体" w:cs="宋体"/>
          <w:color w:val="000000"/>
          <w:sz w:val="24"/>
          <w:szCs w:val="24"/>
          <w:highlight w:val="none"/>
          <w:lang w:eastAsia="zh-CN"/>
        </w:rPr>
        <w:t>投标人</w:t>
      </w:r>
      <w:r>
        <w:rPr>
          <w:rFonts w:hint="eastAsia" w:ascii="宋体" w:hAnsi="宋体" w:cs="宋体"/>
          <w:color w:val="000000"/>
          <w:sz w:val="24"/>
          <w:szCs w:val="24"/>
          <w:highlight w:val="none"/>
        </w:rPr>
        <w:t>须知规定的投标有限期截止之时为止，一直对我方有约束力且随时可能按此投标文件中标。</w:t>
      </w:r>
    </w:p>
    <w:p w14:paraId="05E7FE48">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在签署合同时，贵单位的中标通知书和本投标文件将构成约束我们双方的契约。</w:t>
      </w:r>
    </w:p>
    <w:p w14:paraId="402CB040">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我方理解你们将不受你们所受到的任何标价或其它任何投标文件的约束。</w:t>
      </w:r>
    </w:p>
    <w:p w14:paraId="7793BF9B">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我方承诺完全按照招标文件规定的时间提交完成的投标文件。</w:t>
      </w:r>
    </w:p>
    <w:p w14:paraId="5AE727CC">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我方承诺投标有效期响应招标文件的要求。</w:t>
      </w:r>
    </w:p>
    <w:p w14:paraId="27407B48">
      <w:pPr>
        <w:spacing w:line="360" w:lineRule="auto"/>
        <w:ind w:firstLine="480" w:firstLineChars="200"/>
        <w:rPr>
          <w:rFonts w:ascii="宋体" w:hAnsi="宋体" w:cs="宋体"/>
          <w:color w:val="000000"/>
          <w:sz w:val="24"/>
          <w:szCs w:val="24"/>
          <w:highlight w:val="none"/>
        </w:rPr>
      </w:pPr>
    </w:p>
    <w:p w14:paraId="4F155115">
      <w:pPr>
        <w:spacing w:line="360" w:lineRule="auto"/>
        <w:ind w:firstLine="480" w:firstLineChars="200"/>
        <w:rPr>
          <w:rFonts w:ascii="宋体" w:hAnsi="宋体" w:cs="宋体"/>
          <w:color w:val="000000"/>
          <w:sz w:val="24"/>
          <w:szCs w:val="24"/>
          <w:highlight w:val="none"/>
        </w:rPr>
      </w:pPr>
    </w:p>
    <w:p w14:paraId="59BA5EA9">
      <w:pPr>
        <w:spacing w:line="360" w:lineRule="auto"/>
        <w:ind w:firstLine="480" w:firstLineChars="200"/>
        <w:rPr>
          <w:rFonts w:ascii="宋体" w:hAnsi="宋体" w:cs="宋体"/>
          <w:color w:val="000000"/>
          <w:sz w:val="24"/>
          <w:szCs w:val="24"/>
          <w:highlight w:val="none"/>
        </w:rPr>
      </w:pPr>
    </w:p>
    <w:p w14:paraId="0B50F6EA">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投标人：           </w:t>
      </w:r>
      <w:r>
        <w:rPr>
          <w:rFonts w:hint="eastAsia" w:ascii="宋体" w:hAnsi="宋体" w:cs="宋体"/>
          <w:color w:val="000000"/>
          <w:sz w:val="24"/>
          <w:szCs w:val="24"/>
          <w:highlight w:val="none"/>
          <w:lang w:val="en-US" w:eastAsia="zh-CN"/>
        </w:rPr>
        <w:t xml:space="preserve">     </w:t>
      </w:r>
      <w:r>
        <w:rPr>
          <w:rFonts w:hint="eastAsia" w:ascii="宋体" w:hAnsi="宋体" w:cs="宋体"/>
          <w:color w:val="000000"/>
          <w:sz w:val="24"/>
          <w:szCs w:val="24"/>
          <w:highlight w:val="none"/>
        </w:rPr>
        <w:t xml:space="preserve">             （公章）</w:t>
      </w:r>
    </w:p>
    <w:p w14:paraId="4343B247">
      <w:pPr>
        <w:spacing w:line="360" w:lineRule="auto"/>
        <w:ind w:firstLine="480" w:firstLineChars="200"/>
        <w:rPr>
          <w:rFonts w:ascii="宋体" w:hAnsi="宋体" w:cs="宋体"/>
          <w:color w:val="000000"/>
          <w:sz w:val="24"/>
          <w:szCs w:val="24"/>
          <w:highlight w:val="none"/>
        </w:rPr>
      </w:pPr>
    </w:p>
    <w:p w14:paraId="5495C680">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法定代表人：                          （盖章）</w:t>
      </w:r>
    </w:p>
    <w:p w14:paraId="4F4BE2C2">
      <w:pPr>
        <w:spacing w:line="360" w:lineRule="auto"/>
        <w:ind w:firstLine="480" w:firstLineChars="200"/>
        <w:rPr>
          <w:rFonts w:ascii="宋体" w:hAnsi="宋体" w:cs="宋体"/>
          <w:color w:val="000000"/>
          <w:sz w:val="24"/>
          <w:szCs w:val="24"/>
          <w:highlight w:val="none"/>
        </w:rPr>
      </w:pPr>
    </w:p>
    <w:p w14:paraId="7BE8B60C">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委托代理人：                          （签字）</w:t>
      </w:r>
    </w:p>
    <w:p w14:paraId="1AB85ADF">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 xml:space="preserve"> </w:t>
      </w:r>
    </w:p>
    <w:p w14:paraId="1F67AEF8">
      <w:pPr>
        <w:ind w:firstLine="480" w:firstLineChars="200"/>
        <w:rPr>
          <w:rFonts w:ascii="宋体" w:hAnsi="宋体" w:cs="宋体"/>
          <w:b/>
          <w:color w:val="000000"/>
          <w:sz w:val="24"/>
          <w:szCs w:val="24"/>
          <w:highlight w:val="none"/>
        </w:rPr>
      </w:pPr>
      <w:r>
        <w:rPr>
          <w:rFonts w:hint="eastAsia" w:ascii="宋体" w:hAnsi="宋体" w:cs="宋体"/>
          <w:color w:val="000000"/>
          <w:sz w:val="24"/>
          <w:szCs w:val="24"/>
          <w:highlight w:val="none"/>
        </w:rPr>
        <w:t>日   期：    年    月    日</w:t>
      </w:r>
    </w:p>
    <w:p w14:paraId="1CDCDB5A">
      <w:pPr>
        <w:rPr>
          <w:rFonts w:ascii="宋体" w:hAnsi="宋体" w:cs="宋体"/>
          <w:b/>
          <w:color w:val="000000"/>
          <w:sz w:val="24"/>
          <w:szCs w:val="24"/>
          <w:highlight w:val="none"/>
        </w:rPr>
      </w:pPr>
    </w:p>
    <w:p w14:paraId="26B8AD5B">
      <w:pPr>
        <w:rPr>
          <w:rFonts w:ascii="宋体" w:hAnsi="宋体" w:cs="宋体"/>
          <w:b/>
          <w:color w:val="000000"/>
          <w:szCs w:val="21"/>
          <w:highlight w:val="none"/>
        </w:rPr>
      </w:pPr>
    </w:p>
    <w:p w14:paraId="60576DCA">
      <w:pPr>
        <w:rPr>
          <w:rFonts w:ascii="宋体" w:hAnsi="宋体" w:cs="宋体"/>
          <w:b/>
          <w:color w:val="000000"/>
          <w:szCs w:val="21"/>
          <w:highlight w:val="none"/>
        </w:rPr>
      </w:pPr>
    </w:p>
    <w:p w14:paraId="74CF7B42">
      <w:pPr>
        <w:spacing w:after="100" w:afterAutospacing="1" w:line="360" w:lineRule="auto"/>
        <w:jc w:val="center"/>
        <w:rPr>
          <w:rFonts w:ascii="宋体" w:hAnsi="宋体" w:cs="宋体"/>
          <w:b/>
          <w:color w:val="000000"/>
          <w:sz w:val="32"/>
          <w:szCs w:val="32"/>
          <w:highlight w:val="none"/>
        </w:rPr>
      </w:pPr>
    </w:p>
    <w:p w14:paraId="5625F65D">
      <w:pPr>
        <w:widowControl w:val="0"/>
        <w:numPr>
          <w:ilvl w:val="0"/>
          <w:numId w:val="1"/>
        </w:numPr>
        <w:spacing w:after="100" w:afterAutospacing="1" w:line="36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rPr>
        <w:br w:type="page"/>
      </w:r>
    </w:p>
    <w:p w14:paraId="494F9BDD">
      <w:pPr>
        <w:rPr>
          <w:rFonts w:ascii="宋体" w:hAnsi="宋体" w:cs="宋体"/>
          <w:highlight w:val="none"/>
        </w:rPr>
      </w:pPr>
    </w:p>
    <w:p w14:paraId="47A40D5C">
      <w:pPr>
        <w:pStyle w:val="95"/>
        <w:numPr>
          <w:ilvl w:val="0"/>
          <w:numId w:val="2"/>
        </w:numPr>
        <w:spacing w:after="100" w:afterAutospacing="1"/>
        <w:ind w:firstLineChars="0"/>
        <w:jc w:val="center"/>
        <w:rPr>
          <w:rFonts w:ascii="宋体" w:hAnsi="宋体" w:cs="宋体"/>
          <w:b/>
          <w:color w:val="000000"/>
          <w:sz w:val="32"/>
          <w:szCs w:val="32"/>
          <w:highlight w:val="none"/>
        </w:rPr>
      </w:pPr>
      <w:r>
        <w:rPr>
          <w:rFonts w:hint="eastAsia" w:ascii="宋体" w:hAnsi="宋体" w:cs="宋体"/>
          <w:b/>
          <w:color w:val="000000"/>
          <w:sz w:val="32"/>
          <w:szCs w:val="32"/>
          <w:highlight w:val="none"/>
        </w:rPr>
        <w:t>法定代表人资格证明</w:t>
      </w:r>
    </w:p>
    <w:p w14:paraId="43356B6F">
      <w:pPr>
        <w:spacing w:after="100" w:afterAutospacing="1" w:line="360" w:lineRule="auto"/>
        <w:ind w:left="980"/>
        <w:jc w:val="center"/>
        <w:rPr>
          <w:rFonts w:ascii="宋体" w:hAnsi="宋体" w:cs="宋体"/>
          <w:color w:val="000000"/>
          <w:sz w:val="32"/>
          <w:szCs w:val="32"/>
          <w:highlight w:val="none"/>
        </w:rPr>
      </w:pPr>
    </w:p>
    <w:p w14:paraId="3BDDCB99">
      <w:pPr>
        <w:tabs>
          <w:tab w:val="left" w:pos="400"/>
        </w:tabs>
        <w:autoSpaceDE w:val="0"/>
        <w:autoSpaceDN w:val="0"/>
        <w:adjustRightInd w:val="0"/>
        <w:spacing w:line="480" w:lineRule="auto"/>
        <w:ind w:left="136" w:leftChars="68" w:firstLine="235" w:firstLineChars="98"/>
        <w:rPr>
          <w:rFonts w:ascii="宋体" w:hAnsi="宋体" w:cs="宋体"/>
          <w:color w:val="000000"/>
          <w:sz w:val="24"/>
          <w:szCs w:val="24"/>
          <w:highlight w:val="none"/>
          <w:u w:val="single"/>
          <w:lang w:val="zh-CN"/>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lang w:val="zh-CN"/>
        </w:rPr>
        <w:t>名称：</w:t>
      </w:r>
      <w:r>
        <w:rPr>
          <w:rFonts w:hint="eastAsia" w:ascii="宋体" w:hAnsi="宋体" w:cs="宋体"/>
          <w:color w:val="000000"/>
          <w:sz w:val="24"/>
          <w:szCs w:val="24"/>
          <w:highlight w:val="none"/>
          <w:u w:val="single"/>
          <w:lang w:val="zh-CN"/>
        </w:rPr>
        <w:t xml:space="preserve">                              </w:t>
      </w:r>
    </w:p>
    <w:p w14:paraId="2F8B4654">
      <w:pPr>
        <w:autoSpaceDE w:val="0"/>
        <w:autoSpaceDN w:val="0"/>
        <w:adjustRightInd w:val="0"/>
        <w:spacing w:line="48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单位性质：</w:t>
      </w:r>
      <w:r>
        <w:rPr>
          <w:rFonts w:hint="eastAsia" w:ascii="宋体" w:hAnsi="宋体" w:cs="宋体"/>
          <w:color w:val="000000"/>
          <w:sz w:val="24"/>
          <w:szCs w:val="24"/>
          <w:highlight w:val="none"/>
          <w:u w:val="single"/>
          <w:lang w:val="zh-CN"/>
        </w:rPr>
        <w:t xml:space="preserve">                                </w:t>
      </w:r>
    </w:p>
    <w:p w14:paraId="58D8745E">
      <w:pPr>
        <w:autoSpaceDE w:val="0"/>
        <w:autoSpaceDN w:val="0"/>
        <w:adjustRightInd w:val="0"/>
        <w:spacing w:line="480" w:lineRule="auto"/>
        <w:rPr>
          <w:rFonts w:ascii="宋体" w:hAnsi="宋体" w:cs="宋体"/>
          <w:color w:val="000000"/>
          <w:sz w:val="24"/>
          <w:szCs w:val="24"/>
          <w:highlight w:val="none"/>
          <w:u w:val="single"/>
          <w:lang w:val="zh-CN"/>
        </w:rPr>
      </w:pPr>
      <w:r>
        <w:rPr>
          <w:rFonts w:hint="eastAsia" w:ascii="宋体" w:hAnsi="宋体" w:cs="宋体"/>
          <w:color w:val="000000"/>
          <w:sz w:val="24"/>
          <w:szCs w:val="24"/>
          <w:highlight w:val="none"/>
          <w:lang w:val="zh-CN"/>
        </w:rPr>
        <w:t xml:space="preserve">   地址：</w:t>
      </w:r>
      <w:r>
        <w:rPr>
          <w:rFonts w:hint="eastAsia" w:ascii="宋体" w:hAnsi="宋体" w:cs="宋体"/>
          <w:color w:val="000000"/>
          <w:sz w:val="24"/>
          <w:szCs w:val="24"/>
          <w:highlight w:val="none"/>
          <w:u w:val="single"/>
          <w:lang w:val="zh-CN"/>
        </w:rPr>
        <w:t xml:space="preserve">                                    </w:t>
      </w:r>
    </w:p>
    <w:p w14:paraId="0E2B1EBD">
      <w:pPr>
        <w:autoSpaceDE w:val="0"/>
        <w:autoSpaceDN w:val="0"/>
        <w:adjustRightInd w:val="0"/>
        <w:spacing w:line="48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成立时间</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年</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月</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日</w:t>
      </w:r>
    </w:p>
    <w:p w14:paraId="5AE4F6C4">
      <w:pPr>
        <w:autoSpaceDE w:val="0"/>
        <w:autoSpaceDN w:val="0"/>
        <w:adjustRightInd w:val="0"/>
        <w:spacing w:line="48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经营期限：</w:t>
      </w:r>
      <w:r>
        <w:rPr>
          <w:rFonts w:hint="eastAsia" w:ascii="宋体" w:hAnsi="宋体" w:cs="宋体"/>
          <w:color w:val="000000"/>
          <w:sz w:val="24"/>
          <w:szCs w:val="24"/>
          <w:highlight w:val="none"/>
          <w:u w:val="single"/>
          <w:lang w:val="zh-CN"/>
        </w:rPr>
        <w:t xml:space="preserve">                                </w:t>
      </w:r>
    </w:p>
    <w:p w14:paraId="68108CA3">
      <w:pPr>
        <w:autoSpaceDE w:val="0"/>
        <w:autoSpaceDN w:val="0"/>
        <w:adjustRightInd w:val="0"/>
        <w:spacing w:line="48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姓名：</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 xml:space="preserve"> 性别：</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 xml:space="preserve"> 年龄：</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 xml:space="preserve"> 职务：</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 xml:space="preserve"> </w:t>
      </w:r>
    </w:p>
    <w:p w14:paraId="2CD0EC26">
      <w:pPr>
        <w:autoSpaceDE w:val="0"/>
        <w:autoSpaceDN w:val="0"/>
        <w:adjustRightInd w:val="0"/>
        <w:spacing w:line="48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系</w:t>
      </w:r>
      <w:r>
        <w:rPr>
          <w:rFonts w:hint="eastAsia" w:ascii="宋体" w:hAnsi="宋体" w:cs="宋体"/>
          <w:color w:val="000000"/>
          <w:sz w:val="24"/>
          <w:szCs w:val="24"/>
          <w:highlight w:val="none"/>
          <w:u w:val="single"/>
          <w:lang w:val="zh-CN"/>
        </w:rPr>
        <w:t xml:space="preserve">                      </w:t>
      </w:r>
      <w:r>
        <w:rPr>
          <w:rFonts w:hint="eastAsia" w:ascii="宋体" w:hAnsi="宋体" w:cs="宋体"/>
          <w:color w:val="000000"/>
          <w:sz w:val="24"/>
          <w:szCs w:val="24"/>
          <w:highlight w:val="none"/>
          <w:lang w:val="zh-CN"/>
        </w:rPr>
        <w:t>(</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lang w:val="zh-CN"/>
        </w:rPr>
        <w:t>名称)的法定代表人。</w:t>
      </w:r>
    </w:p>
    <w:p w14:paraId="39A33AFC">
      <w:pPr>
        <w:autoSpaceDE w:val="0"/>
        <w:autoSpaceDN w:val="0"/>
        <w:adjustRightInd w:val="0"/>
        <w:spacing w:line="360" w:lineRule="auto"/>
        <w:rPr>
          <w:rFonts w:ascii="宋体" w:hAnsi="宋体" w:cs="宋体"/>
          <w:color w:val="000000"/>
          <w:sz w:val="24"/>
          <w:szCs w:val="24"/>
          <w:highlight w:val="none"/>
          <w:lang w:val="zh-CN"/>
        </w:rPr>
      </w:pPr>
      <w:r>
        <w:rPr>
          <w:rFonts w:hint="eastAsia" w:ascii="宋体" w:hAnsi="宋体" w:cs="宋体"/>
          <w:color w:val="000000"/>
          <w:sz w:val="24"/>
          <w:szCs w:val="24"/>
          <w:highlight w:val="none"/>
          <w:lang w:val="zh-CN"/>
        </w:rPr>
        <w:t xml:space="preserve">       </w:t>
      </w:r>
    </w:p>
    <w:p w14:paraId="23212597">
      <w:pPr>
        <w:autoSpaceDE w:val="0"/>
        <w:autoSpaceDN w:val="0"/>
        <w:adjustRightInd w:val="0"/>
        <w:spacing w:line="360" w:lineRule="auto"/>
        <w:rPr>
          <w:rFonts w:ascii="宋体" w:hAnsi="宋体" w:cs="宋体"/>
          <w:color w:val="000000"/>
          <w:sz w:val="24"/>
          <w:szCs w:val="24"/>
          <w:highlight w:val="none"/>
          <w:lang w:val="zh-CN"/>
        </w:rPr>
      </w:pPr>
    </w:p>
    <w:p w14:paraId="2C76D494">
      <w:pPr>
        <w:spacing w:line="360" w:lineRule="auto"/>
        <w:ind w:firstLine="960" w:firstLineChars="400"/>
        <w:rPr>
          <w:rFonts w:ascii="宋体" w:hAnsi="宋体" w:cs="宋体"/>
          <w:color w:val="000000"/>
          <w:sz w:val="24"/>
          <w:szCs w:val="24"/>
          <w:highlight w:val="none"/>
        </w:rPr>
      </w:pPr>
      <w:r>
        <w:rPr>
          <w:rFonts w:hint="eastAsia" w:ascii="宋体" w:hAnsi="宋体" w:cs="宋体"/>
          <w:color w:val="000000"/>
          <w:sz w:val="24"/>
          <w:szCs w:val="24"/>
          <w:highlight w:val="none"/>
          <w:lang w:val="zh-CN"/>
        </w:rPr>
        <w:t xml:space="preserve">       </w:t>
      </w:r>
      <w:r>
        <w:rPr>
          <w:rFonts w:hint="eastAsia" w:ascii="宋体" w:hAnsi="宋体" w:cs="宋体"/>
          <w:color w:val="000000"/>
          <w:sz w:val="24"/>
          <w:szCs w:val="24"/>
          <w:highlight w:val="none"/>
        </w:rPr>
        <w:t>特此证明。</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039"/>
      </w:tblGrid>
      <w:tr w14:paraId="087F2D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76" w:hRule="atLeast"/>
        </w:trPr>
        <w:tc>
          <w:tcPr>
            <w:tcW w:w="9039" w:type="dxa"/>
          </w:tcPr>
          <w:p w14:paraId="06D2AA81">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r>
              <w:rPr>
                <w:rFonts w:hint="eastAsia" w:ascii="宋体" w:hAnsi="宋体" w:cs="宋体"/>
                <w:color w:val="000000"/>
                <w:sz w:val="24"/>
                <w:szCs w:val="24"/>
                <w:highlight w:val="none"/>
              </w:rPr>
              <w:t>附：法定代表人身份证复印件</w:t>
            </w:r>
          </w:p>
        </w:tc>
      </w:tr>
    </w:tbl>
    <w:p w14:paraId="07DDB4B3">
      <w:pPr>
        <w:spacing w:line="360" w:lineRule="auto"/>
        <w:rPr>
          <w:rFonts w:ascii="宋体" w:hAnsi="宋体" w:cs="宋体"/>
          <w:color w:val="000000"/>
          <w:sz w:val="24"/>
          <w:szCs w:val="24"/>
          <w:highlight w:val="none"/>
        </w:rPr>
      </w:pPr>
    </w:p>
    <w:p w14:paraId="2B201B05">
      <w:pPr>
        <w:spacing w:line="360" w:lineRule="auto"/>
        <w:jc w:val="right"/>
        <w:rPr>
          <w:rFonts w:ascii="宋体" w:hAnsi="宋体" w:cs="宋体"/>
          <w:color w:val="000000"/>
          <w:sz w:val="24"/>
          <w:szCs w:val="24"/>
          <w:highlight w:val="none"/>
        </w:rPr>
      </w:pP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（公章）</w:t>
      </w:r>
    </w:p>
    <w:p w14:paraId="462CF080">
      <w:pPr>
        <w:spacing w:line="360" w:lineRule="auto"/>
        <w:jc w:val="right"/>
        <w:rPr>
          <w:rFonts w:ascii="宋体" w:hAnsi="宋体" w:cs="宋体"/>
          <w:color w:val="000000"/>
          <w:sz w:val="24"/>
          <w:szCs w:val="24"/>
          <w:highlight w:val="none"/>
        </w:rPr>
      </w:pPr>
    </w:p>
    <w:p w14:paraId="76CC57BC">
      <w:pPr>
        <w:autoSpaceDE w:val="0"/>
        <w:autoSpaceDN w:val="0"/>
        <w:adjustRightInd w:val="0"/>
        <w:spacing w:line="360" w:lineRule="auto"/>
        <w:jc w:val="right"/>
        <w:rPr>
          <w:rFonts w:ascii="宋体" w:hAnsi="宋体" w:cs="宋体"/>
          <w:color w:val="000000"/>
          <w:szCs w:val="18"/>
          <w:highlight w:val="none"/>
          <w:lang w:val="zh-CN"/>
        </w:rPr>
      </w:pPr>
      <w:r>
        <w:rPr>
          <w:rFonts w:hint="eastAsia" w:ascii="宋体" w:hAnsi="宋体" w:cs="宋体"/>
          <w:color w:val="000000"/>
          <w:sz w:val="24"/>
          <w:szCs w:val="24"/>
          <w:highlight w:val="none"/>
        </w:rPr>
        <w:t xml:space="preserve">                  日  期：      年      月      日</w:t>
      </w:r>
    </w:p>
    <w:p w14:paraId="13AD8F82">
      <w:pPr>
        <w:autoSpaceDE w:val="0"/>
        <w:autoSpaceDN w:val="0"/>
        <w:adjustRightInd w:val="0"/>
        <w:snapToGrid w:val="0"/>
        <w:spacing w:line="240" w:lineRule="exact"/>
        <w:rPr>
          <w:rFonts w:ascii="宋体" w:hAnsi="宋体" w:cs="宋体"/>
          <w:color w:val="000000"/>
          <w:highlight w:val="none"/>
        </w:rPr>
      </w:pPr>
    </w:p>
    <w:p w14:paraId="571D85D4">
      <w:pPr>
        <w:rPr>
          <w:rFonts w:ascii="宋体" w:hAnsi="宋体" w:cs="宋体"/>
          <w:color w:val="000000"/>
          <w:sz w:val="32"/>
          <w:szCs w:val="32"/>
          <w:highlight w:val="none"/>
        </w:rPr>
      </w:pPr>
    </w:p>
    <w:p w14:paraId="64817FF9">
      <w:pPr>
        <w:spacing w:after="100" w:afterAutospacing="1" w:line="36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rPr>
        <w:br w:type="page"/>
      </w:r>
    </w:p>
    <w:p w14:paraId="6706373B">
      <w:pPr>
        <w:rPr>
          <w:rFonts w:ascii="宋体" w:hAnsi="宋体" w:cs="宋体"/>
          <w:highlight w:val="none"/>
        </w:rPr>
      </w:pPr>
    </w:p>
    <w:p w14:paraId="6FA71E72">
      <w:pPr>
        <w:spacing w:after="100" w:afterAutospacing="1" w:line="36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rPr>
        <w:t>四、法定代表人授权委托书</w:t>
      </w:r>
    </w:p>
    <w:p w14:paraId="5CD2FC17">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本授权委托书声明：</w:t>
      </w:r>
    </w:p>
    <w:p w14:paraId="2F5B8DD8">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我</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（姓名）系</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名称）的法定代表人，现授权委托</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（姓名）为我公司代表，以</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名称）的名义参加</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项目投标活动。</w:t>
      </w:r>
    </w:p>
    <w:p w14:paraId="6CCF19D7">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委托代理人在开标、评标、合同谈判过程中签署的一切文件和处理与之有关的一切事务，我均予以承认。</w:t>
      </w:r>
    </w:p>
    <w:p w14:paraId="570016CE">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委托代理人无转委托权。</w:t>
      </w:r>
    </w:p>
    <w:p w14:paraId="49BD1C68">
      <w:pPr>
        <w:spacing w:line="360" w:lineRule="auto"/>
        <w:rPr>
          <w:rFonts w:ascii="宋体" w:hAnsi="宋体" w:cs="宋体"/>
          <w:color w:val="000000"/>
          <w:sz w:val="24"/>
          <w:szCs w:val="24"/>
          <w:highlight w:val="none"/>
        </w:rPr>
      </w:pPr>
    </w:p>
    <w:p w14:paraId="41236EBF">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特此委托。</w:t>
      </w:r>
    </w:p>
    <w:tbl>
      <w:tblPr>
        <w:tblStyle w:val="4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741"/>
      </w:tblGrid>
      <w:tr w14:paraId="16C645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54" w:hRule="atLeast"/>
        </w:trPr>
        <w:tc>
          <w:tcPr>
            <w:tcW w:w="9969" w:type="dxa"/>
          </w:tcPr>
          <w:p w14:paraId="391B08FC">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r>
              <w:rPr>
                <w:rFonts w:hint="eastAsia" w:ascii="宋体" w:hAnsi="宋体" w:cs="宋体"/>
                <w:color w:val="000000"/>
                <w:sz w:val="24"/>
                <w:szCs w:val="24"/>
                <w:highlight w:val="none"/>
              </w:rPr>
              <w:t>附：委托代理人身份证复印件</w:t>
            </w:r>
          </w:p>
        </w:tc>
      </w:tr>
    </w:tbl>
    <w:p w14:paraId="406877BE">
      <w:pPr>
        <w:spacing w:line="360" w:lineRule="auto"/>
        <w:ind w:firstLine="480" w:firstLineChars="200"/>
        <w:rPr>
          <w:rFonts w:ascii="宋体" w:hAnsi="宋体" w:cs="宋体"/>
          <w:color w:val="000000"/>
          <w:sz w:val="24"/>
          <w:szCs w:val="24"/>
          <w:highlight w:val="none"/>
        </w:rPr>
      </w:pPr>
    </w:p>
    <w:p w14:paraId="549FBF90">
      <w:pPr>
        <w:spacing w:line="360" w:lineRule="auto"/>
        <w:ind w:firstLine="480" w:firstLineChars="200"/>
        <w:rPr>
          <w:rFonts w:ascii="宋体" w:hAnsi="宋体" w:cs="宋体"/>
          <w:color w:val="000000"/>
          <w:sz w:val="24"/>
          <w:szCs w:val="24"/>
          <w:highlight w:val="none"/>
        </w:rPr>
      </w:pPr>
    </w:p>
    <w:p w14:paraId="57DEFBE8">
      <w:pPr>
        <w:spacing w:line="360" w:lineRule="auto"/>
        <w:ind w:firstLine="480" w:firstLineChars="200"/>
        <w:rPr>
          <w:rFonts w:ascii="宋体" w:hAnsi="宋体" w:cs="宋体"/>
          <w:color w:val="000000"/>
          <w:sz w:val="24"/>
          <w:szCs w:val="24"/>
          <w:highlight w:val="none"/>
        </w:rPr>
      </w:pPr>
    </w:p>
    <w:p w14:paraId="45048C66">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（公章）</w:t>
      </w:r>
    </w:p>
    <w:p w14:paraId="22440B30">
      <w:pPr>
        <w:spacing w:line="360" w:lineRule="auto"/>
        <w:ind w:firstLine="480" w:firstLineChars="200"/>
        <w:rPr>
          <w:rFonts w:ascii="宋体" w:hAnsi="宋体" w:cs="宋体"/>
          <w:color w:val="000000"/>
          <w:sz w:val="24"/>
          <w:szCs w:val="24"/>
          <w:highlight w:val="none"/>
        </w:rPr>
      </w:pPr>
    </w:p>
    <w:p w14:paraId="5C8CAF1B">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法定代表人：                （盖章）</w:t>
      </w:r>
    </w:p>
    <w:p w14:paraId="381ED136">
      <w:pPr>
        <w:spacing w:line="360" w:lineRule="auto"/>
        <w:ind w:firstLine="480" w:firstLineChars="200"/>
        <w:rPr>
          <w:rFonts w:ascii="宋体" w:hAnsi="宋体" w:cs="宋体"/>
          <w:color w:val="000000"/>
          <w:sz w:val="24"/>
          <w:szCs w:val="24"/>
          <w:highlight w:val="none"/>
        </w:rPr>
      </w:pPr>
    </w:p>
    <w:p w14:paraId="128AA39D">
      <w:pPr>
        <w:spacing w:line="360" w:lineRule="auto"/>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委托代理人：                （签字）</w:t>
      </w:r>
    </w:p>
    <w:p w14:paraId="52155DE3">
      <w:pPr>
        <w:spacing w:line="360" w:lineRule="auto"/>
        <w:ind w:firstLine="480" w:firstLineChars="200"/>
        <w:rPr>
          <w:rFonts w:ascii="宋体" w:hAnsi="宋体" w:cs="宋体"/>
          <w:color w:val="000000"/>
          <w:sz w:val="24"/>
          <w:szCs w:val="24"/>
          <w:highlight w:val="none"/>
        </w:rPr>
      </w:pPr>
    </w:p>
    <w:p w14:paraId="0CEA4B1E">
      <w:pPr>
        <w:autoSpaceDE w:val="0"/>
        <w:autoSpaceDN w:val="0"/>
        <w:adjustRightInd w:val="0"/>
        <w:snapToGrid w:val="0"/>
        <w:spacing w:line="249" w:lineRule="exact"/>
        <w:ind w:firstLine="480" w:firstLineChars="200"/>
        <w:rPr>
          <w:rFonts w:ascii="宋体" w:hAnsi="宋体" w:cs="宋体"/>
          <w:color w:val="000000"/>
          <w:sz w:val="24"/>
          <w:szCs w:val="24"/>
          <w:highlight w:val="none"/>
        </w:rPr>
      </w:pPr>
      <w:r>
        <w:rPr>
          <w:rFonts w:hint="eastAsia" w:ascii="宋体" w:hAnsi="宋体" w:cs="宋体"/>
          <w:color w:val="000000"/>
          <w:sz w:val="24"/>
          <w:szCs w:val="24"/>
          <w:highlight w:val="none"/>
        </w:rPr>
        <w:t>日      期：      年      月      日</w:t>
      </w:r>
    </w:p>
    <w:p w14:paraId="5EC839C1">
      <w:pPr>
        <w:autoSpaceDE w:val="0"/>
        <w:autoSpaceDN w:val="0"/>
        <w:adjustRightInd w:val="0"/>
        <w:snapToGrid w:val="0"/>
        <w:spacing w:line="249" w:lineRule="exact"/>
        <w:rPr>
          <w:rFonts w:ascii="宋体" w:hAnsi="宋体" w:cs="宋体"/>
          <w:color w:val="000000"/>
          <w:sz w:val="24"/>
          <w:szCs w:val="24"/>
          <w:highlight w:val="none"/>
        </w:rPr>
      </w:pPr>
    </w:p>
    <w:p w14:paraId="5294A03E">
      <w:pPr>
        <w:rPr>
          <w:rFonts w:ascii="宋体" w:hAnsi="宋体" w:cs="宋体"/>
          <w:b/>
          <w:color w:val="000000"/>
          <w:highlight w:val="none"/>
        </w:rPr>
      </w:pPr>
    </w:p>
    <w:p w14:paraId="16B71286">
      <w:pPr>
        <w:rPr>
          <w:rFonts w:ascii="宋体" w:hAnsi="宋体" w:cs="宋体"/>
          <w:color w:val="000000"/>
          <w:spacing w:val="14"/>
          <w:sz w:val="32"/>
          <w:szCs w:val="32"/>
          <w:highlight w:val="none"/>
        </w:rPr>
      </w:pPr>
    </w:p>
    <w:p w14:paraId="7390D78D">
      <w:pPr>
        <w:jc w:val="center"/>
        <w:rPr>
          <w:rFonts w:ascii="宋体" w:hAnsi="宋体" w:cs="宋体"/>
          <w:color w:val="000000"/>
          <w:highlight w:val="none"/>
        </w:rPr>
      </w:pPr>
      <w:bookmarkStart w:id="61" w:name="_Toc455496977"/>
      <w:bookmarkStart w:id="62" w:name="_Toc201719190"/>
      <w:bookmarkStart w:id="63" w:name="_Toc455576013"/>
      <w:r>
        <w:rPr>
          <w:rFonts w:hint="eastAsia" w:ascii="宋体" w:hAnsi="宋体" w:cs="宋体"/>
          <w:color w:val="000000"/>
          <w:highlight w:val="none"/>
        </w:rPr>
        <w:br w:type="page"/>
      </w:r>
      <w:bookmarkStart w:id="64" w:name="_Toc476591081"/>
    </w:p>
    <w:p w14:paraId="70EA14B5">
      <w:pPr>
        <w:jc w:val="center"/>
        <w:rPr>
          <w:rFonts w:ascii="宋体" w:hAnsi="宋体" w:cs="宋体"/>
          <w:color w:val="000000"/>
          <w:highlight w:val="none"/>
        </w:rPr>
      </w:pPr>
    </w:p>
    <w:p w14:paraId="6DB5D73F">
      <w:pPr>
        <w:jc w:val="center"/>
        <w:rPr>
          <w:rFonts w:ascii="宋体" w:hAnsi="宋体" w:cs="宋体"/>
          <w:b/>
          <w:color w:val="000000"/>
          <w:sz w:val="32"/>
          <w:szCs w:val="32"/>
          <w:highlight w:val="none"/>
        </w:rPr>
      </w:pPr>
      <w:r>
        <w:rPr>
          <w:rFonts w:hint="eastAsia" w:ascii="宋体" w:hAnsi="宋体" w:cs="宋体"/>
          <w:b/>
          <w:color w:val="000000"/>
          <w:sz w:val="32"/>
          <w:szCs w:val="32"/>
          <w:highlight w:val="none"/>
        </w:rPr>
        <w:t>五、投标保证金</w:t>
      </w:r>
      <w:bookmarkEnd w:id="61"/>
      <w:bookmarkEnd w:id="62"/>
      <w:bookmarkEnd w:id="63"/>
      <w:bookmarkEnd w:id="64"/>
    </w:p>
    <w:p w14:paraId="31688E6D">
      <w:pPr>
        <w:autoSpaceDE w:val="0"/>
        <w:autoSpaceDN w:val="0"/>
        <w:adjustRightInd w:val="0"/>
        <w:spacing w:line="400" w:lineRule="exact"/>
        <w:rPr>
          <w:rFonts w:ascii="宋体" w:hAnsi="宋体" w:cs="宋体"/>
          <w:color w:val="000000"/>
          <w:szCs w:val="18"/>
          <w:highlight w:val="none"/>
          <w:u w:val="single"/>
          <w:lang w:val="zh-CN"/>
        </w:rPr>
      </w:pPr>
    </w:p>
    <w:p w14:paraId="4FA3F5E0">
      <w:pPr>
        <w:spacing w:line="360" w:lineRule="auto"/>
        <w:rPr>
          <w:rFonts w:ascii="宋体" w:hAnsi="宋体" w:cs="宋体"/>
          <w:color w:val="000000"/>
          <w:sz w:val="24"/>
          <w:szCs w:val="24"/>
          <w:highlight w:val="none"/>
        </w:rPr>
      </w:pPr>
      <w:bookmarkStart w:id="65" w:name="_Toc476591082"/>
      <w:r>
        <w:rPr>
          <w:rFonts w:hint="eastAsia" w:ascii="宋体" w:hAnsi="宋体" w:cs="宋体"/>
          <w:color w:val="000000"/>
          <w:sz w:val="24"/>
          <w:szCs w:val="24"/>
          <w:highlight w:val="none"/>
        </w:rPr>
        <w:t>致                （招标代理机构名称）：</w:t>
      </w:r>
      <w:bookmarkEnd w:id="65"/>
    </w:p>
    <w:p w14:paraId="7A537D3D">
      <w:pPr>
        <w:spacing w:line="360" w:lineRule="auto"/>
        <w:rPr>
          <w:rFonts w:ascii="宋体" w:hAnsi="宋体" w:cs="宋体"/>
          <w:color w:val="000000"/>
          <w:sz w:val="24"/>
          <w:szCs w:val="24"/>
          <w:highlight w:val="none"/>
        </w:rPr>
      </w:pPr>
    </w:p>
    <w:p w14:paraId="0646B630">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 xml:space="preserve"> </w:t>
      </w:r>
      <w:r>
        <w:rPr>
          <w:rFonts w:hint="eastAsia" w:ascii="宋体" w:hAnsi="宋体" w:cs="宋体"/>
          <w:color w:val="000000"/>
          <w:sz w:val="24"/>
          <w:szCs w:val="24"/>
          <w:highlight w:val="none"/>
          <w:u w:val="single"/>
        </w:rPr>
        <w:t xml:space="preserve">                  </w:t>
      </w:r>
      <w:bookmarkStart w:id="66" w:name="_Toc476591083"/>
      <w:r>
        <w:rPr>
          <w:rFonts w:hint="eastAsia" w:ascii="宋体" w:hAnsi="宋体" w:cs="宋体"/>
          <w:color w:val="000000"/>
          <w:sz w:val="24"/>
          <w:szCs w:val="24"/>
          <w:highlight w:val="none"/>
        </w:rPr>
        <w:t>[</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名称]（以下称“</w:t>
      </w: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”）于  年  月  日递交了</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(项目名称)的投标文件。并附有人民币</w:t>
      </w:r>
      <w:r>
        <w:rPr>
          <w:rFonts w:hint="eastAsia" w:ascii="宋体" w:hAnsi="宋体" w:cs="宋体"/>
          <w:color w:val="000000"/>
          <w:sz w:val="24"/>
          <w:szCs w:val="24"/>
          <w:highlight w:val="none"/>
          <w:u w:val="single"/>
        </w:rPr>
        <w:t xml:space="preserve">      </w:t>
      </w:r>
      <w:r>
        <w:rPr>
          <w:rFonts w:hint="eastAsia" w:ascii="宋体" w:hAnsi="宋体" w:cs="宋体"/>
          <w:color w:val="000000"/>
          <w:sz w:val="24"/>
          <w:szCs w:val="24"/>
          <w:highlight w:val="none"/>
        </w:rPr>
        <w:t>元做为投标保证金。</w:t>
      </w:r>
      <w:bookmarkEnd w:id="66"/>
    </w:p>
    <w:p w14:paraId="2C1FE26E">
      <w:pPr>
        <w:spacing w:line="360" w:lineRule="auto"/>
        <w:ind w:firstLine="480" w:firstLineChars="200"/>
        <w:rPr>
          <w:rFonts w:ascii="宋体" w:hAnsi="宋体" w:cs="宋体"/>
          <w:color w:val="000000"/>
          <w:sz w:val="24"/>
          <w:szCs w:val="24"/>
          <w:highlight w:val="none"/>
        </w:rPr>
      </w:pPr>
      <w:bookmarkStart w:id="67" w:name="_Toc476591084"/>
      <w:r>
        <w:rPr>
          <w:rFonts w:hint="eastAsia" w:ascii="宋体" w:hAnsi="宋体" w:cs="宋体"/>
          <w:color w:val="000000"/>
          <w:sz w:val="24"/>
          <w:szCs w:val="24"/>
          <w:highlight w:val="none"/>
        </w:rPr>
        <w:t>我方同意招标文件中有关投标保证金的规定，并对我方有约束力。</w:t>
      </w:r>
      <w:bookmarkEnd w:id="67"/>
    </w:p>
    <w:p w14:paraId="4294AB0E">
      <w:pPr>
        <w:spacing w:line="360" w:lineRule="auto"/>
        <w:rPr>
          <w:rFonts w:ascii="宋体" w:hAnsi="宋体" w:cs="宋体"/>
          <w:color w:val="000000"/>
          <w:sz w:val="24"/>
          <w:szCs w:val="24"/>
          <w:highlight w:val="none"/>
        </w:rPr>
      </w:pPr>
    </w:p>
    <w:tbl>
      <w:tblPr>
        <w:tblStyle w:val="44"/>
        <w:tblW w:w="0" w:type="auto"/>
        <w:tblInd w:w="6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2"/>
      </w:tblGrid>
      <w:tr w14:paraId="40259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trPr>
        <w:tc>
          <w:tcPr>
            <w:tcW w:w="8122" w:type="dxa"/>
          </w:tcPr>
          <w:p w14:paraId="70A84359">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25A9EB79">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1B1FCE37">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67B13CC5">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34D81277">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bookmarkStart w:id="68" w:name="_Toc476591085"/>
            <w:r>
              <w:rPr>
                <w:rFonts w:hint="eastAsia" w:ascii="宋体" w:hAnsi="宋体" w:cs="宋体"/>
                <w:color w:val="000000"/>
                <w:sz w:val="24"/>
                <w:szCs w:val="24"/>
                <w:highlight w:val="none"/>
              </w:rPr>
              <w:t>附：投标保证金递交证明复印件。</w:t>
            </w:r>
            <w:bookmarkEnd w:id="68"/>
          </w:p>
          <w:p w14:paraId="353621B9">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7A17C6D0">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3946E262">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03FC972B">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p w14:paraId="34A821B8">
            <w:pPr>
              <w:keepNext w:val="0"/>
              <w:keepLines w:val="0"/>
              <w:widowControl/>
              <w:suppressLineNumbers w:val="0"/>
              <w:spacing w:before="0" w:beforeAutospacing="0" w:after="0" w:afterAutospacing="0" w:line="360" w:lineRule="auto"/>
              <w:ind w:left="0" w:right="0"/>
              <w:rPr>
                <w:rFonts w:hint="default" w:ascii="宋体" w:hAnsi="宋体" w:cs="宋体"/>
                <w:color w:val="000000"/>
                <w:sz w:val="24"/>
                <w:szCs w:val="24"/>
                <w:highlight w:val="none"/>
              </w:rPr>
            </w:pPr>
          </w:p>
        </w:tc>
      </w:tr>
    </w:tbl>
    <w:p w14:paraId="2F917A42">
      <w:pPr>
        <w:spacing w:line="360" w:lineRule="auto"/>
        <w:rPr>
          <w:rFonts w:ascii="宋体" w:hAnsi="宋体" w:cs="宋体"/>
          <w:color w:val="000000"/>
          <w:sz w:val="24"/>
          <w:szCs w:val="24"/>
          <w:highlight w:val="none"/>
        </w:rPr>
      </w:pPr>
    </w:p>
    <w:p w14:paraId="2113AB6F">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 xml:space="preserve">  </w:t>
      </w:r>
    </w:p>
    <w:p w14:paraId="71EAC8D7">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（公章）</w:t>
      </w:r>
    </w:p>
    <w:p w14:paraId="5A55AD94">
      <w:pPr>
        <w:spacing w:line="360" w:lineRule="auto"/>
        <w:rPr>
          <w:rFonts w:ascii="宋体" w:hAnsi="宋体" w:cs="宋体"/>
          <w:color w:val="000000"/>
          <w:sz w:val="24"/>
          <w:szCs w:val="24"/>
          <w:highlight w:val="none"/>
        </w:rPr>
      </w:pPr>
    </w:p>
    <w:p w14:paraId="71D0E9F1">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法定代表人：                （盖章）</w:t>
      </w:r>
    </w:p>
    <w:p w14:paraId="081AF554">
      <w:pPr>
        <w:spacing w:line="360" w:lineRule="auto"/>
        <w:rPr>
          <w:rFonts w:ascii="宋体" w:hAnsi="宋体" w:cs="宋体"/>
          <w:color w:val="000000"/>
          <w:sz w:val="24"/>
          <w:szCs w:val="24"/>
          <w:highlight w:val="none"/>
        </w:rPr>
      </w:pPr>
    </w:p>
    <w:p w14:paraId="1706CBD1">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委托代理人：                （签字）</w:t>
      </w:r>
    </w:p>
    <w:p w14:paraId="23220492">
      <w:pPr>
        <w:spacing w:line="360" w:lineRule="auto"/>
        <w:rPr>
          <w:rFonts w:ascii="宋体" w:hAnsi="宋体" w:cs="宋体"/>
          <w:color w:val="000000"/>
          <w:sz w:val="24"/>
          <w:szCs w:val="24"/>
          <w:highlight w:val="none"/>
        </w:rPr>
      </w:pPr>
    </w:p>
    <w:p w14:paraId="26A139D9">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日      期：      年      月      日</w:t>
      </w:r>
    </w:p>
    <w:p w14:paraId="685EF3B1">
      <w:pPr>
        <w:autoSpaceDE w:val="0"/>
        <w:autoSpaceDN w:val="0"/>
        <w:adjustRightInd w:val="0"/>
        <w:spacing w:line="400" w:lineRule="exact"/>
        <w:rPr>
          <w:rFonts w:ascii="宋体" w:hAnsi="宋体" w:cs="宋体"/>
          <w:color w:val="000000"/>
          <w:szCs w:val="21"/>
          <w:highlight w:val="none"/>
        </w:rPr>
      </w:pPr>
    </w:p>
    <w:p w14:paraId="4BE83E71">
      <w:pPr>
        <w:autoSpaceDE w:val="0"/>
        <w:autoSpaceDN w:val="0"/>
        <w:adjustRightInd w:val="0"/>
        <w:spacing w:line="400" w:lineRule="exact"/>
        <w:rPr>
          <w:rFonts w:ascii="宋体" w:hAnsi="宋体" w:cs="宋体"/>
          <w:color w:val="000000"/>
          <w:spacing w:val="14"/>
          <w:sz w:val="32"/>
          <w:szCs w:val="32"/>
          <w:highlight w:val="none"/>
        </w:rPr>
      </w:pPr>
      <w:r>
        <w:rPr>
          <w:rFonts w:hint="eastAsia" w:ascii="宋体" w:hAnsi="宋体" w:cs="宋体"/>
          <w:color w:val="000000"/>
          <w:szCs w:val="21"/>
          <w:highlight w:val="none"/>
        </w:rPr>
        <w:br w:type="page"/>
      </w:r>
    </w:p>
    <w:p w14:paraId="7D65DF4E">
      <w:pPr>
        <w:autoSpaceDE w:val="0"/>
        <w:autoSpaceDN w:val="0"/>
        <w:adjustRightInd w:val="0"/>
        <w:rPr>
          <w:rFonts w:ascii="宋体" w:hAnsi="宋体" w:cs="宋体"/>
          <w:bCs/>
          <w:color w:val="000000"/>
          <w:highlight w:val="none"/>
          <w:lang w:val="zh-CN"/>
        </w:rPr>
      </w:pPr>
      <w:r>
        <w:rPr>
          <w:rFonts w:hint="eastAsia" w:ascii="宋体" w:hAnsi="宋体" w:cs="宋体"/>
          <w:bCs/>
          <w:color w:val="000000"/>
          <w:sz w:val="24"/>
          <w:highlight w:val="none"/>
          <w:lang w:val="zh-CN"/>
        </w:rPr>
        <w:t xml:space="preserve"> </w:t>
      </w:r>
    </w:p>
    <w:p w14:paraId="12E3F287">
      <w:pPr>
        <w:ind w:firstLine="2731" w:firstLineChars="850"/>
        <w:rPr>
          <w:rFonts w:hint="default" w:ascii="宋体" w:hAnsi="宋体" w:eastAsia="宋体" w:cs="宋体"/>
          <w:b/>
          <w:color w:val="000000"/>
          <w:sz w:val="32"/>
          <w:szCs w:val="32"/>
          <w:highlight w:val="none"/>
          <w:lang w:val="en-US" w:eastAsia="zh-CN"/>
        </w:rPr>
      </w:pPr>
      <w:r>
        <w:rPr>
          <w:rFonts w:hint="eastAsia" w:ascii="宋体" w:hAnsi="宋体" w:cs="宋体"/>
          <w:b/>
          <w:color w:val="000000"/>
          <w:sz w:val="32"/>
          <w:szCs w:val="32"/>
          <w:highlight w:val="none"/>
        </w:rPr>
        <w:t>六、</w:t>
      </w:r>
      <w:r>
        <w:rPr>
          <w:rFonts w:hint="eastAsia" w:ascii="宋体" w:hAnsi="宋体" w:cs="宋体"/>
          <w:b/>
          <w:color w:val="000000"/>
          <w:sz w:val="32"/>
          <w:szCs w:val="32"/>
          <w:highlight w:val="none"/>
          <w:lang w:val="en-US" w:eastAsia="zh-CN"/>
        </w:rPr>
        <w:t>报价明细及说明</w:t>
      </w:r>
    </w:p>
    <w:p w14:paraId="22A5E912">
      <w:pPr>
        <w:rPr>
          <w:rFonts w:ascii="宋体" w:hAnsi="宋体" w:cs="宋体"/>
          <w:color w:val="000000"/>
          <w:spacing w:val="14"/>
          <w:sz w:val="32"/>
          <w:szCs w:val="32"/>
          <w:highlight w:val="none"/>
        </w:rPr>
      </w:pPr>
    </w:p>
    <w:p w14:paraId="799A8489">
      <w:pPr>
        <w:spacing w:line="288" w:lineRule="auto"/>
        <w:rPr>
          <w:rFonts w:hint="eastAsia" w:ascii="宋体" w:hAnsi="宋体" w:eastAsia="宋体" w:cs="宋体"/>
          <w:sz w:val="24"/>
          <w:szCs w:val="24"/>
          <w:highlight w:val="none"/>
        </w:rPr>
      </w:pPr>
    </w:p>
    <w:p w14:paraId="5B225150">
      <w:pPr>
        <w:rPr>
          <w:rFonts w:hint="eastAsia" w:ascii="宋体" w:hAnsi="宋体" w:eastAsia="宋体" w:cs="宋体"/>
          <w:b/>
          <w:sz w:val="32"/>
          <w:szCs w:val="32"/>
          <w:highlight w:val="none"/>
        </w:rPr>
      </w:pPr>
    </w:p>
    <w:p w14:paraId="4F07A401">
      <w:pPr>
        <w:rPr>
          <w:rFonts w:hint="eastAsia" w:ascii="宋体" w:hAnsi="宋体" w:cs="宋体"/>
          <w:b/>
          <w:color w:val="000000"/>
          <w:sz w:val="32"/>
          <w:szCs w:val="32"/>
          <w:highlight w:val="none"/>
        </w:rPr>
      </w:pPr>
    </w:p>
    <w:p w14:paraId="6777CED1">
      <w:pPr>
        <w:rPr>
          <w:rFonts w:hint="eastAsia" w:ascii="宋体" w:hAnsi="宋体" w:cs="宋体"/>
          <w:b/>
          <w:color w:val="000000"/>
          <w:sz w:val="32"/>
          <w:szCs w:val="32"/>
          <w:highlight w:val="none"/>
        </w:rPr>
      </w:pPr>
    </w:p>
    <w:p w14:paraId="19D2CFA8">
      <w:pPr>
        <w:rPr>
          <w:rFonts w:hint="eastAsia" w:ascii="宋体" w:hAnsi="宋体" w:cs="宋体"/>
          <w:b/>
          <w:color w:val="000000"/>
          <w:sz w:val="32"/>
          <w:szCs w:val="32"/>
          <w:highlight w:val="none"/>
        </w:rPr>
      </w:pPr>
    </w:p>
    <w:p w14:paraId="33C06E5D">
      <w:pPr>
        <w:rPr>
          <w:rFonts w:hint="eastAsia" w:ascii="宋体" w:hAnsi="宋体" w:cs="宋体"/>
          <w:b/>
          <w:color w:val="000000"/>
          <w:sz w:val="32"/>
          <w:szCs w:val="32"/>
          <w:highlight w:val="none"/>
        </w:rPr>
      </w:pPr>
    </w:p>
    <w:p w14:paraId="5F013D23">
      <w:pPr>
        <w:rPr>
          <w:rFonts w:hint="eastAsia" w:ascii="宋体" w:hAnsi="宋体" w:cs="宋体"/>
          <w:b/>
          <w:color w:val="000000"/>
          <w:sz w:val="32"/>
          <w:szCs w:val="32"/>
          <w:highlight w:val="none"/>
        </w:rPr>
      </w:pPr>
    </w:p>
    <w:p w14:paraId="59857244">
      <w:pPr>
        <w:rPr>
          <w:rFonts w:hint="eastAsia" w:ascii="宋体" w:hAnsi="宋体" w:cs="宋体"/>
          <w:b/>
          <w:color w:val="000000"/>
          <w:sz w:val="32"/>
          <w:szCs w:val="32"/>
          <w:highlight w:val="none"/>
        </w:rPr>
      </w:pPr>
    </w:p>
    <w:p w14:paraId="2E173740">
      <w:pPr>
        <w:rPr>
          <w:rFonts w:hint="eastAsia" w:ascii="宋体" w:hAnsi="宋体" w:cs="宋体"/>
          <w:b/>
          <w:color w:val="000000"/>
          <w:sz w:val="32"/>
          <w:szCs w:val="32"/>
          <w:highlight w:val="none"/>
        </w:rPr>
      </w:pPr>
    </w:p>
    <w:p w14:paraId="66C1F4A0">
      <w:pPr>
        <w:rPr>
          <w:rFonts w:hint="eastAsia" w:ascii="宋体" w:hAnsi="宋体" w:cs="宋体"/>
          <w:b/>
          <w:color w:val="000000"/>
          <w:sz w:val="32"/>
          <w:szCs w:val="32"/>
          <w:highlight w:val="none"/>
        </w:rPr>
      </w:pPr>
    </w:p>
    <w:p w14:paraId="3E505520">
      <w:pPr>
        <w:jc w:val="center"/>
        <w:rPr>
          <w:rFonts w:hint="eastAsia" w:ascii="宋体" w:hAnsi="宋体" w:eastAsia="宋体" w:cs="宋体"/>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（公章）</w:t>
      </w:r>
    </w:p>
    <w:p w14:paraId="35DF20CA">
      <w:pPr>
        <w:jc w:val="center"/>
        <w:rPr>
          <w:rFonts w:hint="eastAsia" w:ascii="宋体" w:hAnsi="宋体" w:eastAsia="宋体" w:cs="宋体"/>
          <w:sz w:val="24"/>
          <w:szCs w:val="24"/>
          <w:highlight w:val="none"/>
        </w:rPr>
      </w:pPr>
    </w:p>
    <w:p w14:paraId="7CDAC1EB">
      <w:pPr>
        <w:jc w:val="center"/>
        <w:rPr>
          <w:rFonts w:hint="eastAsia" w:ascii="宋体" w:hAnsi="宋体" w:eastAsia="宋体" w:cs="宋体"/>
          <w:sz w:val="24"/>
          <w:szCs w:val="24"/>
          <w:highlight w:val="none"/>
        </w:rPr>
      </w:pPr>
    </w:p>
    <w:p w14:paraId="546B639C">
      <w:pPr>
        <w:jc w:val="center"/>
        <w:rPr>
          <w:rFonts w:ascii="宋体" w:hAnsi="宋体" w:cs="宋体"/>
          <w:b/>
          <w:color w:val="000000"/>
          <w:sz w:val="32"/>
          <w:szCs w:val="32"/>
          <w:highlight w:val="none"/>
        </w:rPr>
      </w:pPr>
      <w:r>
        <w:rPr>
          <w:rFonts w:hint="eastAsia" w:ascii="宋体" w:hAnsi="宋体" w:eastAsia="宋体" w:cs="宋体"/>
          <w:sz w:val="24"/>
          <w:szCs w:val="24"/>
          <w:highlight w:val="none"/>
        </w:rPr>
        <w:t>日期：             年        月        日</w:t>
      </w:r>
      <w:r>
        <w:rPr>
          <w:rFonts w:hint="eastAsia" w:ascii="宋体" w:hAnsi="宋体" w:cs="宋体"/>
          <w:b/>
          <w:color w:val="000000"/>
          <w:sz w:val="32"/>
          <w:szCs w:val="32"/>
          <w:highlight w:val="none"/>
        </w:rPr>
        <w:br w:type="page"/>
      </w:r>
    </w:p>
    <w:p w14:paraId="5645ABB7">
      <w:pPr>
        <w:rPr>
          <w:rFonts w:ascii="宋体" w:hAnsi="宋体" w:cs="宋体"/>
          <w:highlight w:val="none"/>
        </w:rPr>
      </w:pPr>
    </w:p>
    <w:p w14:paraId="01F51A65">
      <w:pPr>
        <w:jc w:val="center"/>
        <w:rPr>
          <w:rFonts w:ascii="宋体" w:hAnsi="宋体" w:cs="宋体"/>
          <w:b/>
          <w:color w:val="000000"/>
          <w:sz w:val="32"/>
          <w:szCs w:val="32"/>
          <w:highlight w:val="none"/>
        </w:rPr>
      </w:pPr>
      <w:r>
        <w:rPr>
          <w:rFonts w:hint="eastAsia" w:ascii="宋体" w:hAnsi="宋体" w:cs="宋体"/>
          <w:b/>
          <w:color w:val="000000"/>
          <w:sz w:val="32"/>
          <w:szCs w:val="32"/>
          <w:highlight w:val="none"/>
          <w:lang w:val="en-US" w:eastAsia="zh-CN"/>
        </w:rPr>
        <w:t>七</w:t>
      </w:r>
      <w:r>
        <w:rPr>
          <w:rFonts w:hint="eastAsia" w:ascii="宋体" w:hAnsi="宋体" w:cs="宋体"/>
          <w:b/>
          <w:color w:val="000000"/>
          <w:sz w:val="32"/>
          <w:szCs w:val="32"/>
          <w:highlight w:val="none"/>
        </w:rPr>
        <w:t>、</w:t>
      </w:r>
      <w:r>
        <w:rPr>
          <w:rFonts w:hint="eastAsia" w:ascii="宋体" w:hAnsi="宋体" w:cs="宋体"/>
          <w:b/>
          <w:color w:val="000000"/>
          <w:sz w:val="32"/>
          <w:szCs w:val="32"/>
          <w:highlight w:val="none"/>
          <w:lang w:eastAsia="zh-CN"/>
        </w:rPr>
        <w:t>投标人</w:t>
      </w:r>
      <w:r>
        <w:rPr>
          <w:rFonts w:hint="eastAsia" w:ascii="宋体" w:hAnsi="宋体" w:cs="宋体"/>
          <w:b/>
          <w:color w:val="000000"/>
          <w:sz w:val="32"/>
          <w:szCs w:val="32"/>
          <w:highlight w:val="none"/>
        </w:rPr>
        <w:t>基本情况表</w:t>
      </w:r>
    </w:p>
    <w:tbl>
      <w:tblPr>
        <w:tblStyle w:val="44"/>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25"/>
        <w:gridCol w:w="1054"/>
        <w:gridCol w:w="1748"/>
        <w:gridCol w:w="704"/>
        <w:gridCol w:w="519"/>
        <w:gridCol w:w="1066"/>
        <w:gridCol w:w="170"/>
        <w:gridCol w:w="713"/>
        <w:gridCol w:w="1388"/>
      </w:tblGrid>
      <w:tr w14:paraId="01528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4C3C628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lang w:eastAsia="zh-CN"/>
              </w:rPr>
              <w:t>投标人</w:t>
            </w:r>
            <w:r>
              <w:rPr>
                <w:rFonts w:hint="eastAsia" w:ascii="宋体" w:hAnsi="宋体" w:cs="宋体"/>
                <w:color w:val="000000"/>
                <w:sz w:val="24"/>
                <w:szCs w:val="24"/>
                <w:highlight w:val="none"/>
              </w:rPr>
              <w:t>名称</w:t>
            </w:r>
          </w:p>
        </w:tc>
        <w:tc>
          <w:tcPr>
            <w:tcW w:w="7362" w:type="dxa"/>
            <w:gridSpan w:val="8"/>
            <w:vAlign w:val="center"/>
          </w:tcPr>
          <w:p w14:paraId="0E71B18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62FA8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4375820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注册地址</w:t>
            </w:r>
          </w:p>
        </w:tc>
        <w:tc>
          <w:tcPr>
            <w:tcW w:w="4025" w:type="dxa"/>
            <w:gridSpan w:val="4"/>
            <w:vAlign w:val="center"/>
          </w:tcPr>
          <w:p w14:paraId="37CA364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066" w:type="dxa"/>
            <w:vAlign w:val="center"/>
          </w:tcPr>
          <w:p w14:paraId="1121069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邮政</w:t>
            </w:r>
          </w:p>
          <w:p w14:paraId="6454C7E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编码</w:t>
            </w:r>
          </w:p>
        </w:tc>
        <w:tc>
          <w:tcPr>
            <w:tcW w:w="2271" w:type="dxa"/>
            <w:gridSpan w:val="3"/>
            <w:vAlign w:val="center"/>
          </w:tcPr>
          <w:p w14:paraId="6CC0C99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46640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Merge w:val="restart"/>
            <w:vAlign w:val="center"/>
          </w:tcPr>
          <w:p w14:paraId="4EAAA33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联系方式</w:t>
            </w:r>
          </w:p>
        </w:tc>
        <w:tc>
          <w:tcPr>
            <w:tcW w:w="1054" w:type="dxa"/>
            <w:vAlign w:val="center"/>
          </w:tcPr>
          <w:p w14:paraId="4B0A17B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联系人</w:t>
            </w:r>
          </w:p>
        </w:tc>
        <w:tc>
          <w:tcPr>
            <w:tcW w:w="2971" w:type="dxa"/>
            <w:gridSpan w:val="3"/>
            <w:vAlign w:val="center"/>
          </w:tcPr>
          <w:p w14:paraId="6FE59F0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066" w:type="dxa"/>
            <w:vAlign w:val="center"/>
          </w:tcPr>
          <w:p w14:paraId="63ACEAA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电话</w:t>
            </w:r>
          </w:p>
        </w:tc>
        <w:tc>
          <w:tcPr>
            <w:tcW w:w="2271" w:type="dxa"/>
            <w:gridSpan w:val="3"/>
            <w:vAlign w:val="center"/>
          </w:tcPr>
          <w:p w14:paraId="1A092ED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031581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0" w:hRule="atLeast"/>
          <w:jc w:val="right"/>
        </w:trPr>
        <w:tc>
          <w:tcPr>
            <w:tcW w:w="1925" w:type="dxa"/>
            <w:vMerge w:val="continue"/>
            <w:vAlign w:val="center"/>
          </w:tcPr>
          <w:p w14:paraId="276DB4D6">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1054" w:type="dxa"/>
            <w:vAlign w:val="center"/>
          </w:tcPr>
          <w:p w14:paraId="6528D73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传  真</w:t>
            </w:r>
          </w:p>
        </w:tc>
        <w:tc>
          <w:tcPr>
            <w:tcW w:w="2971" w:type="dxa"/>
            <w:gridSpan w:val="3"/>
            <w:vAlign w:val="center"/>
          </w:tcPr>
          <w:p w14:paraId="0464B38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066" w:type="dxa"/>
            <w:vAlign w:val="center"/>
          </w:tcPr>
          <w:p w14:paraId="13C5C4C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网址</w:t>
            </w:r>
          </w:p>
        </w:tc>
        <w:tc>
          <w:tcPr>
            <w:tcW w:w="2271" w:type="dxa"/>
            <w:gridSpan w:val="3"/>
            <w:vAlign w:val="center"/>
          </w:tcPr>
          <w:p w14:paraId="0F3600C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4E6B1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16CDB48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组织结构</w:t>
            </w:r>
          </w:p>
        </w:tc>
        <w:tc>
          <w:tcPr>
            <w:tcW w:w="7362" w:type="dxa"/>
            <w:gridSpan w:val="8"/>
            <w:vAlign w:val="center"/>
          </w:tcPr>
          <w:p w14:paraId="1D94C88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5807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541C0D9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法定代表人</w:t>
            </w:r>
          </w:p>
        </w:tc>
        <w:tc>
          <w:tcPr>
            <w:tcW w:w="1054" w:type="dxa"/>
            <w:vAlign w:val="center"/>
          </w:tcPr>
          <w:p w14:paraId="78E870A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姓 名</w:t>
            </w:r>
          </w:p>
        </w:tc>
        <w:tc>
          <w:tcPr>
            <w:tcW w:w="1748" w:type="dxa"/>
            <w:vAlign w:val="center"/>
          </w:tcPr>
          <w:p w14:paraId="5A22ED3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223" w:type="dxa"/>
            <w:gridSpan w:val="2"/>
            <w:vAlign w:val="center"/>
          </w:tcPr>
          <w:p w14:paraId="20A803F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电话</w:t>
            </w:r>
          </w:p>
        </w:tc>
        <w:tc>
          <w:tcPr>
            <w:tcW w:w="1236" w:type="dxa"/>
            <w:gridSpan w:val="2"/>
            <w:vAlign w:val="center"/>
          </w:tcPr>
          <w:p w14:paraId="41F0522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13" w:type="dxa"/>
            <w:vAlign w:val="center"/>
          </w:tcPr>
          <w:p w14:paraId="0FEE6E9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电话</w:t>
            </w:r>
          </w:p>
        </w:tc>
        <w:tc>
          <w:tcPr>
            <w:tcW w:w="1388" w:type="dxa"/>
            <w:vAlign w:val="center"/>
          </w:tcPr>
          <w:p w14:paraId="7C04FF0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25D5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5697037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技术负责人</w:t>
            </w:r>
          </w:p>
        </w:tc>
        <w:tc>
          <w:tcPr>
            <w:tcW w:w="1054" w:type="dxa"/>
            <w:vAlign w:val="center"/>
          </w:tcPr>
          <w:p w14:paraId="63A3851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姓 名</w:t>
            </w:r>
          </w:p>
        </w:tc>
        <w:tc>
          <w:tcPr>
            <w:tcW w:w="1748" w:type="dxa"/>
            <w:vAlign w:val="center"/>
          </w:tcPr>
          <w:p w14:paraId="3526093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1223" w:type="dxa"/>
            <w:gridSpan w:val="2"/>
            <w:vAlign w:val="center"/>
          </w:tcPr>
          <w:p w14:paraId="744A624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电话</w:t>
            </w:r>
          </w:p>
        </w:tc>
        <w:tc>
          <w:tcPr>
            <w:tcW w:w="1236" w:type="dxa"/>
            <w:gridSpan w:val="2"/>
            <w:vAlign w:val="center"/>
          </w:tcPr>
          <w:p w14:paraId="1B3F2D2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13" w:type="dxa"/>
            <w:vAlign w:val="center"/>
          </w:tcPr>
          <w:p w14:paraId="0DA9B1F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电话</w:t>
            </w:r>
          </w:p>
        </w:tc>
        <w:tc>
          <w:tcPr>
            <w:tcW w:w="1388" w:type="dxa"/>
            <w:vAlign w:val="center"/>
          </w:tcPr>
          <w:p w14:paraId="4D573DA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7795C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3F52AEE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成立时间</w:t>
            </w:r>
          </w:p>
        </w:tc>
        <w:tc>
          <w:tcPr>
            <w:tcW w:w="2802" w:type="dxa"/>
            <w:gridSpan w:val="2"/>
            <w:vAlign w:val="center"/>
          </w:tcPr>
          <w:p w14:paraId="777EEB5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4560" w:type="dxa"/>
            <w:gridSpan w:val="6"/>
            <w:vAlign w:val="center"/>
          </w:tcPr>
          <w:p w14:paraId="4F94FB92">
            <w:pPr>
              <w:keepNext w:val="0"/>
              <w:keepLines w:val="0"/>
              <w:widowControl/>
              <w:suppressLineNumbers w:val="0"/>
              <w:spacing w:before="0" w:beforeAutospacing="0" w:after="0" w:afterAutospacing="0"/>
              <w:ind w:left="0" w:right="0"/>
              <w:rPr>
                <w:rFonts w:hint="default" w:ascii="宋体" w:hAnsi="宋体" w:cs="宋体"/>
                <w:color w:val="000000"/>
                <w:sz w:val="24"/>
                <w:szCs w:val="24"/>
                <w:highlight w:val="none"/>
              </w:rPr>
            </w:pPr>
            <w:r>
              <w:rPr>
                <w:rFonts w:hint="eastAsia" w:ascii="宋体" w:hAnsi="宋体" w:cs="宋体"/>
                <w:color w:val="000000"/>
                <w:sz w:val="24"/>
                <w:szCs w:val="24"/>
                <w:highlight w:val="none"/>
              </w:rPr>
              <w:t>员工总人数：</w:t>
            </w:r>
          </w:p>
        </w:tc>
      </w:tr>
      <w:tr w14:paraId="0E794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07450AE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营业执照号</w:t>
            </w:r>
          </w:p>
        </w:tc>
        <w:tc>
          <w:tcPr>
            <w:tcW w:w="2802" w:type="dxa"/>
            <w:gridSpan w:val="2"/>
            <w:vAlign w:val="center"/>
          </w:tcPr>
          <w:p w14:paraId="644EC1F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04" w:type="dxa"/>
            <w:vMerge w:val="restart"/>
            <w:vAlign w:val="center"/>
          </w:tcPr>
          <w:p w14:paraId="20D4585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其中</w:t>
            </w:r>
          </w:p>
        </w:tc>
        <w:tc>
          <w:tcPr>
            <w:tcW w:w="1755" w:type="dxa"/>
            <w:gridSpan w:val="3"/>
            <w:vAlign w:val="center"/>
          </w:tcPr>
          <w:p w14:paraId="0EF7BDB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项目负责人</w:t>
            </w:r>
          </w:p>
        </w:tc>
        <w:tc>
          <w:tcPr>
            <w:tcW w:w="2101" w:type="dxa"/>
            <w:gridSpan w:val="2"/>
            <w:vAlign w:val="center"/>
          </w:tcPr>
          <w:p w14:paraId="76CAB9B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617EA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16CA39B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注册资金</w:t>
            </w:r>
          </w:p>
        </w:tc>
        <w:tc>
          <w:tcPr>
            <w:tcW w:w="2802" w:type="dxa"/>
            <w:gridSpan w:val="2"/>
            <w:vAlign w:val="center"/>
          </w:tcPr>
          <w:p w14:paraId="1073FF1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04" w:type="dxa"/>
            <w:vMerge w:val="continue"/>
            <w:vAlign w:val="center"/>
          </w:tcPr>
          <w:p w14:paraId="0529DF97">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1755" w:type="dxa"/>
            <w:gridSpan w:val="3"/>
            <w:vAlign w:val="center"/>
          </w:tcPr>
          <w:p w14:paraId="0532500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项目参与人员</w:t>
            </w:r>
          </w:p>
        </w:tc>
        <w:tc>
          <w:tcPr>
            <w:tcW w:w="2101" w:type="dxa"/>
            <w:gridSpan w:val="2"/>
            <w:vAlign w:val="center"/>
          </w:tcPr>
          <w:p w14:paraId="5F4E07C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0BF6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775B908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开户银行</w:t>
            </w:r>
          </w:p>
        </w:tc>
        <w:tc>
          <w:tcPr>
            <w:tcW w:w="2802" w:type="dxa"/>
            <w:gridSpan w:val="2"/>
            <w:vAlign w:val="center"/>
          </w:tcPr>
          <w:p w14:paraId="09E2D41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04" w:type="dxa"/>
            <w:vMerge w:val="continue"/>
            <w:vAlign w:val="center"/>
          </w:tcPr>
          <w:p w14:paraId="6971C570">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1755" w:type="dxa"/>
            <w:gridSpan w:val="3"/>
            <w:vAlign w:val="center"/>
          </w:tcPr>
          <w:p w14:paraId="423FE4B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项目参与人员</w:t>
            </w:r>
          </w:p>
        </w:tc>
        <w:tc>
          <w:tcPr>
            <w:tcW w:w="2101" w:type="dxa"/>
            <w:gridSpan w:val="2"/>
            <w:vAlign w:val="center"/>
          </w:tcPr>
          <w:p w14:paraId="2CD0760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5B3AE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3C01775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账   号</w:t>
            </w:r>
          </w:p>
        </w:tc>
        <w:tc>
          <w:tcPr>
            <w:tcW w:w="2802" w:type="dxa"/>
            <w:gridSpan w:val="2"/>
            <w:vAlign w:val="center"/>
          </w:tcPr>
          <w:p w14:paraId="62480BF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04" w:type="dxa"/>
            <w:vMerge w:val="continue"/>
            <w:vAlign w:val="center"/>
          </w:tcPr>
          <w:p w14:paraId="458596A8">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1755" w:type="dxa"/>
            <w:gridSpan w:val="3"/>
            <w:vAlign w:val="center"/>
          </w:tcPr>
          <w:p w14:paraId="1E55DEA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项目参与人员</w:t>
            </w:r>
          </w:p>
        </w:tc>
        <w:tc>
          <w:tcPr>
            <w:tcW w:w="2101" w:type="dxa"/>
            <w:gridSpan w:val="2"/>
            <w:vAlign w:val="center"/>
          </w:tcPr>
          <w:p w14:paraId="37FA52A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3BF3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right"/>
        </w:trPr>
        <w:tc>
          <w:tcPr>
            <w:tcW w:w="1925" w:type="dxa"/>
            <w:vAlign w:val="center"/>
          </w:tcPr>
          <w:p w14:paraId="0F01AD6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2802" w:type="dxa"/>
            <w:gridSpan w:val="2"/>
            <w:vAlign w:val="center"/>
          </w:tcPr>
          <w:p w14:paraId="6E92222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c>
          <w:tcPr>
            <w:tcW w:w="704" w:type="dxa"/>
            <w:vMerge w:val="continue"/>
            <w:vAlign w:val="center"/>
          </w:tcPr>
          <w:p w14:paraId="73272D88">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1755" w:type="dxa"/>
            <w:gridSpan w:val="3"/>
            <w:vAlign w:val="center"/>
          </w:tcPr>
          <w:p w14:paraId="2051C67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项目参与人员</w:t>
            </w:r>
          </w:p>
        </w:tc>
        <w:tc>
          <w:tcPr>
            <w:tcW w:w="2101" w:type="dxa"/>
            <w:gridSpan w:val="2"/>
            <w:vAlign w:val="center"/>
          </w:tcPr>
          <w:p w14:paraId="7B99D62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r w14:paraId="39AB9B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jc w:val="right"/>
        </w:trPr>
        <w:tc>
          <w:tcPr>
            <w:tcW w:w="1925" w:type="dxa"/>
            <w:vAlign w:val="center"/>
          </w:tcPr>
          <w:p w14:paraId="5366DBA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r>
              <w:rPr>
                <w:rFonts w:hint="eastAsia" w:ascii="宋体" w:hAnsi="宋体" w:cs="宋体"/>
                <w:color w:val="000000"/>
                <w:sz w:val="24"/>
                <w:szCs w:val="24"/>
                <w:highlight w:val="none"/>
              </w:rPr>
              <w:t>经营范围备注</w:t>
            </w:r>
          </w:p>
        </w:tc>
        <w:tc>
          <w:tcPr>
            <w:tcW w:w="7362" w:type="dxa"/>
            <w:gridSpan w:val="8"/>
            <w:vAlign w:val="center"/>
          </w:tcPr>
          <w:p w14:paraId="5A9C1A4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4"/>
                <w:highlight w:val="none"/>
              </w:rPr>
            </w:pPr>
          </w:p>
        </w:tc>
      </w:tr>
    </w:tbl>
    <w:p w14:paraId="5B85C45B">
      <w:pPr>
        <w:spacing w:before="120" w:beforeLines="50" w:after="120" w:afterLines="50"/>
        <w:rPr>
          <w:rFonts w:ascii="宋体" w:hAnsi="宋体" w:cs="宋体"/>
          <w:kern w:val="0"/>
          <w:sz w:val="24"/>
          <w:szCs w:val="24"/>
          <w:highlight w:val="none"/>
        </w:rPr>
      </w:pPr>
      <w:r>
        <w:rPr>
          <w:rFonts w:hint="eastAsia" w:ascii="宋体" w:hAnsi="宋体" w:cs="宋体"/>
          <w:kern w:val="0"/>
          <w:sz w:val="24"/>
          <w:szCs w:val="24"/>
          <w:highlight w:val="none"/>
        </w:rPr>
        <w:t>注：在本表后应附</w:t>
      </w:r>
      <w:r>
        <w:rPr>
          <w:rFonts w:hint="eastAsia" w:ascii="宋体" w:hAnsi="宋体" w:cs="宋体"/>
          <w:kern w:val="0"/>
          <w:sz w:val="24"/>
          <w:szCs w:val="24"/>
          <w:highlight w:val="none"/>
          <w:lang w:val="en-US" w:eastAsia="zh-CN"/>
        </w:rPr>
        <w:t>投标人</w:t>
      </w:r>
      <w:r>
        <w:rPr>
          <w:rFonts w:hint="eastAsia" w:ascii="宋体" w:hAnsi="宋体" w:cs="宋体"/>
          <w:kern w:val="0"/>
          <w:sz w:val="24"/>
          <w:szCs w:val="24"/>
          <w:highlight w:val="none"/>
        </w:rPr>
        <w:t>营业执照（副本）、开户许可证或银行开户证明等相关证件的复印件。</w:t>
      </w:r>
    </w:p>
    <w:p w14:paraId="1EB1C623">
      <w:pPr>
        <w:spacing w:after="100" w:afterAutospacing="1" w:line="480" w:lineRule="auto"/>
        <w:jc w:val="both"/>
        <w:rPr>
          <w:rFonts w:ascii="宋体" w:hAnsi="宋体" w:cs="宋体"/>
          <w:b/>
          <w:color w:val="000000"/>
          <w:sz w:val="32"/>
          <w:szCs w:val="32"/>
          <w:highlight w:val="none"/>
        </w:rPr>
      </w:pPr>
      <w:r>
        <w:rPr>
          <w:rFonts w:hint="eastAsia" w:ascii="宋体" w:hAnsi="宋体" w:cs="宋体"/>
          <w:b/>
          <w:color w:val="000000"/>
          <w:sz w:val="21"/>
          <w:szCs w:val="21"/>
          <w:highlight w:val="none"/>
        </w:rPr>
        <w:br w:type="page"/>
      </w:r>
    </w:p>
    <w:p w14:paraId="7EB927EA">
      <w:pPr>
        <w:jc w:val="center"/>
        <w:rPr>
          <w:rFonts w:hint="eastAsia" w:ascii="宋体" w:hAnsi="宋体" w:cs="宋体"/>
          <w:sz w:val="32"/>
          <w:szCs w:val="32"/>
          <w:highlight w:val="none"/>
        </w:rPr>
      </w:pPr>
      <w:r>
        <w:rPr>
          <w:rFonts w:hint="eastAsia" w:ascii="宋体" w:hAnsi="宋体" w:cs="宋体"/>
          <w:sz w:val="32"/>
          <w:szCs w:val="32"/>
          <w:highlight w:val="none"/>
        </w:rPr>
        <w:t>近年财务状况表</w:t>
      </w:r>
    </w:p>
    <w:p w14:paraId="0AB58476">
      <w:pPr>
        <w:jc w:val="center"/>
        <w:rPr>
          <w:rFonts w:hint="eastAsia" w:ascii="宋体" w:hAnsi="宋体" w:cs="宋体"/>
          <w:sz w:val="32"/>
          <w:szCs w:val="32"/>
          <w:highlight w:val="none"/>
        </w:rPr>
      </w:pPr>
    </w:p>
    <w:p w14:paraId="00EA015E">
      <w:pPr>
        <w:jc w:val="center"/>
        <w:rPr>
          <w:rFonts w:hint="eastAsia" w:ascii="宋体" w:hAnsi="宋体" w:cs="宋体"/>
          <w:sz w:val="32"/>
          <w:szCs w:val="32"/>
          <w:highlight w:val="none"/>
        </w:rPr>
      </w:pPr>
    </w:p>
    <w:p w14:paraId="46285AAE">
      <w:pPr>
        <w:jc w:val="center"/>
        <w:rPr>
          <w:rFonts w:hint="eastAsia" w:ascii="宋体" w:hAnsi="宋体" w:cs="宋体"/>
          <w:sz w:val="32"/>
          <w:szCs w:val="32"/>
          <w:highlight w:val="none"/>
        </w:rPr>
      </w:pPr>
    </w:p>
    <w:p w14:paraId="258BCC2B">
      <w:pPr>
        <w:jc w:val="center"/>
        <w:rPr>
          <w:rFonts w:hint="eastAsia" w:ascii="宋体" w:hAnsi="宋体" w:cs="宋体"/>
          <w:sz w:val="32"/>
          <w:szCs w:val="32"/>
          <w:highlight w:val="none"/>
        </w:rPr>
      </w:pPr>
    </w:p>
    <w:p w14:paraId="56F42B86">
      <w:pPr>
        <w:jc w:val="center"/>
        <w:rPr>
          <w:rFonts w:hint="eastAsia" w:ascii="宋体" w:hAnsi="宋体" w:cs="宋体"/>
          <w:sz w:val="32"/>
          <w:szCs w:val="32"/>
          <w:highlight w:val="none"/>
        </w:rPr>
      </w:pPr>
    </w:p>
    <w:p w14:paraId="3633A7CE">
      <w:pPr>
        <w:jc w:val="center"/>
        <w:rPr>
          <w:rFonts w:hint="eastAsia" w:ascii="宋体" w:hAnsi="宋体" w:cs="宋体"/>
          <w:sz w:val="32"/>
          <w:szCs w:val="32"/>
          <w:highlight w:val="none"/>
        </w:rPr>
      </w:pPr>
    </w:p>
    <w:p w14:paraId="1136AF82">
      <w:pPr>
        <w:jc w:val="center"/>
        <w:rPr>
          <w:rFonts w:hint="eastAsia" w:ascii="宋体" w:hAnsi="宋体" w:cs="宋体"/>
          <w:sz w:val="32"/>
          <w:szCs w:val="32"/>
          <w:highlight w:val="none"/>
        </w:rPr>
      </w:pPr>
    </w:p>
    <w:p w14:paraId="388EAA67">
      <w:pPr>
        <w:jc w:val="center"/>
        <w:rPr>
          <w:rFonts w:hint="eastAsia" w:ascii="宋体" w:hAnsi="宋体" w:cs="宋体"/>
          <w:sz w:val="32"/>
          <w:szCs w:val="32"/>
          <w:highlight w:val="none"/>
        </w:rPr>
      </w:pPr>
    </w:p>
    <w:p w14:paraId="5EE122BC">
      <w:pPr>
        <w:jc w:val="center"/>
        <w:rPr>
          <w:rFonts w:hint="eastAsia" w:ascii="宋体" w:hAnsi="宋体" w:cs="宋体"/>
          <w:sz w:val="32"/>
          <w:szCs w:val="32"/>
          <w:highlight w:val="none"/>
        </w:rPr>
      </w:pPr>
    </w:p>
    <w:p w14:paraId="7F446781">
      <w:pPr>
        <w:jc w:val="center"/>
        <w:rPr>
          <w:rFonts w:hint="eastAsia" w:ascii="宋体" w:hAnsi="宋体" w:cs="宋体"/>
          <w:sz w:val="32"/>
          <w:szCs w:val="32"/>
          <w:highlight w:val="none"/>
        </w:rPr>
      </w:pPr>
    </w:p>
    <w:p w14:paraId="48D36F2F">
      <w:pPr>
        <w:jc w:val="center"/>
        <w:rPr>
          <w:rFonts w:hint="eastAsia" w:ascii="宋体" w:hAnsi="宋体" w:cs="宋体"/>
          <w:sz w:val="32"/>
          <w:szCs w:val="32"/>
          <w:highlight w:val="none"/>
        </w:rPr>
      </w:pPr>
    </w:p>
    <w:p w14:paraId="23AF408D">
      <w:pPr>
        <w:jc w:val="center"/>
        <w:rPr>
          <w:rFonts w:hint="eastAsia" w:ascii="宋体" w:hAnsi="宋体" w:cs="宋体"/>
          <w:sz w:val="32"/>
          <w:szCs w:val="32"/>
          <w:highlight w:val="none"/>
        </w:rPr>
      </w:pPr>
    </w:p>
    <w:p w14:paraId="5129B274">
      <w:pPr>
        <w:jc w:val="center"/>
        <w:rPr>
          <w:rFonts w:hint="eastAsia" w:ascii="宋体" w:hAnsi="宋体" w:cs="宋体"/>
          <w:sz w:val="32"/>
          <w:szCs w:val="32"/>
          <w:highlight w:val="none"/>
        </w:rPr>
      </w:pPr>
    </w:p>
    <w:p w14:paraId="267FFD6F">
      <w:pPr>
        <w:jc w:val="center"/>
        <w:rPr>
          <w:rFonts w:hint="eastAsia" w:ascii="宋体" w:hAnsi="宋体" w:cs="宋体"/>
          <w:sz w:val="32"/>
          <w:szCs w:val="32"/>
          <w:highlight w:val="none"/>
        </w:rPr>
      </w:pPr>
    </w:p>
    <w:p w14:paraId="23FCB026">
      <w:pPr>
        <w:jc w:val="center"/>
        <w:rPr>
          <w:rFonts w:hint="eastAsia" w:ascii="宋体" w:hAnsi="宋体" w:cs="宋体"/>
          <w:highlight w:val="none"/>
        </w:rPr>
      </w:pPr>
      <w:r>
        <w:rPr>
          <w:rFonts w:hint="eastAsia" w:ascii="宋体" w:hAnsi="宋体" w:cs="宋体"/>
          <w:sz w:val="32"/>
          <w:szCs w:val="32"/>
          <w:highlight w:val="none"/>
        </w:rPr>
        <w:t>依法缴纳税收和社会保障金的证明</w:t>
      </w:r>
    </w:p>
    <w:p w14:paraId="2879083F">
      <w:pPr>
        <w:rPr>
          <w:rFonts w:hint="eastAsia" w:ascii="宋体" w:hAnsi="宋体" w:cs="宋体"/>
          <w:b/>
          <w:color w:val="000000"/>
          <w:sz w:val="32"/>
          <w:szCs w:val="32"/>
          <w:highlight w:val="none"/>
          <w:lang w:val="en-US" w:eastAsia="zh-CN"/>
        </w:rPr>
      </w:pPr>
      <w:r>
        <w:rPr>
          <w:rFonts w:hint="eastAsia" w:ascii="宋体" w:hAnsi="宋体" w:cs="宋体"/>
          <w:b/>
          <w:color w:val="000000"/>
          <w:sz w:val="32"/>
          <w:szCs w:val="32"/>
          <w:highlight w:val="none"/>
          <w:lang w:val="en-US" w:eastAsia="zh-CN"/>
        </w:rPr>
        <w:br w:type="page"/>
      </w:r>
    </w:p>
    <w:p w14:paraId="5F364507">
      <w:pPr>
        <w:jc w:val="center"/>
        <w:rPr>
          <w:rFonts w:ascii="宋体" w:hAnsi="宋体" w:cs="宋体"/>
          <w:b/>
          <w:color w:val="000000"/>
          <w:sz w:val="32"/>
          <w:szCs w:val="32"/>
          <w:highlight w:val="none"/>
        </w:rPr>
      </w:pPr>
      <w:r>
        <w:rPr>
          <w:rFonts w:hint="eastAsia" w:ascii="宋体" w:hAnsi="宋体" w:cs="宋体"/>
          <w:b/>
          <w:color w:val="000000"/>
          <w:sz w:val="32"/>
          <w:szCs w:val="32"/>
          <w:highlight w:val="none"/>
          <w:lang w:val="en-US" w:eastAsia="zh-CN"/>
        </w:rPr>
        <w:t>八</w:t>
      </w:r>
      <w:r>
        <w:rPr>
          <w:rFonts w:hint="eastAsia" w:ascii="宋体" w:hAnsi="宋体" w:cs="宋体"/>
          <w:b/>
          <w:color w:val="000000"/>
          <w:sz w:val="32"/>
          <w:szCs w:val="32"/>
          <w:highlight w:val="none"/>
        </w:rPr>
        <w:t>、近年来完成的类似项目业绩情况表</w:t>
      </w:r>
    </w:p>
    <w:tbl>
      <w:tblPr>
        <w:tblStyle w:val="44"/>
        <w:tblW w:w="839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1"/>
        <w:gridCol w:w="1981"/>
        <w:gridCol w:w="2064"/>
        <w:gridCol w:w="1935"/>
        <w:gridCol w:w="1480"/>
      </w:tblGrid>
      <w:tr w14:paraId="1ABD9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31" w:type="dxa"/>
            <w:vAlign w:val="center"/>
          </w:tcPr>
          <w:p w14:paraId="3DCBB8E9">
            <w:pPr>
              <w:keepNext w:val="0"/>
              <w:keepLines w:val="0"/>
              <w:widowControl/>
              <w:suppressLineNumbers w:val="0"/>
              <w:spacing w:before="0" w:beforeAutospacing="0" w:after="0" w:afterAutospacing="0"/>
              <w:ind w:left="0" w:right="0"/>
              <w:jc w:val="center"/>
              <w:rPr>
                <w:rFonts w:hint="default" w:ascii="宋体" w:hAnsi="宋体" w:cs="宋体"/>
                <w:sz w:val="24"/>
                <w:szCs w:val="20"/>
                <w:highlight w:val="none"/>
              </w:rPr>
            </w:pPr>
            <w:r>
              <w:rPr>
                <w:rFonts w:hint="eastAsia" w:ascii="宋体" w:hAnsi="宋体" w:cs="宋体"/>
                <w:b/>
                <w:color w:val="000000"/>
                <w:sz w:val="32"/>
                <w:szCs w:val="32"/>
                <w:highlight w:val="none"/>
              </w:rPr>
              <w:br w:type="page"/>
            </w:r>
            <w:r>
              <w:rPr>
                <w:rFonts w:hint="eastAsia" w:ascii="宋体" w:hAnsi="宋体" w:cs="宋体"/>
                <w:sz w:val="24"/>
                <w:szCs w:val="20"/>
                <w:highlight w:val="none"/>
              </w:rPr>
              <w:t>序号</w:t>
            </w:r>
          </w:p>
        </w:tc>
        <w:tc>
          <w:tcPr>
            <w:tcW w:w="1981" w:type="dxa"/>
            <w:vAlign w:val="center"/>
          </w:tcPr>
          <w:p w14:paraId="38340DBB">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项目名称</w:t>
            </w:r>
          </w:p>
        </w:tc>
        <w:tc>
          <w:tcPr>
            <w:tcW w:w="2064" w:type="dxa"/>
            <w:vAlign w:val="center"/>
          </w:tcPr>
          <w:p w14:paraId="32161BBB">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委托单位</w:t>
            </w:r>
          </w:p>
        </w:tc>
        <w:tc>
          <w:tcPr>
            <w:tcW w:w="1935" w:type="dxa"/>
            <w:vAlign w:val="center"/>
          </w:tcPr>
          <w:p w14:paraId="14F2FD42">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合同签订时间</w:t>
            </w:r>
          </w:p>
        </w:tc>
        <w:tc>
          <w:tcPr>
            <w:tcW w:w="1480" w:type="dxa"/>
            <w:vAlign w:val="center"/>
          </w:tcPr>
          <w:p w14:paraId="3A6E7F5D">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备注</w:t>
            </w:r>
          </w:p>
        </w:tc>
      </w:tr>
      <w:tr w14:paraId="2E721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1" w:type="dxa"/>
            <w:vAlign w:val="center"/>
          </w:tcPr>
          <w:p w14:paraId="5A080D22">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1</w:t>
            </w:r>
          </w:p>
        </w:tc>
        <w:tc>
          <w:tcPr>
            <w:tcW w:w="1981" w:type="dxa"/>
            <w:vAlign w:val="center"/>
          </w:tcPr>
          <w:p w14:paraId="4103D5B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2064" w:type="dxa"/>
            <w:vAlign w:val="center"/>
          </w:tcPr>
          <w:p w14:paraId="0EA74B1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35" w:type="dxa"/>
            <w:vAlign w:val="center"/>
          </w:tcPr>
          <w:p w14:paraId="5EE4078E">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480" w:type="dxa"/>
            <w:vAlign w:val="center"/>
          </w:tcPr>
          <w:p w14:paraId="776D474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r>
      <w:tr w14:paraId="63989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1" w:type="dxa"/>
            <w:vAlign w:val="center"/>
          </w:tcPr>
          <w:p w14:paraId="7A7C0205">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2</w:t>
            </w:r>
          </w:p>
        </w:tc>
        <w:tc>
          <w:tcPr>
            <w:tcW w:w="1981" w:type="dxa"/>
            <w:vAlign w:val="center"/>
          </w:tcPr>
          <w:p w14:paraId="62E2034F">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2064" w:type="dxa"/>
            <w:vAlign w:val="center"/>
          </w:tcPr>
          <w:p w14:paraId="22F89354">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35" w:type="dxa"/>
            <w:vAlign w:val="center"/>
          </w:tcPr>
          <w:p w14:paraId="398B6A25">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480" w:type="dxa"/>
            <w:vAlign w:val="center"/>
          </w:tcPr>
          <w:p w14:paraId="08AFCA3E">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r>
      <w:tr w14:paraId="2CC6D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31" w:type="dxa"/>
            <w:vAlign w:val="center"/>
          </w:tcPr>
          <w:p w14:paraId="175055DB">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r>
              <w:rPr>
                <w:rFonts w:hint="eastAsia" w:ascii="宋体" w:hAnsi="宋体" w:cs="宋体"/>
                <w:sz w:val="24"/>
                <w:szCs w:val="20"/>
                <w:highlight w:val="none"/>
              </w:rPr>
              <w:t>3</w:t>
            </w:r>
          </w:p>
        </w:tc>
        <w:tc>
          <w:tcPr>
            <w:tcW w:w="1981" w:type="dxa"/>
            <w:vAlign w:val="center"/>
          </w:tcPr>
          <w:p w14:paraId="238DA653">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2064" w:type="dxa"/>
            <w:vAlign w:val="center"/>
          </w:tcPr>
          <w:p w14:paraId="40762B4A">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35" w:type="dxa"/>
            <w:vAlign w:val="center"/>
          </w:tcPr>
          <w:p w14:paraId="48EE980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480" w:type="dxa"/>
            <w:vAlign w:val="center"/>
          </w:tcPr>
          <w:p w14:paraId="05268F6D">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r>
      <w:tr w14:paraId="276B7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1" w:type="dxa"/>
            <w:vAlign w:val="center"/>
          </w:tcPr>
          <w:p w14:paraId="45FF819A">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81" w:type="dxa"/>
            <w:vAlign w:val="center"/>
          </w:tcPr>
          <w:p w14:paraId="5DDCA55F">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2064" w:type="dxa"/>
            <w:vAlign w:val="center"/>
          </w:tcPr>
          <w:p w14:paraId="076F8A5A">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35" w:type="dxa"/>
            <w:vAlign w:val="center"/>
          </w:tcPr>
          <w:p w14:paraId="78E8717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480" w:type="dxa"/>
            <w:vAlign w:val="center"/>
          </w:tcPr>
          <w:p w14:paraId="6446B499">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r>
      <w:tr w14:paraId="0B295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2" w:hRule="atLeast"/>
          <w:jc w:val="center"/>
        </w:trPr>
        <w:tc>
          <w:tcPr>
            <w:tcW w:w="931" w:type="dxa"/>
            <w:vAlign w:val="center"/>
          </w:tcPr>
          <w:p w14:paraId="2235A06D">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81" w:type="dxa"/>
            <w:vAlign w:val="center"/>
          </w:tcPr>
          <w:p w14:paraId="23418161">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2064" w:type="dxa"/>
            <w:vAlign w:val="center"/>
          </w:tcPr>
          <w:p w14:paraId="6750514E">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935" w:type="dxa"/>
            <w:vAlign w:val="center"/>
          </w:tcPr>
          <w:p w14:paraId="0C14EC08">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c>
          <w:tcPr>
            <w:tcW w:w="1480" w:type="dxa"/>
            <w:vAlign w:val="center"/>
          </w:tcPr>
          <w:p w14:paraId="2F4DCA53">
            <w:pPr>
              <w:keepNext w:val="0"/>
              <w:keepLines w:val="0"/>
              <w:widowControl/>
              <w:suppressLineNumbers w:val="0"/>
              <w:spacing w:before="0" w:beforeAutospacing="0" w:after="0" w:afterAutospacing="0" w:line="360" w:lineRule="auto"/>
              <w:ind w:left="0" w:right="0"/>
              <w:jc w:val="center"/>
              <w:rPr>
                <w:rFonts w:hint="default" w:ascii="宋体" w:hAnsi="宋体" w:cs="宋体"/>
                <w:sz w:val="24"/>
                <w:szCs w:val="20"/>
                <w:highlight w:val="none"/>
              </w:rPr>
            </w:pPr>
          </w:p>
        </w:tc>
      </w:tr>
    </w:tbl>
    <w:p w14:paraId="74FC07F5">
      <w:pPr>
        <w:spacing w:line="360" w:lineRule="auto"/>
        <w:ind w:left="686" w:leftChars="343" w:right="960" w:firstLine="3120" w:firstLineChars="1300"/>
        <w:rPr>
          <w:rFonts w:ascii="宋体" w:hAnsi="宋体" w:cs="宋体"/>
          <w:sz w:val="24"/>
          <w:szCs w:val="28"/>
          <w:highlight w:val="none"/>
        </w:rPr>
      </w:pPr>
    </w:p>
    <w:p w14:paraId="6DB400B4">
      <w:pPr>
        <w:rPr>
          <w:rFonts w:ascii="宋体" w:hAnsi="宋体" w:cs="宋体"/>
          <w:color w:val="000000"/>
          <w:spacing w:val="14"/>
          <w:szCs w:val="21"/>
          <w:highlight w:val="none"/>
        </w:rPr>
      </w:pPr>
    </w:p>
    <w:p w14:paraId="7A3CD520">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8"/>
          <w:highlight w:val="none"/>
        </w:rPr>
        <w:t>：                （公章）</w:t>
      </w:r>
    </w:p>
    <w:p w14:paraId="3DE40E5B">
      <w:pPr>
        <w:spacing w:line="360" w:lineRule="auto"/>
        <w:ind w:firstLine="480" w:firstLineChars="200"/>
        <w:rPr>
          <w:rFonts w:ascii="宋体" w:hAnsi="宋体" w:cs="宋体"/>
          <w:color w:val="000000"/>
          <w:sz w:val="24"/>
          <w:szCs w:val="28"/>
          <w:highlight w:val="none"/>
        </w:rPr>
      </w:pPr>
    </w:p>
    <w:p w14:paraId="1F36A369">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8"/>
          <w:highlight w:val="none"/>
        </w:rPr>
        <w:t>法定代表人：                （盖章）</w:t>
      </w:r>
    </w:p>
    <w:p w14:paraId="0D6D7D44">
      <w:pPr>
        <w:spacing w:line="360" w:lineRule="auto"/>
        <w:ind w:firstLine="480" w:firstLineChars="200"/>
        <w:rPr>
          <w:rFonts w:ascii="宋体" w:hAnsi="宋体" w:cs="宋体"/>
          <w:color w:val="000000"/>
          <w:sz w:val="24"/>
          <w:szCs w:val="28"/>
          <w:highlight w:val="none"/>
        </w:rPr>
      </w:pPr>
    </w:p>
    <w:p w14:paraId="1BD5F6A7">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8"/>
          <w:highlight w:val="none"/>
        </w:rPr>
        <w:t>委托代理人：                （签字）</w:t>
      </w:r>
    </w:p>
    <w:p w14:paraId="5635DD6F">
      <w:pPr>
        <w:spacing w:line="360" w:lineRule="auto"/>
        <w:ind w:firstLine="480" w:firstLineChars="200"/>
        <w:rPr>
          <w:rFonts w:ascii="宋体" w:hAnsi="宋体" w:cs="宋体"/>
          <w:color w:val="000000"/>
          <w:sz w:val="24"/>
          <w:szCs w:val="28"/>
          <w:highlight w:val="none"/>
        </w:rPr>
      </w:pPr>
    </w:p>
    <w:p w14:paraId="1A1DAEE7">
      <w:pPr>
        <w:ind w:firstLine="480" w:firstLineChars="200"/>
        <w:rPr>
          <w:rFonts w:ascii="宋体" w:hAnsi="宋体" w:cs="宋体"/>
          <w:color w:val="000000"/>
          <w:spacing w:val="14"/>
          <w:szCs w:val="21"/>
          <w:highlight w:val="none"/>
        </w:rPr>
      </w:pPr>
      <w:r>
        <w:rPr>
          <w:rFonts w:hint="eastAsia" w:ascii="宋体" w:hAnsi="宋体" w:cs="宋体"/>
          <w:color w:val="000000"/>
          <w:sz w:val="24"/>
          <w:szCs w:val="28"/>
          <w:highlight w:val="none"/>
        </w:rPr>
        <w:t>日      期：      年      月      日</w:t>
      </w:r>
    </w:p>
    <w:p w14:paraId="09A8841D">
      <w:pPr>
        <w:spacing w:line="360" w:lineRule="auto"/>
        <w:ind w:right="480"/>
        <w:jc w:val="right"/>
        <w:rPr>
          <w:rFonts w:ascii="宋体" w:hAnsi="宋体" w:cs="宋体"/>
          <w:sz w:val="24"/>
          <w:szCs w:val="28"/>
          <w:highlight w:val="none"/>
        </w:rPr>
      </w:pPr>
    </w:p>
    <w:p w14:paraId="4204C795">
      <w:pPr>
        <w:rPr>
          <w:rFonts w:ascii="宋体" w:hAnsi="宋体" w:cs="宋体"/>
          <w:b/>
          <w:color w:val="000000"/>
          <w:sz w:val="32"/>
          <w:szCs w:val="32"/>
          <w:highlight w:val="none"/>
        </w:rPr>
      </w:pPr>
    </w:p>
    <w:p w14:paraId="5B8BE45A">
      <w:pPr>
        <w:rPr>
          <w:rFonts w:ascii="宋体" w:hAnsi="宋体" w:cs="宋体"/>
          <w:highlight w:val="none"/>
        </w:rPr>
      </w:pPr>
      <w:r>
        <w:rPr>
          <w:rFonts w:hint="eastAsia" w:ascii="宋体" w:hAnsi="宋体" w:cs="宋体"/>
          <w:highlight w:val="none"/>
        </w:rPr>
        <w:br w:type="page"/>
      </w:r>
    </w:p>
    <w:p w14:paraId="4CD4D032">
      <w:pPr>
        <w:pStyle w:val="40"/>
        <w:rPr>
          <w:rFonts w:ascii="宋体" w:hAnsi="宋体" w:cs="宋体"/>
          <w:highlight w:val="none"/>
        </w:rPr>
      </w:pPr>
      <w:r>
        <w:rPr>
          <w:rFonts w:hint="eastAsia" w:ascii="宋体" w:hAnsi="宋体" w:cs="宋体"/>
          <w:highlight w:val="none"/>
        </w:rPr>
        <w:t>单项业绩表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68"/>
        <w:gridCol w:w="6254"/>
      </w:tblGrid>
      <w:tr w14:paraId="04688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8" w:type="dxa"/>
            <w:vAlign w:val="center"/>
          </w:tcPr>
          <w:p w14:paraId="6C8CDEF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采购单位</w:t>
            </w:r>
          </w:p>
        </w:tc>
        <w:tc>
          <w:tcPr>
            <w:tcW w:w="6254" w:type="dxa"/>
            <w:vAlign w:val="center"/>
          </w:tcPr>
          <w:p w14:paraId="68E0E24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010D9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8" w:type="dxa"/>
            <w:vAlign w:val="center"/>
          </w:tcPr>
          <w:p w14:paraId="4393156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项目名称</w:t>
            </w:r>
          </w:p>
        </w:tc>
        <w:tc>
          <w:tcPr>
            <w:tcW w:w="6254" w:type="dxa"/>
            <w:vAlign w:val="center"/>
          </w:tcPr>
          <w:p w14:paraId="41A97E2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59497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8" w:type="dxa"/>
            <w:vAlign w:val="center"/>
          </w:tcPr>
          <w:p w14:paraId="250BE9B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供应规模</w:t>
            </w:r>
          </w:p>
        </w:tc>
        <w:tc>
          <w:tcPr>
            <w:tcW w:w="6254" w:type="dxa"/>
            <w:vAlign w:val="center"/>
          </w:tcPr>
          <w:p w14:paraId="6B7CE6C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5E36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8" w:type="dxa"/>
            <w:vAlign w:val="center"/>
          </w:tcPr>
          <w:p w14:paraId="7B24E97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完 成 日 期</w:t>
            </w:r>
          </w:p>
          <w:p w14:paraId="5451C5D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（年/月/日）</w:t>
            </w:r>
          </w:p>
        </w:tc>
        <w:tc>
          <w:tcPr>
            <w:tcW w:w="6254" w:type="dxa"/>
            <w:vAlign w:val="center"/>
          </w:tcPr>
          <w:p w14:paraId="5980D07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6163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2268" w:type="dxa"/>
            <w:vAlign w:val="center"/>
          </w:tcPr>
          <w:p w14:paraId="78236D9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w:t>
            </w:r>
          </w:p>
        </w:tc>
        <w:tc>
          <w:tcPr>
            <w:tcW w:w="6254" w:type="dxa"/>
            <w:vAlign w:val="center"/>
          </w:tcPr>
          <w:p w14:paraId="2AAB708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bl>
    <w:p w14:paraId="2FA58286">
      <w:pPr>
        <w:ind w:left="944" w:hanging="944" w:hangingChars="392"/>
        <w:rPr>
          <w:rFonts w:ascii="宋体" w:hAnsi="宋体" w:cs="宋体"/>
          <w:b/>
          <w:color w:val="000000"/>
          <w:sz w:val="24"/>
          <w:szCs w:val="28"/>
          <w:highlight w:val="none"/>
        </w:rPr>
      </w:pPr>
      <w:r>
        <w:rPr>
          <w:rFonts w:hint="eastAsia" w:ascii="宋体" w:hAnsi="宋体" w:cs="宋体"/>
          <w:b/>
          <w:color w:val="000000"/>
          <w:sz w:val="24"/>
          <w:szCs w:val="28"/>
          <w:highlight w:val="none"/>
        </w:rPr>
        <w:t>注：1、</w:t>
      </w:r>
      <w:r>
        <w:rPr>
          <w:rFonts w:hint="eastAsia" w:ascii="宋体" w:hAnsi="宋体" w:cs="宋体"/>
          <w:b/>
          <w:color w:val="000000"/>
          <w:sz w:val="24"/>
          <w:szCs w:val="28"/>
          <w:highlight w:val="none"/>
          <w:lang w:eastAsia="zh-CN"/>
        </w:rPr>
        <w:t>投标人</w:t>
      </w:r>
      <w:r>
        <w:rPr>
          <w:rFonts w:hint="eastAsia" w:ascii="宋体" w:hAnsi="宋体" w:cs="宋体"/>
          <w:b/>
          <w:color w:val="000000"/>
          <w:sz w:val="24"/>
          <w:szCs w:val="28"/>
          <w:highlight w:val="none"/>
        </w:rPr>
        <w:t>应随此表附上相关的业绩合同</w:t>
      </w:r>
      <w:r>
        <w:rPr>
          <w:rFonts w:hint="eastAsia" w:ascii="宋体" w:hAnsi="宋体" w:cs="宋体"/>
          <w:b/>
          <w:color w:val="000000"/>
          <w:sz w:val="24"/>
          <w:szCs w:val="28"/>
          <w:highlight w:val="none"/>
          <w:lang w:eastAsia="zh-CN"/>
        </w:rPr>
        <w:t>协议</w:t>
      </w:r>
      <w:r>
        <w:rPr>
          <w:rFonts w:hint="eastAsia" w:ascii="宋体" w:hAnsi="宋体" w:cs="宋体"/>
          <w:b/>
          <w:color w:val="000000"/>
          <w:sz w:val="24"/>
          <w:szCs w:val="28"/>
          <w:highlight w:val="none"/>
        </w:rPr>
        <w:t>的复印件。</w:t>
      </w:r>
    </w:p>
    <w:p w14:paraId="7EC6A902">
      <w:pPr>
        <w:rPr>
          <w:rFonts w:ascii="宋体" w:hAnsi="宋体" w:cs="宋体"/>
          <w:b/>
          <w:color w:val="000000"/>
          <w:sz w:val="24"/>
          <w:szCs w:val="28"/>
          <w:highlight w:val="none"/>
        </w:rPr>
      </w:pPr>
      <w:r>
        <w:rPr>
          <w:rFonts w:hint="eastAsia" w:ascii="宋体" w:hAnsi="宋体" w:cs="宋体"/>
          <w:b/>
          <w:color w:val="000000"/>
          <w:sz w:val="24"/>
          <w:szCs w:val="28"/>
          <w:highlight w:val="none"/>
        </w:rPr>
        <w:t xml:space="preserve">    2、如有多个已完成项目，每个项目填一张此表，附后。</w:t>
      </w:r>
    </w:p>
    <w:p w14:paraId="368B6865">
      <w:pPr>
        <w:rPr>
          <w:rFonts w:ascii="宋体" w:hAnsi="宋体" w:cs="宋体"/>
          <w:b/>
          <w:color w:val="000000"/>
          <w:sz w:val="24"/>
          <w:szCs w:val="28"/>
          <w:highlight w:val="none"/>
        </w:rPr>
      </w:pPr>
      <w:r>
        <w:rPr>
          <w:rFonts w:hint="eastAsia" w:ascii="宋体" w:hAnsi="宋体" w:cs="宋体"/>
          <w:b/>
          <w:color w:val="000000"/>
          <w:sz w:val="24"/>
          <w:szCs w:val="28"/>
          <w:highlight w:val="none"/>
        </w:rPr>
        <w:t xml:space="preserve">   </w:t>
      </w:r>
    </w:p>
    <w:p w14:paraId="395E3B39">
      <w:pPr>
        <w:ind w:left="824" w:hanging="824" w:hangingChars="342"/>
        <w:rPr>
          <w:rFonts w:ascii="宋体" w:hAnsi="宋体" w:cs="宋体"/>
          <w:b/>
          <w:color w:val="000000"/>
          <w:sz w:val="24"/>
          <w:szCs w:val="28"/>
          <w:highlight w:val="none"/>
        </w:rPr>
      </w:pPr>
      <w:r>
        <w:rPr>
          <w:rFonts w:hint="eastAsia" w:ascii="宋体" w:hAnsi="宋体" w:cs="宋体"/>
          <w:b/>
          <w:color w:val="000000"/>
          <w:sz w:val="24"/>
          <w:szCs w:val="28"/>
          <w:highlight w:val="none"/>
        </w:rPr>
        <w:t xml:space="preserve">    </w:t>
      </w:r>
    </w:p>
    <w:p w14:paraId="14927A91">
      <w:pPr>
        <w:ind w:left="824" w:hanging="824" w:hangingChars="342"/>
        <w:rPr>
          <w:rFonts w:ascii="宋体" w:hAnsi="宋体" w:cs="宋体"/>
          <w:b/>
          <w:color w:val="000000"/>
          <w:sz w:val="24"/>
          <w:szCs w:val="28"/>
          <w:highlight w:val="none"/>
        </w:rPr>
      </w:pPr>
    </w:p>
    <w:p w14:paraId="0393B65D">
      <w:pPr>
        <w:ind w:left="824" w:hanging="824" w:hangingChars="342"/>
        <w:rPr>
          <w:rFonts w:ascii="宋体" w:hAnsi="宋体" w:cs="宋体"/>
          <w:b/>
          <w:color w:val="000000"/>
          <w:sz w:val="24"/>
          <w:szCs w:val="28"/>
          <w:highlight w:val="none"/>
        </w:rPr>
      </w:pPr>
    </w:p>
    <w:p w14:paraId="33600729">
      <w:pPr>
        <w:rPr>
          <w:rFonts w:ascii="宋体" w:hAnsi="宋体" w:cs="宋体"/>
          <w:color w:val="000000"/>
          <w:spacing w:val="14"/>
          <w:sz w:val="24"/>
          <w:szCs w:val="28"/>
          <w:highlight w:val="none"/>
        </w:rPr>
      </w:pPr>
    </w:p>
    <w:p w14:paraId="37248B52">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4"/>
          <w:highlight w:val="none"/>
        </w:rPr>
        <w:t>供  应  商</w:t>
      </w:r>
      <w:r>
        <w:rPr>
          <w:rFonts w:hint="eastAsia" w:ascii="宋体" w:hAnsi="宋体" w:cs="宋体"/>
          <w:color w:val="000000"/>
          <w:sz w:val="24"/>
          <w:szCs w:val="28"/>
          <w:highlight w:val="none"/>
        </w:rPr>
        <w:t>：                （公章）</w:t>
      </w:r>
    </w:p>
    <w:p w14:paraId="3075D048">
      <w:pPr>
        <w:spacing w:line="360" w:lineRule="auto"/>
        <w:ind w:firstLine="480" w:firstLineChars="200"/>
        <w:rPr>
          <w:rFonts w:ascii="宋体" w:hAnsi="宋体" w:cs="宋体"/>
          <w:color w:val="000000"/>
          <w:sz w:val="24"/>
          <w:szCs w:val="28"/>
          <w:highlight w:val="none"/>
        </w:rPr>
      </w:pPr>
    </w:p>
    <w:p w14:paraId="1E52FCB4">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8"/>
          <w:highlight w:val="none"/>
        </w:rPr>
        <w:t>法定代表人：                （盖章）</w:t>
      </w:r>
    </w:p>
    <w:p w14:paraId="3188CFC8">
      <w:pPr>
        <w:spacing w:line="360" w:lineRule="auto"/>
        <w:ind w:firstLine="480" w:firstLineChars="200"/>
        <w:rPr>
          <w:rFonts w:ascii="宋体" w:hAnsi="宋体" w:cs="宋体"/>
          <w:color w:val="000000"/>
          <w:sz w:val="24"/>
          <w:szCs w:val="28"/>
          <w:highlight w:val="none"/>
        </w:rPr>
      </w:pPr>
    </w:p>
    <w:p w14:paraId="1FA8A3B1">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8"/>
          <w:highlight w:val="none"/>
        </w:rPr>
        <w:t>委托代理人：                （签字）</w:t>
      </w:r>
    </w:p>
    <w:p w14:paraId="205F9F18">
      <w:pPr>
        <w:spacing w:line="360" w:lineRule="auto"/>
        <w:ind w:firstLine="480" w:firstLineChars="200"/>
        <w:rPr>
          <w:rFonts w:ascii="宋体" w:hAnsi="宋体" w:cs="宋体"/>
          <w:color w:val="000000"/>
          <w:sz w:val="24"/>
          <w:szCs w:val="28"/>
          <w:highlight w:val="none"/>
        </w:rPr>
      </w:pPr>
      <w:r>
        <w:rPr>
          <w:rFonts w:hint="eastAsia" w:ascii="宋体" w:hAnsi="宋体" w:cs="宋体"/>
          <w:color w:val="000000"/>
          <w:sz w:val="24"/>
          <w:szCs w:val="28"/>
          <w:highlight w:val="none"/>
        </w:rPr>
        <w:t xml:space="preserve">  </w:t>
      </w:r>
    </w:p>
    <w:p w14:paraId="35ED69F8">
      <w:pPr>
        <w:ind w:firstLine="480" w:firstLineChars="200"/>
        <w:rPr>
          <w:rFonts w:ascii="宋体" w:hAnsi="宋体" w:cs="宋体"/>
          <w:color w:val="000000"/>
          <w:spacing w:val="14"/>
          <w:szCs w:val="21"/>
          <w:highlight w:val="none"/>
        </w:rPr>
      </w:pPr>
      <w:r>
        <w:rPr>
          <w:rFonts w:hint="eastAsia" w:ascii="宋体" w:hAnsi="宋体" w:cs="宋体"/>
          <w:color w:val="000000"/>
          <w:sz w:val="24"/>
          <w:szCs w:val="28"/>
          <w:highlight w:val="none"/>
        </w:rPr>
        <w:t>日      期：      年      月      日</w:t>
      </w:r>
    </w:p>
    <w:p w14:paraId="2C3D56CF">
      <w:pPr>
        <w:rPr>
          <w:rFonts w:ascii="宋体" w:hAnsi="宋体" w:cs="宋体"/>
          <w:color w:val="000000"/>
          <w:spacing w:val="14"/>
          <w:sz w:val="32"/>
          <w:szCs w:val="32"/>
          <w:highlight w:val="none"/>
        </w:rPr>
      </w:pPr>
    </w:p>
    <w:p w14:paraId="365A7937">
      <w:pPr>
        <w:rPr>
          <w:rFonts w:ascii="宋体" w:hAnsi="宋体" w:cs="宋体"/>
          <w:b/>
          <w:color w:val="000000"/>
          <w:sz w:val="32"/>
          <w:szCs w:val="32"/>
          <w:highlight w:val="none"/>
        </w:rPr>
      </w:pPr>
      <w:r>
        <w:rPr>
          <w:rFonts w:hint="eastAsia" w:ascii="宋体" w:hAnsi="宋体" w:cs="宋体"/>
          <w:b/>
          <w:color w:val="000000"/>
          <w:sz w:val="32"/>
          <w:szCs w:val="32"/>
          <w:highlight w:val="none"/>
        </w:rPr>
        <w:br w:type="page"/>
      </w:r>
    </w:p>
    <w:p w14:paraId="0379E32B">
      <w:pPr>
        <w:rPr>
          <w:rFonts w:ascii="宋体" w:hAnsi="宋体" w:cs="宋体"/>
          <w:highlight w:val="none"/>
        </w:rPr>
      </w:pPr>
    </w:p>
    <w:p w14:paraId="1C83265B">
      <w:pPr>
        <w:rPr>
          <w:rFonts w:ascii="宋体" w:hAnsi="宋体" w:cs="宋体"/>
          <w:highlight w:val="none"/>
        </w:rPr>
      </w:pPr>
    </w:p>
    <w:p w14:paraId="489F849E">
      <w:pPr>
        <w:spacing w:after="100" w:afterAutospacing="1" w:line="48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lang w:val="en-US" w:eastAsia="zh-CN"/>
        </w:rPr>
        <w:t>九</w:t>
      </w:r>
      <w:r>
        <w:rPr>
          <w:rFonts w:hint="eastAsia" w:ascii="宋体" w:hAnsi="宋体" w:cs="宋体"/>
          <w:b/>
          <w:color w:val="000000"/>
          <w:sz w:val="32"/>
          <w:szCs w:val="32"/>
          <w:highlight w:val="none"/>
        </w:rPr>
        <w:t>、拟投入项目管理团队配置表</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68"/>
        <w:gridCol w:w="900"/>
        <w:gridCol w:w="720"/>
        <w:gridCol w:w="1260"/>
        <w:gridCol w:w="720"/>
        <w:gridCol w:w="4454"/>
      </w:tblGrid>
      <w:tr w14:paraId="0CBF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79C5D93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序号</w:t>
            </w:r>
          </w:p>
        </w:tc>
        <w:tc>
          <w:tcPr>
            <w:tcW w:w="900" w:type="dxa"/>
            <w:vAlign w:val="center"/>
          </w:tcPr>
          <w:p w14:paraId="0B190E8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姓名</w:t>
            </w:r>
          </w:p>
        </w:tc>
        <w:tc>
          <w:tcPr>
            <w:tcW w:w="720" w:type="dxa"/>
            <w:vAlign w:val="center"/>
          </w:tcPr>
          <w:p w14:paraId="67FAE1A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性别</w:t>
            </w:r>
          </w:p>
        </w:tc>
        <w:tc>
          <w:tcPr>
            <w:tcW w:w="1260" w:type="dxa"/>
            <w:vAlign w:val="center"/>
          </w:tcPr>
          <w:p w14:paraId="50E1B6E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出生日期</w:t>
            </w:r>
          </w:p>
        </w:tc>
        <w:tc>
          <w:tcPr>
            <w:tcW w:w="720" w:type="dxa"/>
            <w:vAlign w:val="center"/>
          </w:tcPr>
          <w:p w14:paraId="3526492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岗位</w:t>
            </w:r>
          </w:p>
        </w:tc>
        <w:tc>
          <w:tcPr>
            <w:tcW w:w="4454" w:type="dxa"/>
            <w:vAlign w:val="center"/>
          </w:tcPr>
          <w:p w14:paraId="0FAE0CD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简介</w:t>
            </w:r>
          </w:p>
        </w:tc>
      </w:tr>
      <w:tr w14:paraId="72DFD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2373E8C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5822711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46EA0C2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38483D5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0EB7597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3F5F930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63800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64D1441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794399D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1E830CA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1C6F33A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036E4BF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483A7AD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67A9F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4A044FB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2B9030F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5242C1A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370A8A2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6CB19F6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39E7793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5056C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274EDCD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35B21AA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3F06F02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552FEB8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0ECC2F6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4EDDF9F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430E5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516F1EC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3450736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2B741F3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0F527AF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5E129B8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193C353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00999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1F8CA51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4163226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4385C1C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0F464B1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779F0F0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0F635B7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3E386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0C8F483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7E9EBE9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02C3C11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2B3CFE1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28FCC1F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0B4B793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6785A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2154D18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549AE7F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73C0476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3A55024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4C8ABF7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3493EB8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1D68D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468" w:type="dxa"/>
            <w:vAlign w:val="center"/>
          </w:tcPr>
          <w:p w14:paraId="0870ADB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900" w:type="dxa"/>
            <w:vAlign w:val="center"/>
          </w:tcPr>
          <w:p w14:paraId="2E18F2F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366E2E0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260" w:type="dxa"/>
            <w:vAlign w:val="center"/>
          </w:tcPr>
          <w:p w14:paraId="72A76C6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0" w:type="dxa"/>
            <w:vAlign w:val="center"/>
          </w:tcPr>
          <w:p w14:paraId="30A1861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4454" w:type="dxa"/>
            <w:vAlign w:val="center"/>
          </w:tcPr>
          <w:p w14:paraId="22D1677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bl>
    <w:p w14:paraId="495193DE">
      <w:pPr>
        <w:rPr>
          <w:rFonts w:ascii="宋体" w:hAnsi="宋体" w:cs="宋体"/>
          <w:b/>
          <w:color w:val="000000"/>
          <w:szCs w:val="21"/>
          <w:highlight w:val="none"/>
        </w:rPr>
      </w:pPr>
    </w:p>
    <w:p w14:paraId="420CDEB7">
      <w:pPr>
        <w:rPr>
          <w:rFonts w:ascii="宋体" w:hAnsi="宋体" w:cs="宋体"/>
          <w:b/>
          <w:color w:val="000000"/>
          <w:highlight w:val="none"/>
        </w:rPr>
      </w:pPr>
      <w:r>
        <w:rPr>
          <w:rFonts w:hint="eastAsia" w:ascii="宋体" w:hAnsi="宋体" w:cs="宋体"/>
          <w:b/>
          <w:color w:val="000000"/>
          <w:szCs w:val="21"/>
          <w:highlight w:val="none"/>
        </w:rPr>
        <w:br w:type="page"/>
      </w:r>
    </w:p>
    <w:p w14:paraId="60D23120">
      <w:pPr>
        <w:rPr>
          <w:rFonts w:ascii="宋体" w:hAnsi="宋体" w:cs="宋体"/>
          <w:highlight w:val="none"/>
        </w:rPr>
      </w:pPr>
    </w:p>
    <w:p w14:paraId="6A3956C2">
      <w:pPr>
        <w:spacing w:after="100" w:afterAutospacing="1" w:line="480" w:lineRule="auto"/>
        <w:jc w:val="center"/>
        <w:rPr>
          <w:rFonts w:ascii="宋体" w:hAnsi="宋体" w:cs="宋体"/>
          <w:b/>
          <w:color w:val="000000"/>
          <w:sz w:val="32"/>
          <w:szCs w:val="32"/>
          <w:highlight w:val="none"/>
        </w:rPr>
      </w:pPr>
      <w:r>
        <w:rPr>
          <w:rFonts w:hint="eastAsia" w:ascii="宋体" w:hAnsi="宋体" w:cs="宋体"/>
          <w:b/>
          <w:color w:val="000000"/>
          <w:sz w:val="32"/>
          <w:szCs w:val="32"/>
          <w:highlight w:val="none"/>
        </w:rPr>
        <w:t>十、拟投入项目团队人员简历表</w:t>
      </w:r>
    </w:p>
    <w:tbl>
      <w:tblPr>
        <w:tblStyle w:val="44"/>
        <w:tblW w:w="8990" w:type="dxa"/>
        <w:jc w:val="center"/>
        <w:tblLayout w:type="fixed"/>
        <w:tblCellMar>
          <w:top w:w="0" w:type="dxa"/>
          <w:left w:w="0" w:type="dxa"/>
          <w:bottom w:w="0" w:type="dxa"/>
          <w:right w:w="0" w:type="dxa"/>
        </w:tblCellMar>
      </w:tblPr>
      <w:tblGrid>
        <w:gridCol w:w="1454"/>
        <w:gridCol w:w="643"/>
        <w:gridCol w:w="1047"/>
        <w:gridCol w:w="729"/>
        <w:gridCol w:w="941"/>
        <w:gridCol w:w="1469"/>
        <w:gridCol w:w="211"/>
        <w:gridCol w:w="2496"/>
      </w:tblGrid>
      <w:tr w14:paraId="2E771B56">
        <w:tblPrEx>
          <w:tblCellMar>
            <w:top w:w="0" w:type="dxa"/>
            <w:left w:w="0" w:type="dxa"/>
            <w:bottom w:w="0" w:type="dxa"/>
            <w:right w:w="0" w:type="dxa"/>
          </w:tblCellMar>
        </w:tblPrEx>
        <w:trPr>
          <w:trHeight w:val="600" w:hRule="exact"/>
          <w:jc w:val="center"/>
        </w:trPr>
        <w:tc>
          <w:tcPr>
            <w:tcW w:w="1454" w:type="dxa"/>
            <w:tcBorders>
              <w:top w:val="single" w:color="auto" w:sz="8" w:space="0"/>
              <w:left w:val="single" w:color="auto" w:sz="8" w:space="0"/>
              <w:bottom w:val="single" w:color="auto" w:sz="8" w:space="0"/>
              <w:right w:val="single" w:color="auto" w:sz="8" w:space="0"/>
            </w:tcBorders>
            <w:vAlign w:val="center"/>
          </w:tcPr>
          <w:p w14:paraId="012DD48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姓  名</w:t>
            </w:r>
          </w:p>
        </w:tc>
        <w:tc>
          <w:tcPr>
            <w:tcW w:w="1690" w:type="dxa"/>
            <w:gridSpan w:val="2"/>
            <w:tcBorders>
              <w:top w:val="single" w:color="auto" w:sz="8" w:space="0"/>
              <w:left w:val="single" w:color="auto" w:sz="8" w:space="0"/>
              <w:bottom w:val="single" w:color="auto" w:sz="8" w:space="0"/>
              <w:right w:val="single" w:color="auto" w:sz="8" w:space="0"/>
            </w:tcBorders>
            <w:vAlign w:val="center"/>
          </w:tcPr>
          <w:p w14:paraId="255C953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29" w:type="dxa"/>
            <w:tcBorders>
              <w:top w:val="single" w:color="auto" w:sz="8" w:space="0"/>
              <w:left w:val="single" w:color="auto" w:sz="8" w:space="0"/>
              <w:bottom w:val="single" w:color="auto" w:sz="8" w:space="0"/>
              <w:right w:val="single" w:color="auto" w:sz="8" w:space="0"/>
            </w:tcBorders>
            <w:vAlign w:val="center"/>
          </w:tcPr>
          <w:p w14:paraId="7F7884D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性别</w:t>
            </w:r>
          </w:p>
        </w:tc>
        <w:tc>
          <w:tcPr>
            <w:tcW w:w="941" w:type="dxa"/>
            <w:tcBorders>
              <w:top w:val="single" w:color="auto" w:sz="8" w:space="0"/>
              <w:left w:val="single" w:color="auto" w:sz="8" w:space="0"/>
              <w:bottom w:val="single" w:color="auto" w:sz="8" w:space="0"/>
              <w:right w:val="single" w:color="auto" w:sz="8" w:space="0"/>
            </w:tcBorders>
            <w:vAlign w:val="center"/>
          </w:tcPr>
          <w:p w14:paraId="4698759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680" w:type="dxa"/>
            <w:gridSpan w:val="2"/>
            <w:tcBorders>
              <w:top w:val="single" w:color="auto" w:sz="8" w:space="0"/>
              <w:left w:val="single" w:color="auto" w:sz="8" w:space="0"/>
              <w:bottom w:val="single" w:color="auto" w:sz="8" w:space="0"/>
              <w:right w:val="single" w:color="auto" w:sz="8" w:space="0"/>
            </w:tcBorders>
            <w:vAlign w:val="center"/>
          </w:tcPr>
          <w:p w14:paraId="72186EC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出生</w:t>
            </w:r>
          </w:p>
          <w:p w14:paraId="641B826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日期</w:t>
            </w:r>
          </w:p>
        </w:tc>
        <w:tc>
          <w:tcPr>
            <w:tcW w:w="2496" w:type="dxa"/>
            <w:tcBorders>
              <w:top w:val="single" w:color="auto" w:sz="8" w:space="0"/>
              <w:left w:val="single" w:color="auto" w:sz="8" w:space="0"/>
              <w:bottom w:val="single" w:color="auto" w:sz="8" w:space="0"/>
              <w:right w:val="single" w:color="auto" w:sz="8" w:space="0"/>
            </w:tcBorders>
            <w:vAlign w:val="center"/>
          </w:tcPr>
          <w:p w14:paraId="6CC2F0A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年  月  日</w:t>
            </w:r>
          </w:p>
        </w:tc>
      </w:tr>
      <w:tr w14:paraId="3E328F08">
        <w:tblPrEx>
          <w:tblCellMar>
            <w:top w:w="0" w:type="dxa"/>
            <w:left w:w="0" w:type="dxa"/>
            <w:bottom w:w="0" w:type="dxa"/>
            <w:right w:w="0" w:type="dxa"/>
          </w:tblCellMar>
        </w:tblPrEx>
        <w:trPr>
          <w:trHeight w:val="640" w:hRule="exact"/>
          <w:jc w:val="center"/>
        </w:trPr>
        <w:tc>
          <w:tcPr>
            <w:tcW w:w="1454" w:type="dxa"/>
            <w:tcBorders>
              <w:top w:val="single" w:color="auto" w:sz="8" w:space="0"/>
              <w:left w:val="single" w:color="auto" w:sz="8" w:space="0"/>
              <w:bottom w:val="single" w:color="auto" w:sz="8" w:space="0"/>
              <w:right w:val="single" w:color="auto" w:sz="8" w:space="0"/>
            </w:tcBorders>
            <w:vAlign w:val="center"/>
          </w:tcPr>
          <w:p w14:paraId="6815D37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毕业院校及    专业</w:t>
            </w:r>
          </w:p>
          <w:p w14:paraId="707DEDD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3360" w:type="dxa"/>
            <w:gridSpan w:val="4"/>
            <w:tcBorders>
              <w:top w:val="single" w:color="auto" w:sz="8" w:space="0"/>
              <w:left w:val="single" w:color="auto" w:sz="8" w:space="0"/>
              <w:bottom w:val="single" w:color="auto" w:sz="8" w:space="0"/>
              <w:right w:val="single" w:color="auto" w:sz="8" w:space="0"/>
            </w:tcBorders>
            <w:vAlign w:val="center"/>
          </w:tcPr>
          <w:p w14:paraId="2F3CDA3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680" w:type="dxa"/>
            <w:gridSpan w:val="2"/>
            <w:tcBorders>
              <w:top w:val="single" w:color="auto" w:sz="8" w:space="0"/>
              <w:left w:val="single" w:color="auto" w:sz="8" w:space="0"/>
              <w:bottom w:val="single" w:color="auto" w:sz="8" w:space="0"/>
              <w:right w:val="single" w:color="auto" w:sz="8" w:space="0"/>
            </w:tcBorders>
            <w:vAlign w:val="center"/>
          </w:tcPr>
          <w:p w14:paraId="5E79AA9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毕业</w:t>
            </w:r>
          </w:p>
          <w:p w14:paraId="1D3DA0D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时间</w:t>
            </w:r>
          </w:p>
        </w:tc>
        <w:tc>
          <w:tcPr>
            <w:tcW w:w="2496" w:type="dxa"/>
            <w:tcBorders>
              <w:top w:val="single" w:color="auto" w:sz="8" w:space="0"/>
              <w:left w:val="single" w:color="auto" w:sz="8" w:space="0"/>
              <w:bottom w:val="single" w:color="auto" w:sz="8" w:space="0"/>
              <w:right w:val="single" w:color="auto" w:sz="8" w:space="0"/>
            </w:tcBorders>
            <w:vAlign w:val="center"/>
          </w:tcPr>
          <w:p w14:paraId="3BC2169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年  月  日</w:t>
            </w:r>
          </w:p>
        </w:tc>
      </w:tr>
      <w:tr w14:paraId="3CF829D3">
        <w:tblPrEx>
          <w:tblCellMar>
            <w:top w:w="0" w:type="dxa"/>
            <w:left w:w="0" w:type="dxa"/>
            <w:bottom w:w="0" w:type="dxa"/>
            <w:right w:w="0" w:type="dxa"/>
          </w:tblCellMar>
        </w:tblPrEx>
        <w:trPr>
          <w:trHeight w:val="640" w:hRule="exact"/>
          <w:jc w:val="center"/>
        </w:trPr>
        <w:tc>
          <w:tcPr>
            <w:tcW w:w="1454" w:type="dxa"/>
            <w:tcBorders>
              <w:top w:val="single" w:color="auto" w:sz="8" w:space="0"/>
              <w:left w:val="single" w:color="auto" w:sz="8" w:space="0"/>
              <w:bottom w:val="single" w:color="auto" w:sz="8" w:space="0"/>
              <w:right w:val="single" w:color="auto" w:sz="8" w:space="0"/>
            </w:tcBorders>
            <w:vAlign w:val="center"/>
          </w:tcPr>
          <w:p w14:paraId="15C2EEC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参加工作年限</w:t>
            </w:r>
          </w:p>
        </w:tc>
        <w:tc>
          <w:tcPr>
            <w:tcW w:w="3360" w:type="dxa"/>
            <w:gridSpan w:val="4"/>
            <w:tcBorders>
              <w:top w:val="single" w:color="auto" w:sz="8" w:space="0"/>
              <w:left w:val="single" w:color="auto" w:sz="8" w:space="0"/>
              <w:bottom w:val="single" w:color="auto" w:sz="8" w:space="0"/>
              <w:right w:val="single" w:color="auto" w:sz="8" w:space="0"/>
            </w:tcBorders>
            <w:vAlign w:val="center"/>
          </w:tcPr>
          <w:p w14:paraId="693338D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680" w:type="dxa"/>
            <w:gridSpan w:val="2"/>
            <w:tcBorders>
              <w:top w:val="single" w:color="auto" w:sz="8" w:space="0"/>
              <w:left w:val="single" w:color="auto" w:sz="8" w:space="0"/>
              <w:bottom w:val="single" w:color="auto" w:sz="8" w:space="0"/>
              <w:right w:val="single" w:color="auto" w:sz="8" w:space="0"/>
            </w:tcBorders>
            <w:vAlign w:val="center"/>
          </w:tcPr>
          <w:p w14:paraId="2514EC9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为本企业服务    时间</w:t>
            </w:r>
          </w:p>
          <w:p w14:paraId="6BBD1FE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496" w:type="dxa"/>
            <w:tcBorders>
              <w:top w:val="single" w:color="auto" w:sz="8" w:space="0"/>
              <w:left w:val="single" w:color="auto" w:sz="8" w:space="0"/>
              <w:bottom w:val="single" w:color="auto" w:sz="8" w:space="0"/>
              <w:right w:val="single" w:color="auto" w:sz="8" w:space="0"/>
            </w:tcBorders>
            <w:vAlign w:val="center"/>
          </w:tcPr>
          <w:p w14:paraId="329C691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78D1D00F">
        <w:tblPrEx>
          <w:tblCellMar>
            <w:top w:w="0" w:type="dxa"/>
            <w:left w:w="0" w:type="dxa"/>
            <w:bottom w:w="0" w:type="dxa"/>
            <w:right w:w="0" w:type="dxa"/>
          </w:tblCellMar>
        </w:tblPrEx>
        <w:trPr>
          <w:trHeight w:val="300" w:hRule="exact"/>
          <w:jc w:val="center"/>
        </w:trPr>
        <w:tc>
          <w:tcPr>
            <w:tcW w:w="1454" w:type="dxa"/>
            <w:vMerge w:val="restart"/>
            <w:tcBorders>
              <w:top w:val="single" w:color="auto" w:sz="8" w:space="0"/>
              <w:left w:val="single" w:color="auto" w:sz="8" w:space="0"/>
              <w:right w:val="single" w:color="auto" w:sz="8" w:space="0"/>
            </w:tcBorders>
            <w:vAlign w:val="center"/>
          </w:tcPr>
          <w:p w14:paraId="4763886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本</w:t>
            </w:r>
          </w:p>
          <w:p w14:paraId="786C15F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人</w:t>
            </w:r>
          </w:p>
          <w:p w14:paraId="24A5479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主</w:t>
            </w:r>
          </w:p>
          <w:p w14:paraId="48E23F9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要</w:t>
            </w:r>
          </w:p>
          <w:p w14:paraId="38E3618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工</w:t>
            </w:r>
          </w:p>
          <w:p w14:paraId="0C873BB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作</w:t>
            </w:r>
          </w:p>
          <w:p w14:paraId="03847D9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经</w:t>
            </w:r>
          </w:p>
          <w:p w14:paraId="012BB94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历</w:t>
            </w:r>
          </w:p>
          <w:p w14:paraId="2ED8D56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680F006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1</w:t>
            </w:r>
          </w:p>
          <w:p w14:paraId="56984E1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5B1036D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单位</w:t>
            </w:r>
          </w:p>
          <w:p w14:paraId="32E51FA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379F5BDD">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年月</w:t>
            </w:r>
          </w:p>
          <w:p w14:paraId="0956B2F3">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4EEE27F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任职</w:t>
            </w:r>
          </w:p>
          <w:p w14:paraId="4504F7E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328126A0">
        <w:tblPrEx>
          <w:tblCellMar>
            <w:top w:w="0" w:type="dxa"/>
            <w:left w:w="0" w:type="dxa"/>
            <w:bottom w:w="0" w:type="dxa"/>
            <w:right w:w="0" w:type="dxa"/>
          </w:tblCellMar>
        </w:tblPrEx>
        <w:trPr>
          <w:trHeight w:val="340" w:hRule="exact"/>
          <w:jc w:val="center"/>
        </w:trPr>
        <w:tc>
          <w:tcPr>
            <w:tcW w:w="1454" w:type="dxa"/>
            <w:vMerge w:val="continue"/>
            <w:tcBorders>
              <w:left w:val="single" w:color="auto" w:sz="8" w:space="0"/>
              <w:right w:val="single" w:color="auto" w:sz="8" w:space="0"/>
            </w:tcBorders>
            <w:vAlign w:val="center"/>
          </w:tcPr>
          <w:p w14:paraId="058678AC">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31002C7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2</w:t>
            </w:r>
          </w:p>
          <w:p w14:paraId="600A04C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31F8A36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317734C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0B23DC7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37BFF24C">
        <w:tblPrEx>
          <w:tblCellMar>
            <w:top w:w="0" w:type="dxa"/>
            <w:left w:w="0" w:type="dxa"/>
            <w:bottom w:w="0" w:type="dxa"/>
            <w:right w:w="0" w:type="dxa"/>
          </w:tblCellMar>
        </w:tblPrEx>
        <w:trPr>
          <w:trHeight w:val="320" w:hRule="exact"/>
          <w:jc w:val="center"/>
        </w:trPr>
        <w:tc>
          <w:tcPr>
            <w:tcW w:w="1454" w:type="dxa"/>
            <w:vMerge w:val="continue"/>
            <w:tcBorders>
              <w:left w:val="single" w:color="auto" w:sz="8" w:space="0"/>
              <w:right w:val="single" w:color="auto" w:sz="8" w:space="0"/>
            </w:tcBorders>
            <w:vAlign w:val="center"/>
          </w:tcPr>
          <w:p w14:paraId="7C68932A">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3FC8807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3</w:t>
            </w:r>
          </w:p>
          <w:p w14:paraId="60C6596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6843B84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7FDDD8C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77F71FC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51E58D4F">
        <w:tblPrEx>
          <w:tblCellMar>
            <w:top w:w="0" w:type="dxa"/>
            <w:left w:w="0" w:type="dxa"/>
            <w:bottom w:w="0" w:type="dxa"/>
            <w:right w:w="0" w:type="dxa"/>
          </w:tblCellMar>
        </w:tblPrEx>
        <w:trPr>
          <w:trHeight w:val="320" w:hRule="exact"/>
          <w:jc w:val="center"/>
        </w:trPr>
        <w:tc>
          <w:tcPr>
            <w:tcW w:w="1454" w:type="dxa"/>
            <w:vMerge w:val="continue"/>
            <w:tcBorders>
              <w:left w:val="single" w:color="auto" w:sz="8" w:space="0"/>
              <w:right w:val="single" w:color="auto" w:sz="8" w:space="0"/>
            </w:tcBorders>
            <w:vAlign w:val="center"/>
          </w:tcPr>
          <w:p w14:paraId="7A09DCD2">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1EB6309A">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4</w:t>
            </w:r>
          </w:p>
          <w:p w14:paraId="474301B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6C2F0FC8">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145E3DA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0828240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4439118E">
        <w:tblPrEx>
          <w:tblCellMar>
            <w:top w:w="0" w:type="dxa"/>
            <w:left w:w="0" w:type="dxa"/>
            <w:bottom w:w="0" w:type="dxa"/>
            <w:right w:w="0" w:type="dxa"/>
          </w:tblCellMar>
        </w:tblPrEx>
        <w:trPr>
          <w:trHeight w:val="340" w:hRule="exact"/>
          <w:jc w:val="center"/>
        </w:trPr>
        <w:tc>
          <w:tcPr>
            <w:tcW w:w="1454" w:type="dxa"/>
            <w:vMerge w:val="continue"/>
            <w:tcBorders>
              <w:left w:val="single" w:color="auto" w:sz="8" w:space="0"/>
              <w:right w:val="single" w:color="auto" w:sz="8" w:space="0"/>
            </w:tcBorders>
            <w:vAlign w:val="center"/>
          </w:tcPr>
          <w:p w14:paraId="45F1327F">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53253FF4">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5</w:t>
            </w:r>
          </w:p>
          <w:p w14:paraId="12248AA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72A94CD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0EA7B675">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0996CAF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492BAAA4">
        <w:tblPrEx>
          <w:tblCellMar>
            <w:top w:w="0" w:type="dxa"/>
            <w:left w:w="0" w:type="dxa"/>
            <w:bottom w:w="0" w:type="dxa"/>
            <w:right w:w="0" w:type="dxa"/>
          </w:tblCellMar>
        </w:tblPrEx>
        <w:trPr>
          <w:trHeight w:val="320" w:hRule="exact"/>
          <w:jc w:val="center"/>
        </w:trPr>
        <w:tc>
          <w:tcPr>
            <w:tcW w:w="1454" w:type="dxa"/>
            <w:vMerge w:val="continue"/>
            <w:tcBorders>
              <w:left w:val="single" w:color="auto" w:sz="8" w:space="0"/>
              <w:right w:val="single" w:color="auto" w:sz="8" w:space="0"/>
            </w:tcBorders>
            <w:vAlign w:val="center"/>
          </w:tcPr>
          <w:p w14:paraId="38F18AEB">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0266E0A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6</w:t>
            </w:r>
          </w:p>
          <w:p w14:paraId="0AC3C2EB">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27EE8E8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42B5B52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0F2E121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487160AC">
        <w:tblPrEx>
          <w:tblCellMar>
            <w:top w:w="0" w:type="dxa"/>
            <w:left w:w="0" w:type="dxa"/>
            <w:bottom w:w="0" w:type="dxa"/>
            <w:right w:w="0" w:type="dxa"/>
          </w:tblCellMar>
        </w:tblPrEx>
        <w:trPr>
          <w:cantSplit/>
          <w:trHeight w:val="320" w:hRule="exact"/>
          <w:jc w:val="center"/>
        </w:trPr>
        <w:tc>
          <w:tcPr>
            <w:tcW w:w="1454" w:type="dxa"/>
            <w:vMerge w:val="continue"/>
            <w:tcBorders>
              <w:left w:val="single" w:color="auto" w:sz="8" w:space="0"/>
              <w:right w:val="single" w:color="auto" w:sz="8" w:space="0"/>
            </w:tcBorders>
            <w:vAlign w:val="center"/>
          </w:tcPr>
          <w:p w14:paraId="57B5E2DE">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5DF8C78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7</w:t>
            </w:r>
          </w:p>
          <w:p w14:paraId="118E55D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75B7C09C">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1EBF95F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4644DBFE">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0DAC7417">
        <w:tblPrEx>
          <w:tblCellMar>
            <w:top w:w="0" w:type="dxa"/>
            <w:left w:w="0" w:type="dxa"/>
            <w:bottom w:w="0" w:type="dxa"/>
            <w:right w:w="0" w:type="dxa"/>
          </w:tblCellMar>
        </w:tblPrEx>
        <w:trPr>
          <w:cantSplit/>
          <w:trHeight w:val="320" w:hRule="exact"/>
          <w:jc w:val="center"/>
        </w:trPr>
        <w:tc>
          <w:tcPr>
            <w:tcW w:w="1454" w:type="dxa"/>
            <w:vMerge w:val="continue"/>
            <w:tcBorders>
              <w:left w:val="single" w:color="auto" w:sz="8" w:space="0"/>
              <w:bottom w:val="single" w:color="auto" w:sz="8" w:space="0"/>
              <w:right w:val="single" w:color="auto" w:sz="8" w:space="0"/>
            </w:tcBorders>
            <w:vAlign w:val="center"/>
          </w:tcPr>
          <w:p w14:paraId="0E1B25EC">
            <w:pPr>
              <w:keepNext w:val="0"/>
              <w:keepLines w:val="0"/>
              <w:widowControl/>
              <w:suppressLineNumbers w:val="0"/>
              <w:spacing w:before="0" w:beforeAutospacing="0" w:after="0" w:afterAutospacing="0"/>
              <w:ind w:left="0" w:right="0"/>
              <w:rPr>
                <w:rFonts w:hint="default" w:ascii="宋体" w:hAnsi="宋体" w:cs="宋体"/>
                <w:sz w:val="24"/>
                <w:szCs w:val="24"/>
                <w:highlight w:val="none"/>
              </w:rPr>
            </w:pPr>
          </w:p>
        </w:tc>
        <w:tc>
          <w:tcPr>
            <w:tcW w:w="643" w:type="dxa"/>
            <w:tcBorders>
              <w:top w:val="single" w:color="auto" w:sz="8" w:space="0"/>
              <w:left w:val="single" w:color="auto" w:sz="8" w:space="0"/>
              <w:bottom w:val="single" w:color="auto" w:sz="8" w:space="0"/>
              <w:right w:val="single" w:color="auto" w:sz="8" w:space="0"/>
            </w:tcBorders>
            <w:vAlign w:val="center"/>
          </w:tcPr>
          <w:p w14:paraId="58DB208F">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8</w:t>
            </w:r>
          </w:p>
          <w:p w14:paraId="4DE147B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17" w:type="dxa"/>
            <w:gridSpan w:val="3"/>
            <w:tcBorders>
              <w:top w:val="single" w:color="auto" w:sz="8" w:space="0"/>
              <w:left w:val="single" w:color="auto" w:sz="8" w:space="0"/>
              <w:bottom w:val="single" w:color="auto" w:sz="8" w:space="0"/>
              <w:right w:val="single" w:color="auto" w:sz="8" w:space="0"/>
            </w:tcBorders>
            <w:vAlign w:val="center"/>
          </w:tcPr>
          <w:p w14:paraId="2BB06D67">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1469" w:type="dxa"/>
            <w:tcBorders>
              <w:top w:val="single" w:color="auto" w:sz="8" w:space="0"/>
              <w:left w:val="single" w:color="auto" w:sz="8" w:space="0"/>
              <w:bottom w:val="single" w:color="auto" w:sz="8" w:space="0"/>
              <w:right w:val="single" w:color="auto" w:sz="8" w:space="0"/>
            </w:tcBorders>
            <w:vAlign w:val="center"/>
          </w:tcPr>
          <w:p w14:paraId="514F2769">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2707" w:type="dxa"/>
            <w:gridSpan w:val="2"/>
            <w:tcBorders>
              <w:top w:val="single" w:color="auto" w:sz="8" w:space="0"/>
              <w:left w:val="single" w:color="auto" w:sz="8" w:space="0"/>
              <w:bottom w:val="single" w:color="auto" w:sz="8" w:space="0"/>
              <w:right w:val="single" w:color="auto" w:sz="8" w:space="0"/>
            </w:tcBorders>
            <w:vAlign w:val="center"/>
          </w:tcPr>
          <w:p w14:paraId="7491B22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r w14:paraId="46AE1E7D">
        <w:tblPrEx>
          <w:tblCellMar>
            <w:top w:w="0" w:type="dxa"/>
            <w:left w:w="0" w:type="dxa"/>
            <w:bottom w:w="0" w:type="dxa"/>
            <w:right w:w="0" w:type="dxa"/>
          </w:tblCellMar>
        </w:tblPrEx>
        <w:trPr>
          <w:trHeight w:val="2206" w:hRule="exact"/>
          <w:jc w:val="center"/>
        </w:trPr>
        <w:tc>
          <w:tcPr>
            <w:tcW w:w="1454" w:type="dxa"/>
            <w:tcBorders>
              <w:top w:val="single" w:color="auto" w:sz="8" w:space="0"/>
              <w:left w:val="single" w:color="auto" w:sz="8" w:space="0"/>
              <w:bottom w:val="single" w:color="auto" w:sz="8" w:space="0"/>
              <w:right w:val="single" w:color="auto" w:sz="8" w:space="0"/>
            </w:tcBorders>
            <w:vAlign w:val="center"/>
          </w:tcPr>
          <w:p w14:paraId="26CA7511">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其它需</w:t>
            </w:r>
          </w:p>
          <w:p w14:paraId="2DA21A52">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r>
              <w:rPr>
                <w:rFonts w:hint="eastAsia" w:ascii="宋体" w:hAnsi="宋体" w:cs="宋体"/>
                <w:color w:val="000000"/>
                <w:sz w:val="24"/>
                <w:szCs w:val="28"/>
                <w:highlight w:val="none"/>
              </w:rPr>
              <w:t>补充的情况</w:t>
            </w:r>
          </w:p>
          <w:p w14:paraId="4071A956">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c>
          <w:tcPr>
            <w:tcW w:w="7536" w:type="dxa"/>
            <w:gridSpan w:val="7"/>
            <w:tcBorders>
              <w:top w:val="single" w:color="auto" w:sz="8" w:space="0"/>
              <w:left w:val="single" w:color="auto" w:sz="8" w:space="0"/>
              <w:bottom w:val="single" w:color="auto" w:sz="8" w:space="0"/>
              <w:right w:val="single" w:color="auto" w:sz="8" w:space="0"/>
            </w:tcBorders>
            <w:vAlign w:val="center"/>
          </w:tcPr>
          <w:p w14:paraId="3BEBCE60">
            <w:pPr>
              <w:keepNext w:val="0"/>
              <w:keepLines w:val="0"/>
              <w:widowControl/>
              <w:suppressLineNumbers w:val="0"/>
              <w:spacing w:before="0" w:beforeAutospacing="0" w:after="0" w:afterAutospacing="0"/>
              <w:ind w:left="0" w:right="0"/>
              <w:jc w:val="center"/>
              <w:rPr>
                <w:rFonts w:hint="default" w:ascii="宋体" w:hAnsi="宋体" w:cs="宋体"/>
                <w:color w:val="000000"/>
                <w:sz w:val="24"/>
                <w:szCs w:val="28"/>
                <w:highlight w:val="none"/>
              </w:rPr>
            </w:pPr>
          </w:p>
        </w:tc>
      </w:tr>
    </w:tbl>
    <w:p w14:paraId="2ABA9A1D">
      <w:pPr>
        <w:rPr>
          <w:rFonts w:ascii="宋体" w:hAnsi="宋体" w:cs="宋体"/>
          <w:b/>
          <w:color w:val="000000"/>
          <w:sz w:val="32"/>
          <w:szCs w:val="32"/>
          <w:highlight w:val="none"/>
        </w:rPr>
      </w:pPr>
      <w:bookmarkStart w:id="69" w:name="_Toc284060544"/>
      <w:bookmarkStart w:id="70" w:name="_Toc60537410"/>
      <w:r>
        <w:rPr>
          <w:rFonts w:hint="eastAsia" w:ascii="宋体" w:hAnsi="宋体" w:cs="宋体"/>
          <w:b/>
          <w:color w:val="000000"/>
          <w:sz w:val="32"/>
          <w:szCs w:val="32"/>
          <w:highlight w:val="none"/>
        </w:rPr>
        <w:br w:type="page"/>
      </w:r>
    </w:p>
    <w:p w14:paraId="594D0618">
      <w:pPr>
        <w:spacing w:line="360" w:lineRule="auto"/>
        <w:ind w:firstLine="643" w:firstLineChars="200"/>
        <w:jc w:val="center"/>
        <w:rPr>
          <w:rFonts w:ascii="宋体" w:hAnsi="宋体" w:cs="宋体"/>
          <w:b/>
          <w:bCs/>
          <w:color w:val="000000"/>
          <w:kern w:val="2"/>
          <w:sz w:val="32"/>
          <w:szCs w:val="32"/>
          <w:highlight w:val="none"/>
          <w:lang w:val="zh-CN" w:bidi="zh-CN"/>
        </w:rPr>
      </w:pPr>
      <w:r>
        <w:rPr>
          <w:rFonts w:hint="eastAsia" w:ascii="宋体" w:hAnsi="宋体" w:cs="宋体"/>
          <w:b/>
          <w:color w:val="000000"/>
          <w:sz w:val="32"/>
          <w:szCs w:val="32"/>
          <w:highlight w:val="none"/>
        </w:rPr>
        <w:t>十</w:t>
      </w:r>
      <w:r>
        <w:rPr>
          <w:rFonts w:hint="eastAsia" w:ascii="宋体" w:hAnsi="宋体" w:cs="宋体"/>
          <w:b/>
          <w:color w:val="000000"/>
          <w:sz w:val="32"/>
          <w:szCs w:val="32"/>
          <w:highlight w:val="none"/>
          <w:lang w:val="en-US" w:eastAsia="zh-CN"/>
        </w:rPr>
        <w:t>一</w:t>
      </w:r>
      <w:r>
        <w:rPr>
          <w:rFonts w:hint="eastAsia" w:ascii="宋体" w:hAnsi="宋体" w:cs="宋体"/>
          <w:b/>
          <w:color w:val="000000"/>
          <w:sz w:val="32"/>
          <w:szCs w:val="32"/>
          <w:highlight w:val="none"/>
        </w:rPr>
        <w:t>、</w:t>
      </w:r>
      <w:bookmarkEnd w:id="69"/>
      <w:bookmarkEnd w:id="70"/>
      <w:r>
        <w:rPr>
          <w:rFonts w:hint="eastAsia" w:ascii="宋体" w:hAnsi="宋体" w:cs="宋体"/>
          <w:b/>
          <w:bCs/>
          <w:color w:val="000000"/>
          <w:kern w:val="2"/>
          <w:sz w:val="32"/>
          <w:szCs w:val="32"/>
          <w:highlight w:val="none"/>
          <w:lang w:val="zh-CN" w:bidi="zh-CN"/>
        </w:rPr>
        <w:t>中小企业声明函（服务）</w:t>
      </w:r>
    </w:p>
    <w:p w14:paraId="03C154FE">
      <w:pPr>
        <w:widowControl w:val="0"/>
        <w:spacing w:before="5"/>
        <w:jc w:val="both"/>
        <w:rPr>
          <w:rFonts w:ascii="宋体" w:hAnsi="宋体" w:cs="宋体"/>
          <w:b/>
          <w:color w:val="000000"/>
          <w:kern w:val="2"/>
          <w:sz w:val="48"/>
          <w:szCs w:val="32"/>
          <w:highlight w:val="none"/>
          <w:lang w:val="zh-CN" w:bidi="zh-CN"/>
        </w:rPr>
      </w:pPr>
    </w:p>
    <w:p w14:paraId="561CC61C">
      <w:pPr>
        <w:widowControl w:val="0"/>
        <w:spacing w:line="360" w:lineRule="auto"/>
        <w:ind w:firstLine="480" w:firstLineChars="200"/>
        <w:jc w:val="both"/>
        <w:rPr>
          <w:rFonts w:ascii="宋体" w:hAnsi="宋体" w:cs="宋体"/>
          <w:bCs/>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本公司（联合体）郑重声明，根据《政府采购促进中小企业发展管理办法》（财库﹝2020﹞46 号）的规定，本公司（联合体）参加</w:t>
      </w:r>
      <w:r>
        <w:rPr>
          <w:rFonts w:hint="eastAsia" w:ascii="宋体" w:hAnsi="宋体" w:cs="宋体"/>
          <w:bCs/>
          <w:color w:val="000000"/>
          <w:kern w:val="2"/>
          <w:sz w:val="24"/>
          <w:szCs w:val="24"/>
          <w:highlight w:val="none"/>
          <w:u w:val="single"/>
          <w:lang w:val="zh-CN" w:bidi="zh-CN"/>
        </w:rPr>
        <w:t>（单位名称）</w:t>
      </w:r>
      <w:r>
        <w:rPr>
          <w:rFonts w:hint="eastAsia" w:ascii="宋体" w:hAnsi="宋体" w:cs="宋体"/>
          <w:bCs/>
          <w:color w:val="000000"/>
          <w:kern w:val="2"/>
          <w:sz w:val="24"/>
          <w:szCs w:val="24"/>
          <w:highlight w:val="none"/>
          <w:lang w:val="zh-CN" w:bidi="zh-CN"/>
        </w:rPr>
        <w:t>的</w:t>
      </w:r>
      <w:r>
        <w:rPr>
          <w:rFonts w:hint="eastAsia" w:ascii="宋体" w:hAnsi="宋体" w:cs="宋体"/>
          <w:bCs/>
          <w:color w:val="000000"/>
          <w:kern w:val="2"/>
          <w:sz w:val="24"/>
          <w:szCs w:val="24"/>
          <w:highlight w:val="none"/>
          <w:u w:val="single"/>
          <w:lang w:val="zh-CN" w:bidi="zh-CN"/>
        </w:rPr>
        <w:t>（项目名称）</w:t>
      </w:r>
      <w:r>
        <w:rPr>
          <w:rFonts w:hint="eastAsia" w:ascii="宋体" w:hAnsi="宋体" w:cs="宋体"/>
          <w:bCs/>
          <w:color w:val="000000"/>
          <w:kern w:val="2"/>
          <w:sz w:val="24"/>
          <w:szCs w:val="24"/>
          <w:highlight w:val="none"/>
          <w:lang w:val="zh-CN" w:bidi="zh-CN"/>
        </w:rPr>
        <w:t>采购活动，服务全部由符合政策要求的中小企业承接。相关企业（含联合体中的中小企业、签订分包意向协议的中小企业）的具体情况如下：</w:t>
      </w:r>
    </w:p>
    <w:p w14:paraId="6AE428D2">
      <w:pPr>
        <w:widowControl w:val="0"/>
        <w:tabs>
          <w:tab w:val="left" w:pos="1243"/>
        </w:tabs>
        <w:spacing w:line="360" w:lineRule="auto"/>
        <w:ind w:firstLine="480" w:firstLineChars="200"/>
        <w:rPr>
          <w:rFonts w:ascii="宋体" w:hAnsi="宋体" w:cs="宋体"/>
          <w:bCs/>
          <w:color w:val="000000"/>
          <w:kern w:val="2"/>
          <w:sz w:val="24"/>
          <w:szCs w:val="24"/>
          <w:highlight w:val="none"/>
        </w:rPr>
      </w:pPr>
      <w:r>
        <w:rPr>
          <w:rFonts w:hint="eastAsia" w:ascii="宋体" w:hAnsi="宋体" w:cs="宋体"/>
          <w:bCs/>
          <w:color w:val="000000"/>
          <w:kern w:val="2"/>
          <w:sz w:val="24"/>
          <w:szCs w:val="24"/>
          <w:highlight w:val="none"/>
          <w:lang w:bidi="zh-CN"/>
        </w:rPr>
        <w:t>1.</w:t>
      </w:r>
      <w:r>
        <w:rPr>
          <w:rFonts w:hint="eastAsia" w:ascii="宋体" w:hAnsi="宋体" w:cs="宋体"/>
          <w:bCs/>
          <w:color w:val="000000"/>
          <w:kern w:val="2"/>
          <w:sz w:val="24"/>
          <w:szCs w:val="24"/>
          <w:highlight w:val="none"/>
          <w:u w:val="single" w:color="000000"/>
          <w:lang w:val="zh-CN" w:bidi="zh-CN"/>
        </w:rPr>
        <w:t>（标的名称）</w:t>
      </w:r>
      <w:r>
        <w:rPr>
          <w:rFonts w:hint="eastAsia" w:ascii="宋体" w:hAnsi="宋体" w:cs="宋体"/>
          <w:bCs/>
          <w:color w:val="000000"/>
          <w:kern w:val="2"/>
          <w:sz w:val="24"/>
          <w:szCs w:val="24"/>
          <w:highlight w:val="none"/>
          <w:u w:color="000000"/>
          <w:lang w:val="zh-CN" w:bidi="zh-CN"/>
        </w:rPr>
        <w:t>，属于（</w:t>
      </w:r>
      <w:r>
        <w:rPr>
          <w:rFonts w:hint="eastAsia" w:ascii="宋体" w:hAnsi="宋体" w:cs="宋体"/>
          <w:bCs/>
          <w:color w:val="000000"/>
          <w:kern w:val="2"/>
          <w:sz w:val="24"/>
          <w:szCs w:val="24"/>
          <w:highlight w:val="none"/>
          <w:u w:val="single" w:color="000000"/>
          <w:lang w:val="zh-CN" w:bidi="zh-CN"/>
        </w:rPr>
        <w:t>采购文件中明确的所属行业）</w:t>
      </w:r>
      <w:r>
        <w:rPr>
          <w:rFonts w:hint="eastAsia" w:ascii="宋体" w:hAnsi="宋体" w:cs="宋体"/>
          <w:bCs/>
          <w:color w:val="000000"/>
          <w:kern w:val="2"/>
          <w:sz w:val="24"/>
          <w:szCs w:val="24"/>
          <w:highlight w:val="none"/>
          <w:u w:color="000000"/>
          <w:lang w:val="zh-CN" w:bidi="zh-CN"/>
        </w:rPr>
        <w:t>；</w:t>
      </w:r>
      <w:r>
        <w:rPr>
          <w:rFonts w:hint="eastAsia" w:ascii="宋体" w:hAnsi="宋体" w:cs="宋体"/>
          <w:bCs/>
          <w:color w:val="000000"/>
          <w:kern w:val="2"/>
          <w:sz w:val="24"/>
          <w:szCs w:val="24"/>
          <w:highlight w:val="none"/>
        </w:rPr>
        <w:t>承建（承接）企业为</w:t>
      </w:r>
      <w:r>
        <w:rPr>
          <w:rFonts w:hint="eastAsia" w:ascii="宋体" w:hAnsi="宋体" w:cs="宋体"/>
          <w:bCs/>
          <w:color w:val="000000"/>
          <w:kern w:val="2"/>
          <w:sz w:val="24"/>
          <w:szCs w:val="24"/>
          <w:highlight w:val="none"/>
          <w:u w:val="single"/>
        </w:rPr>
        <w:t>（企业名称）</w:t>
      </w:r>
      <w:r>
        <w:rPr>
          <w:rFonts w:hint="eastAsia" w:ascii="宋体" w:hAnsi="宋体" w:cs="宋体"/>
          <w:bCs/>
          <w:color w:val="000000"/>
          <w:kern w:val="2"/>
          <w:sz w:val="24"/>
          <w:szCs w:val="24"/>
          <w:highlight w:val="none"/>
        </w:rPr>
        <w:t>，从业人员</w:t>
      </w:r>
      <w:r>
        <w:rPr>
          <w:rFonts w:hint="eastAsia" w:ascii="宋体" w:hAnsi="宋体" w:cs="宋体"/>
          <w:bCs/>
          <w:color w:val="000000"/>
          <w:kern w:val="2"/>
          <w:sz w:val="24"/>
          <w:szCs w:val="24"/>
          <w:highlight w:val="none"/>
          <w:u w:val="single"/>
        </w:rPr>
        <w:t xml:space="preserve">    </w:t>
      </w:r>
      <w:r>
        <w:rPr>
          <w:rFonts w:hint="eastAsia" w:ascii="宋体" w:hAnsi="宋体" w:cs="宋体"/>
          <w:bCs/>
          <w:color w:val="000000"/>
          <w:kern w:val="2"/>
          <w:sz w:val="24"/>
          <w:szCs w:val="24"/>
          <w:highlight w:val="none"/>
        </w:rPr>
        <w:t>人，营业收入为</w:t>
      </w:r>
      <w:r>
        <w:rPr>
          <w:rFonts w:hint="eastAsia" w:ascii="宋体" w:hAnsi="宋体" w:cs="宋体"/>
          <w:bCs/>
          <w:color w:val="000000"/>
          <w:kern w:val="2"/>
          <w:sz w:val="24"/>
          <w:szCs w:val="24"/>
          <w:highlight w:val="none"/>
          <w:u w:val="single"/>
        </w:rPr>
        <w:t xml:space="preserve">    </w:t>
      </w:r>
      <w:r>
        <w:rPr>
          <w:rFonts w:hint="eastAsia" w:ascii="宋体" w:hAnsi="宋体" w:cs="宋体"/>
          <w:bCs/>
          <w:color w:val="000000"/>
          <w:kern w:val="2"/>
          <w:sz w:val="24"/>
          <w:szCs w:val="24"/>
          <w:highlight w:val="none"/>
        </w:rPr>
        <w:t>万元，资产总额为</w:t>
      </w:r>
      <w:r>
        <w:rPr>
          <w:rFonts w:hint="eastAsia" w:ascii="宋体" w:hAnsi="宋体" w:cs="宋体"/>
          <w:bCs/>
          <w:color w:val="000000"/>
          <w:kern w:val="2"/>
          <w:sz w:val="24"/>
          <w:szCs w:val="24"/>
          <w:highlight w:val="none"/>
          <w:u w:val="single"/>
        </w:rPr>
        <w:t xml:space="preserve">    </w:t>
      </w:r>
      <w:r>
        <w:rPr>
          <w:rFonts w:hint="eastAsia" w:ascii="宋体" w:hAnsi="宋体" w:cs="宋体"/>
          <w:bCs/>
          <w:color w:val="000000"/>
          <w:kern w:val="2"/>
          <w:sz w:val="24"/>
          <w:szCs w:val="24"/>
          <w:highlight w:val="none"/>
        </w:rPr>
        <w:t>万元</w:t>
      </w:r>
      <w:r>
        <w:rPr>
          <w:highlight w:val="none"/>
        </w:rPr>
        <w:fldChar w:fldCharType="begin"/>
      </w:r>
      <w:r>
        <w:rPr>
          <w:highlight w:val="none"/>
        </w:rPr>
        <w:instrText xml:space="preserve"> HYPERLINK \l "_bookmark1" </w:instrText>
      </w:r>
      <w:r>
        <w:rPr>
          <w:highlight w:val="none"/>
        </w:rPr>
        <w:fldChar w:fldCharType="separate"/>
      </w:r>
      <w:r>
        <w:rPr>
          <w:rFonts w:hint="eastAsia" w:ascii="宋体" w:hAnsi="宋体" w:cs="宋体"/>
          <w:bCs/>
          <w:color w:val="000000"/>
          <w:kern w:val="2"/>
          <w:position w:val="16"/>
          <w:sz w:val="24"/>
          <w:szCs w:val="24"/>
          <w:highlight w:val="none"/>
        </w:rPr>
        <w:t>1</w:t>
      </w:r>
      <w:r>
        <w:rPr>
          <w:rFonts w:hint="eastAsia" w:ascii="宋体" w:hAnsi="宋体" w:cs="宋体"/>
          <w:bCs/>
          <w:color w:val="000000"/>
          <w:kern w:val="2"/>
          <w:position w:val="16"/>
          <w:sz w:val="24"/>
          <w:szCs w:val="24"/>
          <w:highlight w:val="none"/>
        </w:rPr>
        <w:fldChar w:fldCharType="end"/>
      </w:r>
      <w:r>
        <w:rPr>
          <w:rFonts w:hint="eastAsia" w:ascii="宋体" w:hAnsi="宋体" w:cs="宋体"/>
          <w:bCs/>
          <w:color w:val="000000"/>
          <w:kern w:val="2"/>
          <w:sz w:val="24"/>
          <w:szCs w:val="24"/>
          <w:highlight w:val="none"/>
        </w:rPr>
        <w:t>，属于</w:t>
      </w:r>
      <w:r>
        <w:rPr>
          <w:rFonts w:hint="eastAsia" w:ascii="宋体" w:hAnsi="宋体" w:cs="宋体"/>
          <w:bCs/>
          <w:color w:val="000000"/>
          <w:kern w:val="2"/>
          <w:sz w:val="24"/>
          <w:szCs w:val="24"/>
          <w:highlight w:val="none"/>
          <w:u w:val="single"/>
        </w:rPr>
        <w:t>（中型企业、小型企业、微型企业）</w:t>
      </w:r>
      <w:r>
        <w:rPr>
          <w:rFonts w:hint="eastAsia" w:ascii="宋体" w:hAnsi="宋体" w:cs="宋体"/>
          <w:bCs/>
          <w:color w:val="000000"/>
          <w:kern w:val="2"/>
          <w:sz w:val="24"/>
          <w:szCs w:val="24"/>
          <w:highlight w:val="none"/>
        </w:rPr>
        <w:t>；</w:t>
      </w:r>
    </w:p>
    <w:p w14:paraId="5F6952BA">
      <w:pPr>
        <w:widowControl w:val="0"/>
        <w:tabs>
          <w:tab w:val="left" w:pos="1243"/>
          <w:tab w:val="left" w:pos="1806"/>
          <w:tab w:val="left" w:pos="5005"/>
          <w:tab w:val="left" w:pos="7213"/>
        </w:tabs>
        <w:spacing w:line="360" w:lineRule="auto"/>
        <w:ind w:firstLine="480" w:firstLineChars="200"/>
        <w:rPr>
          <w:rFonts w:ascii="宋体" w:hAnsi="宋体" w:cs="宋体"/>
          <w:bCs/>
          <w:color w:val="000000"/>
          <w:kern w:val="2"/>
          <w:sz w:val="24"/>
          <w:szCs w:val="24"/>
          <w:highlight w:val="none"/>
          <w:u w:color="000000"/>
          <w:lang w:val="zh-CN" w:bidi="zh-CN"/>
        </w:rPr>
      </w:pPr>
      <w:r>
        <w:rPr>
          <w:rFonts w:hint="eastAsia" w:ascii="宋体" w:hAnsi="宋体" w:cs="宋体"/>
          <w:bCs/>
          <w:color w:val="000000"/>
          <w:kern w:val="2"/>
          <w:sz w:val="24"/>
          <w:szCs w:val="24"/>
          <w:highlight w:val="none"/>
          <w:lang w:bidi="zh-CN"/>
        </w:rPr>
        <w:t>2.</w:t>
      </w:r>
      <w:r>
        <w:rPr>
          <w:rFonts w:hint="eastAsia" w:ascii="宋体" w:hAnsi="宋体" w:cs="宋体"/>
          <w:bCs/>
          <w:color w:val="000000"/>
          <w:kern w:val="2"/>
          <w:sz w:val="24"/>
          <w:szCs w:val="24"/>
          <w:highlight w:val="none"/>
          <w:u w:val="single" w:color="000000"/>
          <w:lang w:val="zh-CN" w:bidi="zh-CN"/>
        </w:rPr>
        <w:t>（标的名称）</w:t>
      </w:r>
      <w:r>
        <w:rPr>
          <w:rFonts w:hint="eastAsia" w:ascii="宋体" w:hAnsi="宋体" w:cs="宋体"/>
          <w:bCs/>
          <w:color w:val="000000"/>
          <w:kern w:val="2"/>
          <w:sz w:val="24"/>
          <w:szCs w:val="24"/>
          <w:highlight w:val="none"/>
          <w:u w:color="000000"/>
          <w:lang w:val="zh-CN" w:bidi="zh-CN"/>
        </w:rPr>
        <w:t>，属于（</w:t>
      </w:r>
      <w:r>
        <w:rPr>
          <w:rFonts w:hint="eastAsia" w:ascii="宋体" w:hAnsi="宋体" w:cs="宋体"/>
          <w:bCs/>
          <w:color w:val="000000"/>
          <w:kern w:val="2"/>
          <w:sz w:val="24"/>
          <w:szCs w:val="24"/>
          <w:highlight w:val="none"/>
          <w:u w:val="single" w:color="000000"/>
          <w:lang w:val="zh-CN" w:bidi="zh-CN"/>
        </w:rPr>
        <w:t>采购文件中明确的所属行业）</w:t>
      </w:r>
      <w:r>
        <w:rPr>
          <w:rFonts w:hint="eastAsia" w:ascii="宋体" w:hAnsi="宋体" w:cs="宋体"/>
          <w:bCs/>
          <w:color w:val="000000"/>
          <w:kern w:val="2"/>
          <w:sz w:val="24"/>
          <w:szCs w:val="24"/>
          <w:highlight w:val="none"/>
          <w:u w:color="000000"/>
          <w:lang w:val="zh-CN" w:bidi="zh-CN"/>
        </w:rPr>
        <w:t>；承建（承接）企业为</w:t>
      </w:r>
      <w:r>
        <w:rPr>
          <w:rFonts w:hint="eastAsia" w:ascii="宋体" w:hAnsi="宋体" w:cs="宋体"/>
          <w:bCs/>
          <w:color w:val="000000"/>
          <w:kern w:val="2"/>
          <w:sz w:val="24"/>
          <w:szCs w:val="24"/>
          <w:highlight w:val="none"/>
          <w:u w:val="single" w:color="000000"/>
          <w:lang w:val="zh-CN" w:bidi="zh-CN"/>
        </w:rPr>
        <w:t>（企业名称）</w:t>
      </w:r>
      <w:r>
        <w:rPr>
          <w:rFonts w:hint="eastAsia" w:ascii="宋体" w:hAnsi="宋体" w:cs="宋体"/>
          <w:bCs/>
          <w:color w:val="000000"/>
          <w:kern w:val="2"/>
          <w:sz w:val="24"/>
          <w:szCs w:val="24"/>
          <w:highlight w:val="none"/>
          <w:u w:color="000000"/>
          <w:lang w:val="zh-CN" w:bidi="zh-CN"/>
        </w:rPr>
        <w:t>，从业人员</w:t>
      </w:r>
      <w:r>
        <w:rPr>
          <w:rFonts w:hint="eastAsia" w:ascii="宋体" w:hAnsi="宋体" w:cs="宋体"/>
          <w:bCs/>
          <w:color w:val="000000"/>
          <w:kern w:val="2"/>
          <w:sz w:val="24"/>
          <w:szCs w:val="24"/>
          <w:highlight w:val="none"/>
          <w:u w:val="single"/>
        </w:rPr>
        <w:t xml:space="preserve">    </w:t>
      </w:r>
      <w:r>
        <w:rPr>
          <w:rFonts w:hint="eastAsia" w:ascii="宋体" w:hAnsi="宋体" w:cs="宋体"/>
          <w:bCs/>
          <w:color w:val="000000"/>
          <w:kern w:val="2"/>
          <w:sz w:val="24"/>
          <w:szCs w:val="24"/>
          <w:highlight w:val="none"/>
          <w:u w:color="000000"/>
          <w:lang w:val="zh-CN" w:bidi="zh-CN"/>
        </w:rPr>
        <w:t>人，营业收入为</w:t>
      </w:r>
      <w:r>
        <w:rPr>
          <w:rFonts w:hint="eastAsia" w:ascii="宋体" w:hAnsi="宋体" w:cs="宋体"/>
          <w:bCs/>
          <w:color w:val="000000"/>
          <w:kern w:val="2"/>
          <w:sz w:val="24"/>
          <w:szCs w:val="24"/>
          <w:highlight w:val="none"/>
          <w:u w:val="single" w:color="000000"/>
          <w:lang w:bidi="zh-CN"/>
        </w:rPr>
        <w:t xml:space="preserve">    </w:t>
      </w:r>
      <w:r>
        <w:rPr>
          <w:rFonts w:hint="eastAsia" w:ascii="宋体" w:hAnsi="宋体" w:cs="宋体"/>
          <w:bCs/>
          <w:color w:val="000000"/>
          <w:kern w:val="2"/>
          <w:sz w:val="24"/>
          <w:szCs w:val="24"/>
          <w:highlight w:val="none"/>
          <w:u w:color="000000"/>
          <w:lang w:val="zh-CN" w:bidi="zh-CN"/>
        </w:rPr>
        <w:t>万元，资产总额为</w:t>
      </w:r>
      <w:r>
        <w:rPr>
          <w:rFonts w:hint="eastAsia" w:ascii="宋体" w:hAnsi="宋体" w:cs="宋体"/>
          <w:bCs/>
          <w:color w:val="000000"/>
          <w:kern w:val="2"/>
          <w:sz w:val="24"/>
          <w:szCs w:val="24"/>
          <w:highlight w:val="none"/>
          <w:u w:val="single" w:color="000000"/>
          <w:lang w:val="zh-CN" w:bidi="zh-CN"/>
        </w:rPr>
        <w:t xml:space="preserve"> </w:t>
      </w:r>
      <w:r>
        <w:rPr>
          <w:rFonts w:hint="eastAsia" w:ascii="宋体" w:hAnsi="宋体" w:cs="宋体"/>
          <w:bCs/>
          <w:color w:val="000000"/>
          <w:kern w:val="2"/>
          <w:sz w:val="24"/>
          <w:szCs w:val="24"/>
          <w:highlight w:val="none"/>
          <w:u w:val="single" w:color="000000"/>
          <w:lang w:bidi="zh-CN"/>
        </w:rPr>
        <w:t xml:space="preserve">    </w:t>
      </w:r>
      <w:r>
        <w:rPr>
          <w:rFonts w:hint="eastAsia" w:ascii="宋体" w:hAnsi="宋体" w:cs="宋体"/>
          <w:bCs/>
          <w:color w:val="000000"/>
          <w:kern w:val="2"/>
          <w:sz w:val="24"/>
          <w:szCs w:val="24"/>
          <w:highlight w:val="none"/>
          <w:u w:color="000000"/>
          <w:lang w:val="zh-CN" w:bidi="zh-CN"/>
        </w:rPr>
        <w:t>万元，属于</w:t>
      </w:r>
      <w:r>
        <w:rPr>
          <w:rFonts w:hint="eastAsia" w:ascii="宋体" w:hAnsi="宋体" w:cs="宋体"/>
          <w:bCs/>
          <w:color w:val="000000"/>
          <w:kern w:val="2"/>
          <w:sz w:val="24"/>
          <w:szCs w:val="24"/>
          <w:highlight w:val="none"/>
          <w:u w:val="single" w:color="000000"/>
          <w:lang w:val="zh-CN" w:bidi="zh-CN"/>
        </w:rPr>
        <w:t>（中型企业、小型企业、微型企业）</w:t>
      </w:r>
      <w:r>
        <w:rPr>
          <w:rFonts w:hint="eastAsia" w:ascii="宋体" w:hAnsi="宋体" w:cs="宋体"/>
          <w:bCs/>
          <w:color w:val="000000"/>
          <w:kern w:val="2"/>
          <w:sz w:val="24"/>
          <w:szCs w:val="24"/>
          <w:highlight w:val="none"/>
          <w:u w:color="000000"/>
          <w:lang w:val="zh-CN" w:bidi="zh-CN"/>
        </w:rPr>
        <w:t>；</w:t>
      </w:r>
    </w:p>
    <w:p w14:paraId="37D4B5EB">
      <w:pPr>
        <w:widowControl w:val="0"/>
        <w:spacing w:line="360" w:lineRule="auto"/>
        <w:ind w:firstLine="480" w:firstLineChars="200"/>
        <w:jc w:val="both"/>
        <w:rPr>
          <w:rFonts w:ascii="宋体" w:hAnsi="宋体" w:cs="宋体"/>
          <w:bCs/>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w:t>
      </w:r>
    </w:p>
    <w:p w14:paraId="49A8225E">
      <w:pPr>
        <w:widowControl w:val="0"/>
        <w:spacing w:line="360" w:lineRule="auto"/>
        <w:ind w:firstLine="480" w:firstLineChars="200"/>
        <w:jc w:val="both"/>
        <w:rPr>
          <w:rFonts w:ascii="宋体" w:hAnsi="宋体" w:cs="宋体"/>
          <w:bCs/>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以上企业，不属于大企业的分支机构，不存在控股股东为大企业的情形，也不存在与大企业的负责人为同一人的情形。</w:t>
      </w:r>
    </w:p>
    <w:p w14:paraId="43101074">
      <w:pPr>
        <w:widowControl w:val="0"/>
        <w:spacing w:line="360" w:lineRule="auto"/>
        <w:ind w:firstLine="480" w:firstLineChars="200"/>
        <w:jc w:val="both"/>
        <w:rPr>
          <w:rFonts w:ascii="宋体" w:hAnsi="宋体" w:cs="宋体"/>
          <w:bCs/>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本企业对上述声明内容的真实性负责。如有虚假，将依法承担相应责任。</w:t>
      </w:r>
    </w:p>
    <w:p w14:paraId="63A542E3">
      <w:pPr>
        <w:widowControl w:val="0"/>
        <w:spacing w:before="29" w:line="317" w:lineRule="auto"/>
        <w:ind w:left="4060" w:right="2166"/>
        <w:jc w:val="both"/>
        <w:rPr>
          <w:rFonts w:ascii="宋体" w:hAnsi="宋体" w:cs="宋体"/>
          <w:bCs/>
          <w:color w:val="000000"/>
          <w:kern w:val="2"/>
          <w:sz w:val="24"/>
          <w:szCs w:val="24"/>
          <w:highlight w:val="none"/>
          <w:lang w:val="zh-CN" w:bidi="zh-CN"/>
        </w:rPr>
      </w:pPr>
    </w:p>
    <w:p w14:paraId="6213447B">
      <w:pPr>
        <w:widowControl w:val="0"/>
        <w:spacing w:before="29" w:line="317" w:lineRule="auto"/>
        <w:ind w:left="4060" w:right="2166"/>
        <w:jc w:val="both"/>
        <w:rPr>
          <w:rFonts w:ascii="宋体" w:hAnsi="宋体" w:cs="宋体"/>
          <w:bCs/>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企业名称（盖章）：</w:t>
      </w:r>
    </w:p>
    <w:p w14:paraId="3E976365">
      <w:pPr>
        <w:widowControl w:val="0"/>
        <w:spacing w:before="29" w:line="317" w:lineRule="auto"/>
        <w:ind w:left="4060" w:right="2166"/>
        <w:jc w:val="both"/>
        <w:rPr>
          <w:rFonts w:ascii="宋体" w:hAnsi="宋体" w:cs="宋体"/>
          <w:b/>
          <w:color w:val="000000"/>
          <w:kern w:val="2"/>
          <w:sz w:val="24"/>
          <w:szCs w:val="24"/>
          <w:highlight w:val="none"/>
          <w:lang w:val="zh-CN" w:bidi="zh-CN"/>
        </w:rPr>
      </w:pPr>
      <w:r>
        <w:rPr>
          <w:rFonts w:hint="eastAsia" w:ascii="宋体" w:hAnsi="宋体" w:cs="宋体"/>
          <w:bCs/>
          <w:color w:val="000000"/>
          <w:kern w:val="2"/>
          <w:sz w:val="24"/>
          <w:szCs w:val="24"/>
          <w:highlight w:val="none"/>
          <w:lang w:val="zh-CN" w:bidi="zh-CN"/>
        </w:rPr>
        <w:t>日期：</w:t>
      </w:r>
    </w:p>
    <w:p w14:paraId="17C2B7CF">
      <w:pPr>
        <w:widowControl w:val="0"/>
        <w:spacing w:line="317" w:lineRule="auto"/>
        <w:jc w:val="both"/>
        <w:rPr>
          <w:rFonts w:ascii="宋体" w:hAnsi="宋体" w:cs="宋体"/>
          <w:color w:val="000000"/>
          <w:kern w:val="2"/>
          <w:sz w:val="24"/>
          <w:szCs w:val="24"/>
          <w:highlight w:val="none"/>
        </w:rPr>
      </w:pPr>
    </w:p>
    <w:p w14:paraId="17A83345">
      <w:pPr>
        <w:widowControl w:val="0"/>
        <w:spacing w:before="19"/>
        <w:ind w:left="20"/>
        <w:rPr>
          <w:rFonts w:ascii="宋体" w:hAnsi="宋体" w:cs="宋体"/>
          <w:color w:val="000000"/>
          <w:w w:val="104"/>
          <w:kern w:val="2"/>
          <w:sz w:val="24"/>
          <w:szCs w:val="24"/>
          <w:highlight w:val="none"/>
        </w:rPr>
      </w:pPr>
    </w:p>
    <w:p w14:paraId="39091549">
      <w:pPr>
        <w:widowControl w:val="0"/>
        <w:spacing w:before="19"/>
        <w:ind w:left="20"/>
        <w:rPr>
          <w:rFonts w:ascii="宋体" w:hAnsi="宋体" w:cs="宋体"/>
          <w:color w:val="000000"/>
          <w:w w:val="104"/>
          <w:kern w:val="2"/>
          <w:sz w:val="24"/>
          <w:szCs w:val="24"/>
          <w:highlight w:val="none"/>
        </w:rPr>
      </w:pPr>
    </w:p>
    <w:p w14:paraId="0797408B">
      <w:pPr>
        <w:widowControl w:val="0"/>
        <w:spacing w:before="19"/>
        <w:ind w:left="20"/>
        <w:rPr>
          <w:rFonts w:ascii="宋体" w:hAnsi="宋体" w:cs="宋体"/>
          <w:color w:val="000000"/>
          <w:w w:val="104"/>
          <w:kern w:val="2"/>
          <w:sz w:val="24"/>
          <w:szCs w:val="24"/>
          <w:highlight w:val="none"/>
        </w:rPr>
      </w:pPr>
    </w:p>
    <w:p w14:paraId="01543B75">
      <w:pPr>
        <w:widowControl w:val="0"/>
        <w:spacing w:before="19"/>
        <w:ind w:left="20"/>
        <w:rPr>
          <w:rFonts w:ascii="宋体" w:hAnsi="宋体" w:cs="宋体"/>
          <w:color w:val="000000"/>
          <w:w w:val="104"/>
          <w:kern w:val="2"/>
          <w:sz w:val="24"/>
          <w:szCs w:val="24"/>
          <w:highlight w:val="none"/>
        </w:rPr>
      </w:pPr>
    </w:p>
    <w:p w14:paraId="2D7B0823">
      <w:pPr>
        <w:widowControl w:val="0"/>
        <w:spacing w:before="19"/>
        <w:ind w:left="20"/>
        <w:rPr>
          <w:rFonts w:ascii="宋体" w:hAnsi="宋体" w:cs="宋体"/>
          <w:color w:val="000000"/>
          <w:kern w:val="2"/>
          <w:sz w:val="24"/>
          <w:szCs w:val="24"/>
          <w:highlight w:val="none"/>
        </w:rPr>
      </w:pPr>
      <w:r>
        <w:rPr>
          <w:rFonts w:hint="eastAsia" w:ascii="宋体" w:hAnsi="宋体" w:cs="宋体"/>
          <w:color w:val="000000"/>
          <w:w w:val="104"/>
          <w:kern w:val="2"/>
          <w:sz w:val="24"/>
          <w:szCs w:val="24"/>
          <w:highlight w:val="none"/>
        </w:rPr>
        <w:t>注：1.</w:t>
      </w:r>
      <w:r>
        <w:rPr>
          <w:rFonts w:hint="eastAsia" w:ascii="宋体" w:hAnsi="宋体" w:cs="宋体"/>
          <w:color w:val="000000"/>
          <w:kern w:val="2"/>
          <w:sz w:val="24"/>
          <w:szCs w:val="24"/>
          <w:highlight w:val="none"/>
        </w:rPr>
        <w:t>从业人员、营业收入、资产总额填报上一年度数据，无上一年度数据的新成立企业可不填报。</w:t>
      </w:r>
    </w:p>
    <w:p w14:paraId="701723A7">
      <w:pPr>
        <w:widowControl w:val="0"/>
        <w:spacing w:before="19"/>
        <w:ind w:left="20" w:firstLine="480" w:firstLineChars="200"/>
        <w:rPr>
          <w:rFonts w:ascii="宋体" w:hAnsi="宋体" w:cs="宋体"/>
          <w:color w:val="000000"/>
          <w:kern w:val="2"/>
          <w:sz w:val="24"/>
          <w:szCs w:val="24"/>
          <w:highlight w:val="none"/>
        </w:rPr>
      </w:pPr>
      <w:r>
        <w:rPr>
          <w:rFonts w:hint="eastAsia" w:ascii="宋体" w:hAnsi="宋体" w:cs="宋体"/>
          <w:color w:val="000000"/>
          <w:kern w:val="2"/>
          <w:sz w:val="24"/>
          <w:szCs w:val="24"/>
          <w:highlight w:val="none"/>
        </w:rPr>
        <w:t>2.本项目企业划分标准为“软件和信息技术服务业”行业。</w:t>
      </w:r>
    </w:p>
    <w:p w14:paraId="2AD2E4DB">
      <w:pPr>
        <w:jc w:val="center"/>
        <w:rPr>
          <w:rFonts w:ascii="宋体" w:hAnsi="宋体" w:cs="仿宋"/>
          <w:b/>
          <w:color w:val="000000"/>
          <w:sz w:val="30"/>
          <w:szCs w:val="30"/>
          <w:highlight w:val="none"/>
        </w:rPr>
      </w:pPr>
      <w:r>
        <w:rPr>
          <w:rFonts w:hint="eastAsia" w:ascii="宋体" w:hAnsi="宋体" w:cs="宋体"/>
          <w:color w:val="000000"/>
          <w:kern w:val="2"/>
          <w:sz w:val="24"/>
          <w:szCs w:val="24"/>
          <w:highlight w:val="none"/>
        </w:rPr>
        <w:br w:type="page"/>
      </w:r>
      <w:r>
        <w:rPr>
          <w:rFonts w:hint="eastAsia" w:ascii="宋体" w:hAnsi="宋体" w:cs="仿宋"/>
          <w:b/>
          <w:color w:val="000000"/>
          <w:sz w:val="30"/>
          <w:szCs w:val="30"/>
          <w:highlight w:val="none"/>
        </w:rPr>
        <w:t>残疾人福利性单位声明函</w:t>
      </w:r>
    </w:p>
    <w:p w14:paraId="702342AB">
      <w:pPr>
        <w:spacing w:line="276" w:lineRule="auto"/>
        <w:jc w:val="center"/>
        <w:rPr>
          <w:rFonts w:ascii="宋体" w:hAnsi="宋体"/>
          <w:szCs w:val="21"/>
          <w:highlight w:val="none"/>
          <w:u w:val="single"/>
        </w:rPr>
      </w:pPr>
      <w:r>
        <w:rPr>
          <w:rFonts w:hint="eastAsia" w:ascii="宋体" w:hAnsi="宋体"/>
          <w:szCs w:val="21"/>
          <w:highlight w:val="none"/>
          <w:u w:val="single"/>
        </w:rPr>
        <w:t>【不属于残疾人福利性单位的无需填写】</w:t>
      </w:r>
    </w:p>
    <w:p w14:paraId="46E64045">
      <w:pPr>
        <w:spacing w:line="276" w:lineRule="auto"/>
        <w:jc w:val="center"/>
        <w:rPr>
          <w:rFonts w:ascii="宋体" w:hAnsi="宋体"/>
          <w:b/>
          <w:spacing w:val="6"/>
          <w:sz w:val="24"/>
          <w:highlight w:val="none"/>
        </w:rPr>
      </w:pPr>
    </w:p>
    <w:p w14:paraId="252EDFA1">
      <w:pPr>
        <w:spacing w:line="276" w:lineRule="auto"/>
        <w:ind w:firstLine="504" w:firstLineChars="200"/>
        <w:rPr>
          <w:rFonts w:ascii="宋体" w:hAnsi="宋体"/>
          <w:spacing w:val="6"/>
          <w:sz w:val="24"/>
          <w:highlight w:val="none"/>
        </w:rPr>
      </w:pPr>
      <w:r>
        <w:rPr>
          <w:rFonts w:hint="eastAsia" w:ascii="宋体" w:hAnsi="宋体"/>
          <w:spacing w:val="6"/>
          <w:sz w:val="24"/>
          <w:highlight w:val="none"/>
        </w:rPr>
        <w:t>本单位郑重声明，根据《财政部 民政部 中国残疾人联合会关于促进残疾人就业政府采购政策的通知》（财库</w:t>
      </w:r>
      <w:r>
        <w:rPr>
          <w:rFonts w:hint="eastAsia" w:ascii="宋体" w:hAnsi="宋体"/>
          <w:sz w:val="24"/>
          <w:highlight w:val="none"/>
        </w:rPr>
        <w:t>〔2017〕141</w:t>
      </w:r>
      <w:r>
        <w:rPr>
          <w:rFonts w:hint="eastAsia" w:ascii="宋体" w:hAnsi="宋体"/>
          <w:spacing w:val="6"/>
          <w:sz w:val="24"/>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F9FB952">
      <w:pPr>
        <w:spacing w:line="276" w:lineRule="auto"/>
        <w:ind w:firstLine="504" w:firstLineChars="200"/>
        <w:rPr>
          <w:rFonts w:ascii="宋体" w:hAnsi="宋体"/>
          <w:spacing w:val="6"/>
          <w:sz w:val="24"/>
          <w:highlight w:val="none"/>
        </w:rPr>
      </w:pPr>
      <w:r>
        <w:rPr>
          <w:rFonts w:hint="eastAsia" w:ascii="宋体" w:hAnsi="宋体"/>
          <w:spacing w:val="6"/>
          <w:sz w:val="24"/>
          <w:highlight w:val="none"/>
        </w:rPr>
        <w:t>本单位对上述声明的真实性负责。如有虚假，将依法承担相应责任。</w:t>
      </w:r>
    </w:p>
    <w:p w14:paraId="2678C5B4">
      <w:pPr>
        <w:spacing w:line="276" w:lineRule="auto"/>
        <w:ind w:firstLine="504" w:firstLineChars="200"/>
        <w:rPr>
          <w:rFonts w:ascii="宋体" w:hAnsi="宋体"/>
          <w:spacing w:val="6"/>
          <w:sz w:val="24"/>
          <w:highlight w:val="none"/>
        </w:rPr>
      </w:pPr>
    </w:p>
    <w:p w14:paraId="7279AB54">
      <w:pPr>
        <w:tabs>
          <w:tab w:val="left" w:pos="4860"/>
        </w:tabs>
        <w:spacing w:line="276" w:lineRule="auto"/>
        <w:ind w:right="1560" w:firstLine="504" w:firstLineChars="200"/>
        <w:jc w:val="center"/>
        <w:rPr>
          <w:rFonts w:ascii="宋体" w:hAnsi="宋体"/>
          <w:spacing w:val="6"/>
          <w:sz w:val="24"/>
          <w:highlight w:val="none"/>
        </w:rPr>
      </w:pPr>
      <w:r>
        <w:rPr>
          <w:rFonts w:hint="eastAsia" w:ascii="宋体" w:hAnsi="宋体"/>
          <w:spacing w:val="6"/>
          <w:sz w:val="24"/>
          <w:highlight w:val="none"/>
        </w:rPr>
        <w:t xml:space="preserve">               单位名称（盖章）：</w:t>
      </w:r>
    </w:p>
    <w:p w14:paraId="65D5DC2A">
      <w:pPr>
        <w:tabs>
          <w:tab w:val="left" w:pos="4860"/>
        </w:tabs>
        <w:spacing w:line="276" w:lineRule="auto"/>
        <w:ind w:right="1560" w:firstLine="504" w:firstLineChars="200"/>
        <w:jc w:val="center"/>
        <w:rPr>
          <w:rFonts w:ascii="宋体" w:hAnsi="宋体"/>
          <w:spacing w:val="6"/>
          <w:sz w:val="24"/>
          <w:highlight w:val="none"/>
        </w:rPr>
      </w:pPr>
    </w:p>
    <w:p w14:paraId="0CF17EA8">
      <w:pPr>
        <w:tabs>
          <w:tab w:val="left" w:pos="4860"/>
        </w:tabs>
        <w:spacing w:line="276" w:lineRule="auto"/>
        <w:ind w:right="1560" w:firstLine="504" w:firstLineChars="200"/>
        <w:jc w:val="center"/>
        <w:rPr>
          <w:rFonts w:ascii="宋体" w:hAnsi="宋体"/>
          <w:spacing w:val="6"/>
          <w:sz w:val="24"/>
          <w:highlight w:val="none"/>
        </w:rPr>
      </w:pPr>
      <w:r>
        <w:rPr>
          <w:rFonts w:hint="eastAsia" w:ascii="宋体" w:hAnsi="宋体"/>
          <w:spacing w:val="6"/>
          <w:sz w:val="24"/>
          <w:highlight w:val="none"/>
        </w:rPr>
        <w:t xml:space="preserve">      日  期：</w:t>
      </w:r>
    </w:p>
    <w:p w14:paraId="6045C111">
      <w:pPr>
        <w:pStyle w:val="16"/>
        <w:rPr>
          <w:highlight w:val="none"/>
        </w:rPr>
      </w:pPr>
    </w:p>
    <w:p w14:paraId="14F4A01C">
      <w:pPr>
        <w:spacing w:line="312" w:lineRule="auto"/>
        <w:jc w:val="center"/>
        <w:rPr>
          <w:rFonts w:ascii="宋体" w:hAnsi="宋体"/>
          <w:b/>
          <w:sz w:val="28"/>
          <w:szCs w:val="28"/>
          <w:highlight w:val="none"/>
        </w:rPr>
      </w:pPr>
    </w:p>
    <w:p w14:paraId="47EFB056">
      <w:pPr>
        <w:spacing w:line="312" w:lineRule="auto"/>
        <w:jc w:val="center"/>
        <w:rPr>
          <w:rFonts w:ascii="宋体" w:hAnsi="宋体"/>
          <w:b/>
          <w:sz w:val="28"/>
          <w:szCs w:val="28"/>
          <w:highlight w:val="none"/>
        </w:rPr>
      </w:pPr>
    </w:p>
    <w:p w14:paraId="3D44ACAA">
      <w:pPr>
        <w:spacing w:line="312" w:lineRule="auto"/>
        <w:jc w:val="center"/>
        <w:rPr>
          <w:rFonts w:ascii="宋体" w:hAnsi="宋体"/>
          <w:b/>
          <w:sz w:val="28"/>
          <w:szCs w:val="28"/>
          <w:highlight w:val="none"/>
        </w:rPr>
      </w:pPr>
    </w:p>
    <w:p w14:paraId="2334A5E1">
      <w:pPr>
        <w:jc w:val="center"/>
        <w:rPr>
          <w:rFonts w:ascii="宋体" w:hAnsi="宋体" w:cs="宋体"/>
          <w:b/>
          <w:sz w:val="32"/>
          <w:szCs w:val="32"/>
          <w:highlight w:val="none"/>
        </w:rPr>
      </w:pPr>
      <w:r>
        <w:rPr>
          <w:rFonts w:hint="eastAsia" w:ascii="宋体" w:hAnsi="宋体" w:cs="宋体"/>
          <w:b/>
          <w:sz w:val="32"/>
          <w:szCs w:val="32"/>
          <w:highlight w:val="none"/>
        </w:rPr>
        <w:t>监狱企业证明文件</w:t>
      </w:r>
    </w:p>
    <w:p w14:paraId="76F941EC">
      <w:pPr>
        <w:spacing w:line="360" w:lineRule="auto"/>
        <w:jc w:val="center"/>
        <w:rPr>
          <w:rFonts w:ascii="宋体" w:hAnsi="宋体"/>
          <w:b/>
          <w:sz w:val="28"/>
          <w:szCs w:val="28"/>
          <w:highlight w:val="none"/>
        </w:rPr>
      </w:pPr>
    </w:p>
    <w:p w14:paraId="7F5B6770">
      <w:pPr>
        <w:spacing w:line="360" w:lineRule="auto"/>
        <w:jc w:val="center"/>
        <w:rPr>
          <w:rFonts w:ascii="宋体" w:hAnsi="宋体"/>
          <w:b/>
          <w:sz w:val="24"/>
          <w:highlight w:val="none"/>
        </w:rPr>
      </w:pPr>
      <w:r>
        <w:rPr>
          <w:rFonts w:hint="eastAsia" w:ascii="宋体" w:hAnsi="宋体"/>
          <w:b/>
          <w:sz w:val="24"/>
          <w:highlight w:val="none"/>
        </w:rPr>
        <w:t>说明：若是监狱企业则需提供上述省级以上监狱管理局、戒毒管理局（含新疆生产建设兵团）出具的属于监狱企业的证明文件，若不是则不需要提供。</w:t>
      </w:r>
    </w:p>
    <w:p w14:paraId="11676B68">
      <w:pPr>
        <w:pStyle w:val="43"/>
        <w:ind w:left="400"/>
        <w:rPr>
          <w:highlight w:val="none"/>
        </w:rPr>
      </w:pPr>
    </w:p>
    <w:p w14:paraId="6F4982FE">
      <w:pPr>
        <w:rPr>
          <w:rStyle w:val="47"/>
          <w:rFonts w:ascii="宋体" w:hAnsi="宋体" w:cs="宋体"/>
          <w:color w:val="000000"/>
          <w:sz w:val="20"/>
          <w:szCs w:val="20"/>
          <w:highlight w:val="none"/>
          <w:shd w:val="clear" w:color="auto" w:fill="FFFFFF"/>
        </w:rPr>
      </w:pPr>
      <w:bookmarkStart w:id="71" w:name="_Hlk75194747"/>
      <w:r>
        <w:rPr>
          <w:rStyle w:val="47"/>
          <w:rFonts w:hint="eastAsia" w:ascii="宋体" w:hAnsi="宋体" w:cs="宋体"/>
          <w:color w:val="000000"/>
          <w:highlight w:val="none"/>
          <w:shd w:val="clear" w:color="auto" w:fill="FFFFFF"/>
        </w:rPr>
        <w:br w:type="page"/>
      </w:r>
    </w:p>
    <w:bookmarkEnd w:id="71"/>
    <w:p w14:paraId="20B6251A">
      <w:pPr>
        <w:spacing w:line="360" w:lineRule="auto"/>
        <w:jc w:val="center"/>
        <w:rPr>
          <w:rFonts w:hint="eastAsia" w:ascii="宋体" w:hAnsi="宋体" w:eastAsia="宋体" w:cs="宋体"/>
          <w:b/>
          <w:sz w:val="32"/>
          <w:szCs w:val="32"/>
          <w:highlight w:val="none"/>
          <w:lang w:eastAsia="zh-CN"/>
        </w:rPr>
      </w:pPr>
      <w:r>
        <w:rPr>
          <w:rFonts w:hint="eastAsia" w:ascii="宋体" w:hAnsi="宋体" w:cs="宋体"/>
          <w:b/>
          <w:sz w:val="32"/>
          <w:szCs w:val="32"/>
          <w:highlight w:val="none"/>
          <w:lang w:eastAsia="zh-CN"/>
        </w:rPr>
        <w:t>十</w:t>
      </w:r>
      <w:r>
        <w:rPr>
          <w:rFonts w:hint="eastAsia" w:ascii="宋体" w:hAnsi="宋体" w:cs="宋体"/>
          <w:b/>
          <w:sz w:val="32"/>
          <w:szCs w:val="32"/>
          <w:highlight w:val="none"/>
          <w:lang w:val="en-US" w:eastAsia="zh-CN"/>
        </w:rPr>
        <w:t>二</w:t>
      </w:r>
      <w:r>
        <w:rPr>
          <w:rFonts w:hint="eastAsia" w:ascii="宋体" w:hAnsi="宋体" w:eastAsia="宋体" w:cs="宋体"/>
          <w:b/>
          <w:sz w:val="32"/>
          <w:szCs w:val="32"/>
          <w:highlight w:val="none"/>
          <w:lang w:val="en-US" w:eastAsia="zh-CN"/>
        </w:rPr>
        <w:t>、</w:t>
      </w:r>
      <w:r>
        <w:rPr>
          <w:rFonts w:hint="eastAsia" w:ascii="宋体" w:hAnsi="宋体" w:cs="宋体"/>
          <w:b/>
          <w:sz w:val="32"/>
          <w:szCs w:val="32"/>
          <w:highlight w:val="none"/>
          <w:lang w:eastAsia="zh-CN"/>
        </w:rPr>
        <w:t>投标人</w:t>
      </w:r>
      <w:r>
        <w:rPr>
          <w:rFonts w:hint="eastAsia" w:ascii="宋体" w:hAnsi="宋体" w:eastAsia="宋体" w:cs="宋体"/>
          <w:b/>
          <w:sz w:val="32"/>
          <w:szCs w:val="32"/>
          <w:highlight w:val="none"/>
          <w:lang w:eastAsia="zh-CN"/>
        </w:rPr>
        <w:t>认为有必要提供的其他材料</w:t>
      </w:r>
    </w:p>
    <w:p w14:paraId="116FF1AD">
      <w:pPr>
        <w:rPr>
          <w:rFonts w:ascii="宋体" w:hAnsi="宋体" w:cs="宋体"/>
          <w:b/>
          <w:szCs w:val="21"/>
          <w:highlight w:val="none"/>
        </w:rPr>
      </w:pPr>
    </w:p>
    <w:p w14:paraId="28057A31">
      <w:pPr>
        <w:jc w:val="center"/>
        <w:rPr>
          <w:rFonts w:ascii="宋体" w:hAnsi="宋体" w:cs="宋体"/>
          <w:b/>
          <w:szCs w:val="21"/>
          <w:highlight w:val="none"/>
        </w:rPr>
      </w:pPr>
    </w:p>
    <w:p w14:paraId="3684343A">
      <w:pPr>
        <w:spacing w:line="288" w:lineRule="auto"/>
        <w:jc w:val="center"/>
        <w:rPr>
          <w:rFonts w:ascii="宋体" w:hAnsi="宋体" w:cs="宋体"/>
          <w:b/>
          <w:sz w:val="24"/>
          <w:szCs w:val="24"/>
          <w:highlight w:val="none"/>
        </w:rPr>
      </w:pPr>
      <w:r>
        <w:rPr>
          <w:rFonts w:hint="eastAsia" w:ascii="宋体" w:hAnsi="宋体" w:cs="宋体"/>
          <w:b/>
          <w:sz w:val="24"/>
          <w:szCs w:val="24"/>
          <w:highlight w:val="none"/>
          <w:lang w:eastAsia="zh-CN"/>
        </w:rPr>
        <w:t>投标人</w:t>
      </w:r>
      <w:r>
        <w:rPr>
          <w:rFonts w:hint="eastAsia" w:ascii="宋体" w:hAnsi="宋体" w:cs="宋体"/>
          <w:b/>
          <w:sz w:val="24"/>
          <w:szCs w:val="24"/>
          <w:highlight w:val="none"/>
        </w:rPr>
        <w:t>按招标文件要求自行填写，不作统一格式要求。</w:t>
      </w:r>
    </w:p>
    <w:p w14:paraId="47296A46">
      <w:pPr>
        <w:jc w:val="center"/>
        <w:rPr>
          <w:rFonts w:hint="eastAsia" w:ascii="宋体" w:hAnsi="宋体" w:cs="宋体"/>
          <w:b/>
          <w:sz w:val="24"/>
          <w:szCs w:val="24"/>
          <w:highlight w:val="none"/>
        </w:rPr>
      </w:pPr>
    </w:p>
    <w:p w14:paraId="54FBBBBE">
      <w:pPr>
        <w:jc w:val="center"/>
        <w:rPr>
          <w:rFonts w:hint="eastAsia" w:ascii="宋体" w:hAnsi="宋体" w:cs="宋体"/>
          <w:b/>
          <w:sz w:val="24"/>
          <w:szCs w:val="24"/>
          <w:highlight w:val="none"/>
        </w:rPr>
      </w:pPr>
    </w:p>
    <w:p w14:paraId="4CA1DF79">
      <w:pPr>
        <w:rPr>
          <w:rFonts w:hint="eastAsia" w:ascii="宋体" w:hAnsi="宋体" w:cs="宋体"/>
          <w:b/>
          <w:sz w:val="24"/>
          <w:szCs w:val="24"/>
          <w:highlight w:val="none"/>
        </w:rPr>
      </w:pPr>
      <w:r>
        <w:rPr>
          <w:rFonts w:hint="eastAsia" w:ascii="宋体" w:hAnsi="宋体" w:cs="宋体"/>
          <w:b/>
          <w:sz w:val="24"/>
          <w:szCs w:val="24"/>
          <w:highlight w:val="none"/>
        </w:rPr>
        <w:br w:type="page"/>
      </w:r>
    </w:p>
    <w:p w14:paraId="762FF4F4">
      <w:pPr>
        <w:jc w:val="center"/>
        <w:rPr>
          <w:rFonts w:hint="eastAsia" w:ascii="宋体" w:hAnsi="宋体" w:cs="宋体"/>
          <w:b/>
          <w:sz w:val="24"/>
          <w:szCs w:val="24"/>
          <w:highlight w:val="none"/>
        </w:rPr>
      </w:pPr>
      <w:r>
        <w:rPr>
          <w:rFonts w:hint="eastAsia" w:ascii="宋体" w:hAnsi="宋体" w:cs="宋体"/>
          <w:b/>
          <w:sz w:val="28"/>
          <w:szCs w:val="28"/>
          <w:highlight w:val="none"/>
        </w:rPr>
        <w:t>信誉要求承诺书</w:t>
      </w:r>
    </w:p>
    <w:p w14:paraId="3E8E1547">
      <w:pPr>
        <w:jc w:val="both"/>
        <w:rPr>
          <w:rFonts w:hint="eastAsia" w:ascii="宋体" w:hAnsi="宋体" w:cs="宋体"/>
          <w:b/>
          <w:sz w:val="24"/>
          <w:szCs w:val="24"/>
          <w:highlight w:val="none"/>
        </w:rPr>
      </w:pPr>
    </w:p>
    <w:p w14:paraId="7B998161">
      <w:pPr>
        <w:spacing w:line="360" w:lineRule="auto"/>
        <w:ind w:firstLine="482" w:firstLineChars="200"/>
        <w:jc w:val="both"/>
        <w:rPr>
          <w:rFonts w:hint="eastAsia" w:ascii="宋体" w:hAnsi="宋体" w:cs="宋体"/>
          <w:b/>
          <w:sz w:val="24"/>
          <w:szCs w:val="24"/>
          <w:highlight w:val="none"/>
        </w:rPr>
      </w:pPr>
      <w:r>
        <w:rPr>
          <w:rFonts w:hint="eastAsia" w:ascii="宋体" w:hAnsi="宋体" w:cs="宋体"/>
          <w:b/>
          <w:sz w:val="24"/>
          <w:szCs w:val="24"/>
          <w:highlight w:val="none"/>
        </w:rPr>
        <w:t>我公司承诺：</w:t>
      </w:r>
    </w:p>
    <w:p w14:paraId="29D44386">
      <w:pPr>
        <w:spacing w:line="360" w:lineRule="auto"/>
        <w:ind w:firstLine="480" w:firstLineChars="200"/>
        <w:jc w:val="both"/>
        <w:rPr>
          <w:rFonts w:hint="eastAsia" w:ascii="宋体" w:hAnsi="宋体" w:cs="宋体"/>
          <w:b w:val="0"/>
          <w:bCs/>
          <w:sz w:val="24"/>
          <w:szCs w:val="24"/>
          <w:highlight w:val="none"/>
        </w:rPr>
      </w:pPr>
      <w:r>
        <w:rPr>
          <w:rFonts w:hint="eastAsia" w:ascii="宋体" w:hAnsi="宋体" w:cs="宋体"/>
          <w:b w:val="0"/>
          <w:bCs/>
          <w:sz w:val="24"/>
          <w:szCs w:val="24"/>
          <w:highlight w:val="none"/>
        </w:rPr>
        <w:t>1.拒绝列入政府取消投标资格记录期间的企业或个人投标；</w:t>
      </w:r>
    </w:p>
    <w:p w14:paraId="07547E4D">
      <w:pPr>
        <w:spacing w:line="360" w:lineRule="auto"/>
        <w:ind w:firstLine="480" w:firstLineChars="200"/>
        <w:jc w:val="both"/>
        <w:rPr>
          <w:rFonts w:hint="eastAsia" w:ascii="宋体" w:hAnsi="宋体" w:cs="宋体"/>
          <w:b w:val="0"/>
          <w:bCs/>
          <w:sz w:val="24"/>
          <w:szCs w:val="24"/>
          <w:highlight w:val="none"/>
        </w:rPr>
      </w:pPr>
      <w:r>
        <w:rPr>
          <w:rFonts w:hint="eastAsia" w:ascii="宋体" w:hAnsi="宋体" w:cs="宋体"/>
          <w:b w:val="0"/>
          <w:bCs/>
          <w:sz w:val="24"/>
          <w:szCs w:val="24"/>
          <w:highlight w:val="none"/>
        </w:rPr>
        <w:t>2.与采购人存在利害关系可能影响招标公正性的法人、其他组织或者个人，不得参加本项目投标；单位负责人为同一人或者存在直接控股、管理关系的不同投标人，不得参加同一合同项下的政府采购活动；为采购项目提供整体设计、规范编制或者项目管理、监理、检测等服务的投标人，不得再参加本采购项目的其他采购活动；</w:t>
      </w:r>
    </w:p>
    <w:p w14:paraId="321D3B10">
      <w:pPr>
        <w:spacing w:line="360" w:lineRule="auto"/>
        <w:ind w:firstLine="480" w:firstLineChars="200"/>
        <w:jc w:val="both"/>
        <w:rPr>
          <w:rFonts w:hint="eastAsia" w:ascii="宋体" w:hAnsi="宋体" w:cs="宋体"/>
          <w:b w:val="0"/>
          <w:bCs/>
          <w:sz w:val="24"/>
          <w:szCs w:val="24"/>
          <w:highlight w:val="none"/>
        </w:rPr>
      </w:pPr>
      <w:r>
        <w:rPr>
          <w:rFonts w:hint="eastAsia" w:ascii="宋体" w:hAnsi="宋体" w:cs="宋体"/>
          <w:b w:val="0"/>
          <w:bCs/>
          <w:sz w:val="24"/>
          <w:szCs w:val="24"/>
          <w:highlight w:val="none"/>
        </w:rPr>
        <w:t>3.参加政府采购活动前三年内（2023年至今），在经营活动中没有重大违法记录；</w:t>
      </w:r>
    </w:p>
    <w:p w14:paraId="1FB0FD1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sz w:val="24"/>
          <w:szCs w:val="24"/>
          <w:highlight w:val="none"/>
          <w:lang w:eastAsia="zh-CN"/>
        </w:rPr>
      </w:pPr>
      <w:r>
        <w:rPr>
          <w:rFonts w:hint="eastAsia" w:ascii="宋体" w:hAnsi="宋体" w:cs="宋体"/>
          <w:b w:val="0"/>
          <w:bCs/>
          <w:sz w:val="24"/>
          <w:szCs w:val="24"/>
          <w:highlight w:val="none"/>
        </w:rPr>
        <w:t>4.不得为“信用中国”网站（www.creditchina.gov.cn）中列入失信被执行人和重大税收违法案件当事人名单的投标人；不得为中国政府采购网（www.ccgp.gov.cn）政府采购严重违法失信行为记录名单中被财政部门禁止参加政府采购活动的投标人（在处罚决定规定的时间和地域范围内）（详见财库[2016]125号）</w:t>
      </w:r>
      <w:r>
        <w:rPr>
          <w:rFonts w:hint="eastAsia" w:ascii="宋体" w:hAnsi="宋体" w:cs="宋体"/>
          <w:b w:val="0"/>
          <w:bCs/>
          <w:sz w:val="24"/>
          <w:szCs w:val="24"/>
          <w:highlight w:val="none"/>
          <w:lang w:eastAsia="zh-CN"/>
        </w:rPr>
        <w:t>。</w:t>
      </w:r>
    </w:p>
    <w:p w14:paraId="2040889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sz w:val="24"/>
          <w:szCs w:val="24"/>
          <w:highlight w:val="none"/>
          <w:lang w:eastAsia="zh-CN"/>
        </w:rPr>
      </w:pPr>
    </w:p>
    <w:p w14:paraId="663BC58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sz w:val="24"/>
          <w:szCs w:val="24"/>
          <w:highlight w:val="none"/>
          <w:lang w:eastAsia="zh-CN"/>
        </w:rPr>
      </w:pPr>
    </w:p>
    <w:p w14:paraId="57601DB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sz w:val="24"/>
          <w:szCs w:val="24"/>
          <w:highlight w:val="none"/>
          <w:lang w:eastAsia="zh-CN"/>
        </w:rPr>
      </w:pPr>
    </w:p>
    <w:p w14:paraId="3BEF252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cs="宋体"/>
          <w:b w:val="0"/>
          <w:bCs/>
          <w:sz w:val="24"/>
          <w:szCs w:val="24"/>
          <w:highlight w:val="none"/>
          <w:lang w:eastAsia="zh-CN"/>
        </w:rPr>
      </w:pPr>
    </w:p>
    <w:p w14:paraId="7CB16F23">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lang w:val="en-US" w:eastAsia="zh-CN"/>
        </w:rPr>
        <w:t>投标人</w:t>
      </w:r>
      <w:r>
        <w:rPr>
          <w:rFonts w:hint="eastAsia" w:ascii="宋体" w:hAnsi="宋体" w:cs="宋体"/>
          <w:color w:val="000000"/>
          <w:sz w:val="24"/>
          <w:szCs w:val="24"/>
          <w:highlight w:val="none"/>
        </w:rPr>
        <w:t>：                （公章）</w:t>
      </w:r>
    </w:p>
    <w:p w14:paraId="36841A8D">
      <w:pPr>
        <w:spacing w:line="360" w:lineRule="auto"/>
        <w:rPr>
          <w:rFonts w:ascii="宋体" w:hAnsi="宋体" w:cs="宋体"/>
          <w:color w:val="000000"/>
          <w:sz w:val="24"/>
          <w:szCs w:val="24"/>
          <w:highlight w:val="none"/>
        </w:rPr>
      </w:pPr>
    </w:p>
    <w:p w14:paraId="3722FF3B">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法定代表人：                （盖章）</w:t>
      </w:r>
    </w:p>
    <w:p w14:paraId="717326B4">
      <w:pPr>
        <w:spacing w:line="360" w:lineRule="auto"/>
        <w:rPr>
          <w:rFonts w:ascii="宋体" w:hAnsi="宋体" w:cs="宋体"/>
          <w:color w:val="000000"/>
          <w:sz w:val="24"/>
          <w:szCs w:val="24"/>
          <w:highlight w:val="none"/>
        </w:rPr>
      </w:pPr>
    </w:p>
    <w:p w14:paraId="40EBC733">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委托代理人：                （签字）</w:t>
      </w:r>
    </w:p>
    <w:p w14:paraId="3F0FE4A1">
      <w:pPr>
        <w:spacing w:line="360" w:lineRule="auto"/>
        <w:rPr>
          <w:rFonts w:ascii="宋体" w:hAnsi="宋体" w:cs="宋体"/>
          <w:color w:val="000000"/>
          <w:sz w:val="24"/>
          <w:szCs w:val="24"/>
          <w:highlight w:val="none"/>
        </w:rPr>
      </w:pPr>
    </w:p>
    <w:p w14:paraId="6726F7D9">
      <w:pPr>
        <w:spacing w:line="360" w:lineRule="auto"/>
        <w:rPr>
          <w:rFonts w:ascii="宋体" w:hAnsi="宋体" w:cs="宋体"/>
          <w:color w:val="000000"/>
          <w:sz w:val="24"/>
          <w:szCs w:val="24"/>
          <w:highlight w:val="none"/>
        </w:rPr>
      </w:pPr>
      <w:r>
        <w:rPr>
          <w:rFonts w:hint="eastAsia" w:ascii="宋体" w:hAnsi="宋体" w:cs="宋体"/>
          <w:color w:val="000000"/>
          <w:sz w:val="24"/>
          <w:szCs w:val="24"/>
          <w:highlight w:val="none"/>
        </w:rPr>
        <w:t>日      期：      年      月      日</w:t>
      </w:r>
    </w:p>
    <w:p w14:paraId="55E03750">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宋体" w:hAnsi="宋体" w:cs="宋体"/>
          <w:b/>
          <w:sz w:val="24"/>
          <w:szCs w:val="24"/>
          <w:highlight w:val="none"/>
        </w:rPr>
      </w:pPr>
      <w:r>
        <w:rPr>
          <w:rFonts w:hint="eastAsia" w:ascii="宋体" w:hAnsi="宋体" w:cs="宋体"/>
          <w:b/>
          <w:sz w:val="24"/>
          <w:szCs w:val="24"/>
          <w:highlight w:val="none"/>
        </w:rPr>
        <w:br w:type="page"/>
      </w:r>
    </w:p>
    <w:p w14:paraId="7F22C29F">
      <w:pPr>
        <w:spacing w:line="360" w:lineRule="auto"/>
        <w:ind w:firstLine="482" w:firstLineChars="200"/>
        <w:jc w:val="both"/>
        <w:rPr>
          <w:rFonts w:hint="eastAsia" w:ascii="宋体" w:hAnsi="宋体" w:cs="宋体"/>
          <w:b/>
          <w:sz w:val="24"/>
          <w:szCs w:val="24"/>
          <w:highlight w:val="none"/>
        </w:rPr>
      </w:pPr>
    </w:p>
    <w:p w14:paraId="65508C42">
      <w:pPr>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color w:val="000000"/>
          <w:sz w:val="43"/>
          <w:szCs w:val="43"/>
          <w:lang w:bidi="ar"/>
        </w:rPr>
        <w:t>政府采购促进中小企业发展管理办法</w:t>
      </w:r>
    </w:p>
    <w:p w14:paraId="498C6564">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第一条</w:t>
      </w:r>
      <w:r>
        <w:rPr>
          <w:rFonts w:hint="eastAsia" w:ascii="宋体" w:hAnsi="宋体" w:eastAsia="宋体" w:cs="宋体"/>
          <w:color w:val="333333"/>
          <w:sz w:val="24"/>
          <w:szCs w:val="24"/>
          <w:lang w:bidi="ar"/>
        </w:rPr>
        <w:t xml:space="preserve">  为了发挥政府采购的政策功能，促进中小企业健康发展，根据《中华人民共和国政府采购法》、《中华人民共和国中小企业促进法》等有关法律法规，制定本办法。</w:t>
      </w:r>
    </w:p>
    <w:p w14:paraId="672E80C1">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第二条</w:t>
      </w:r>
      <w:r>
        <w:rPr>
          <w:rFonts w:hint="eastAsia" w:ascii="宋体" w:hAnsi="宋体" w:eastAsia="宋体" w:cs="宋体"/>
          <w:color w:val="333333"/>
          <w:sz w:val="24"/>
          <w:szCs w:val="24"/>
          <w:lang w:bidi="ar"/>
        </w:rPr>
        <w:t xml:space="preserve">  本办法所称中小企业，是指在中华人民共和国境内依法设立，依据国务院批准的中小企业划分标准确定的中型企业、小型企业和微型企业，但与大企业的负责人为同一人，或者与大企业存在直接控股、管理关系的除外。</w:t>
      </w:r>
    </w:p>
    <w:p w14:paraId="1360ECFE">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符合中小企业划分标准的个体工商户，在政府采购活动中视同中小企业。</w:t>
      </w:r>
    </w:p>
    <w:p w14:paraId="2EC32D0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第三条</w:t>
      </w:r>
      <w:r>
        <w:rPr>
          <w:rFonts w:hint="eastAsia" w:ascii="宋体" w:hAnsi="宋体" w:eastAsia="宋体" w:cs="宋体"/>
          <w:color w:val="333333"/>
          <w:sz w:val="24"/>
          <w:szCs w:val="24"/>
          <w:lang w:bidi="ar"/>
        </w:rPr>
        <w:t xml:space="preserve">  采购人在政府采购活动中应当通过加强采购需求管理，落实预留采购份额、价格评审优惠、优先采购等措施，提高中小企业在政府采购中的份额，支持中小企业发展。</w:t>
      </w:r>
    </w:p>
    <w:p w14:paraId="5044D850">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第四条</w:t>
      </w:r>
      <w:r>
        <w:rPr>
          <w:rFonts w:hint="eastAsia" w:ascii="宋体" w:hAnsi="宋体" w:eastAsia="宋体" w:cs="宋体"/>
          <w:color w:val="333333"/>
          <w:sz w:val="24"/>
          <w:szCs w:val="24"/>
          <w:lang w:bidi="ar"/>
        </w:rPr>
        <w:t xml:space="preserve">  在政府采购活动中，投标人提供的货物、工程或者服务符合下列情形的，享受本办法规定的中小企业扶持政策：</w:t>
      </w:r>
    </w:p>
    <w:p w14:paraId="05C68D0B">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（一）在货物采购项目中，货物由中小企业制造，即货物由中小企业生产且使用该中小企业商号或者注册商标；</w:t>
      </w:r>
    </w:p>
    <w:p w14:paraId="0E694F2B">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（二）在工程采购项目中，工程由中小企业承建，即工程施工单位为中小企业；</w:t>
      </w:r>
    </w:p>
    <w:p w14:paraId="4CF62075">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（三）在服务采购项目中，服务由中小企业承接，即提供服务的人员为中小企业依照《中华人民共和国劳动合同法》订立劳动合同的从业人员。</w:t>
      </w:r>
    </w:p>
    <w:p w14:paraId="3FD49D99">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在货物采购项目中，投标人提供的货物既有中小企业制造货物，也有大型企业制造货物的，不享受本办法规定的中小企业扶持政策。</w:t>
      </w:r>
    </w:p>
    <w:p w14:paraId="34800D0B">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以联合体形式参加政府采购活动，联合体各方均为中小企业的，联合体视同中小企业。其中，联合体各方均为小微企业的，联合体视同小微企业。</w:t>
      </w:r>
    </w:p>
    <w:p w14:paraId="5C0D2940">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第五条</w:t>
      </w:r>
      <w:r>
        <w:rPr>
          <w:rFonts w:hint="eastAsia" w:ascii="宋体" w:hAnsi="宋体" w:eastAsia="宋体" w:cs="宋体"/>
          <w:color w:val="333333"/>
          <w:sz w:val="24"/>
          <w:szCs w:val="24"/>
          <w:lang w:bidi="ar"/>
        </w:rPr>
        <w:t xml:space="preserve">  采购人在政府采购活动中应当合理确定采购项目的采购需求，不得以企业注册资本、资产总额、营业收入、从业人员、利润、纳税额等规模条件和财务指标作为投标人的资格要求或者评审因素，不得在企业股权结构、经营年限等方面对中小企业实行差别待遇或者歧视待遇。</w:t>
      </w:r>
    </w:p>
    <w:p w14:paraId="1FB053F9">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第六条</w:t>
      </w:r>
      <w:r>
        <w:rPr>
          <w:rFonts w:hint="eastAsia" w:ascii="宋体" w:hAnsi="宋体" w:eastAsia="宋体" w:cs="宋体"/>
          <w:color w:val="333333"/>
          <w:sz w:val="24"/>
          <w:szCs w:val="24"/>
          <w:lang w:bidi="ar"/>
        </w:rPr>
        <w:t xml:space="preserve">  主管预算单位应当组织评估本部门及所属单位政府采购项目，统筹制定面向中小企业预留采购份额的具体方案，对适宜由中小企业提供的采购项目和采购包，预留采购份额专门面向中小企业采购，并在政府采购预算中单独列示。</w:t>
      </w:r>
    </w:p>
    <w:p w14:paraId="6EB922E7">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符合下列情形之一的，可不专门面向中小企业预留采购份额：</w:t>
      </w:r>
    </w:p>
    <w:p w14:paraId="4ED63793">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（一）法律法规和国家有关政策明确规定优先或者应当面向事业单位、社会组织等非企业主体采购的；</w:t>
      </w:r>
    </w:p>
    <w:p w14:paraId="637D269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（二）因确需使用不可替代的专利、专有技术，基础设施限制，或者提供特定公共服务等原因，只能从中小企业之外的投标人处采购的；</w:t>
      </w:r>
    </w:p>
    <w:p w14:paraId="0AF6F1D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（三）按照本办法规定预留采购份额无法确保充分供应、充分竞争，或者存在可能影响政府采购目标实现的情形；</w:t>
      </w:r>
    </w:p>
    <w:p w14:paraId="7349C41A">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（四）框架协议采购项目；</w:t>
      </w:r>
    </w:p>
    <w:p w14:paraId="394B31E5">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（五）省级以上人民政府财政部门规定的其他情形。</w:t>
      </w:r>
    </w:p>
    <w:p w14:paraId="286E027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除上述情形外，其他均为适宜由中小企业提供的情形。</w:t>
      </w:r>
    </w:p>
    <w:p w14:paraId="5606D09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第七条</w:t>
      </w:r>
      <w:r>
        <w:rPr>
          <w:rFonts w:hint="eastAsia" w:ascii="宋体" w:hAnsi="宋体" w:eastAsia="宋体" w:cs="宋体"/>
          <w:color w:val="333333"/>
          <w:sz w:val="24"/>
          <w:szCs w:val="24"/>
          <w:lang w:bidi="ar"/>
        </w:rPr>
        <w:t xml:space="preserve">  采购限额标准以上，200 万元以下的货物和服务采购项目、400 万元以下的工程采购项目，适宜由中小企业提供的，采购人应当专门面向中小企业采购。</w:t>
      </w:r>
    </w:p>
    <w:p w14:paraId="5A9074F3">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第八条</w:t>
      </w:r>
      <w:r>
        <w:rPr>
          <w:rFonts w:hint="eastAsia" w:ascii="宋体" w:hAnsi="宋体" w:eastAsia="宋体" w:cs="宋体"/>
          <w:color w:val="333333"/>
          <w:sz w:val="24"/>
          <w:szCs w:val="24"/>
          <w:lang w:bidi="ar"/>
        </w:rPr>
        <w:t xml:space="preserve">  超过 200 万元的货物和服务采购项目、超过400 万元的工程采购项目中适宜由中小企业提供的，预留该部分采购项目预算总额的 30%以上专门面向中小企业采购，其中预留给小微企业的比例不低于 60%。预留份额通过下列措施进行：</w:t>
      </w:r>
    </w:p>
    <w:p w14:paraId="10402BAE">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（一）将采购项目整体或者设置采购包专门面向中小企业采购；</w:t>
      </w:r>
    </w:p>
    <w:p w14:paraId="731A8B31">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（二）要求投标人以联合体形式参加采购活动，且联合体中中小企业承担的部分达到一定比例；</w:t>
      </w:r>
    </w:p>
    <w:p w14:paraId="633E59FE">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（三）要求获得采购合同的投标人将采购项目中的一定比例分包给一家或者多家中小企业。</w:t>
      </w:r>
    </w:p>
    <w:p w14:paraId="1730620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组成联合体或者接受分包合同的中小企业与联合体内其他企业、分包企业之间不得存在直接控股、管理关系。</w:t>
      </w:r>
    </w:p>
    <w:p w14:paraId="61FAA249">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第九条</w:t>
      </w:r>
      <w:r>
        <w:rPr>
          <w:rFonts w:hint="eastAsia" w:ascii="宋体" w:hAnsi="宋体" w:eastAsia="宋体" w:cs="宋体"/>
          <w:color w:val="333333"/>
          <w:sz w:val="24"/>
          <w:szCs w:val="24"/>
          <w:lang w:bidi="ar"/>
        </w:rPr>
        <w:t xml:space="preserve">  对于经主管预算单位统筹后未预留份额专门面向中小企业采购的采购项目，以及预留份额项目中的非预留部分采购包，采购人、采购代理机构应当对符合本办法规定的小微企业报价给予 6%—10%（工程项目为 3%—5%）的扣除，用扣除后的价格参加评审。适用招标投标法的政府采购工程建设项目，采用综合评估法但未采用低价优先法计算价格分的，评标时应当在采用原报价进行评分的基础上增加其价格得分的 3%—5%作为其价格分。</w:t>
      </w:r>
    </w:p>
    <w:p w14:paraId="2B940C20">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接受大中型企业与小微企业组成联合体或者允许大中型企业向一家或者多家小微企业分包的采购项目，对于联合协议或者分包意向协议约定小微企业的合同份额占到合同总金额 30%以上的，采购人、采购代理机构应当对联合体或者大中型企业的报价给予 2%-3%（工程项目为 1%—2%）的扣除，用扣除后的价格参加评审。适用招标投标法的政府采购工程建设项目，采用综合评估法但未采用低价优先法计算价格分的，评标时应当在采用原报价进行评分的基础上增加其价格得分的 1%—2%作为其价格分。组成联合体或者接受分包的小微企业与联合体内其他企业、分包企业之间存在直接控股、管理关系的，不享受价格扣除优惠政策。</w:t>
      </w:r>
    </w:p>
    <w:p w14:paraId="5612825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价格扣除比例或者价格分加分比例对小型企业和微型企业同等对待，不作区分。具体采购项目的价格扣除比例或者价格分加分比例，由采购人根据采购标的相关行业平均利润率、市场竞争状况等，在本办法规定的幅度内确定。</w:t>
      </w:r>
    </w:p>
    <w:p w14:paraId="01DD6BEA">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第十条</w:t>
      </w:r>
      <w:r>
        <w:rPr>
          <w:rFonts w:hint="eastAsia" w:ascii="宋体" w:hAnsi="宋体" w:eastAsia="宋体" w:cs="宋体"/>
          <w:color w:val="333333"/>
          <w:sz w:val="24"/>
          <w:szCs w:val="24"/>
          <w:lang w:bidi="ar"/>
        </w:rPr>
        <w:t xml:space="preserve">  采购人应当严格按照本办法规定和主管预算单位制定的预留采购份额具体方案开展采购活动。预留份额的采购项目或者采购包，通过发布公告方式邀请投标人后，符合资格条件的中小企业数量不足 3 家的，应当中止采购活动，视同未预留份额的采购项目或者采购包，按照本办法第九条有关规定重新组织采购活动。</w:t>
      </w:r>
    </w:p>
    <w:p w14:paraId="5807DED9">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第十一条</w:t>
      </w:r>
      <w:r>
        <w:rPr>
          <w:rFonts w:hint="eastAsia" w:ascii="宋体" w:hAnsi="宋体" w:eastAsia="宋体" w:cs="宋体"/>
          <w:color w:val="333333"/>
          <w:sz w:val="24"/>
          <w:szCs w:val="24"/>
          <w:lang w:bidi="ar"/>
        </w:rPr>
        <w:t xml:space="preserve">  中小企业参加政府采购活动，应当出具本办法规定的《中小企业声明函》（附 1），否则不得享受相关中小企业扶持政策。任何单位和个人不得要求投标人提供《中小企业声明函》之外的中小企业身份证明文件。</w:t>
      </w:r>
    </w:p>
    <w:p w14:paraId="357E65A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第十二条</w:t>
      </w:r>
      <w:r>
        <w:rPr>
          <w:rFonts w:hint="eastAsia" w:ascii="宋体" w:hAnsi="宋体" w:eastAsia="宋体" w:cs="宋体"/>
          <w:color w:val="333333"/>
          <w:sz w:val="24"/>
          <w:szCs w:val="24"/>
          <w:lang w:bidi="ar"/>
        </w:rPr>
        <w:t xml:space="preserve">  采购项目涉及中小企业采购的，采购文件应当明确以下内容：</w:t>
      </w:r>
    </w:p>
    <w:p w14:paraId="154EE5F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（一）预留份额的采购项目或者采购包，明确该项目或相关采购包专门面向中小企业采购，以及相关标的及预算金额；</w:t>
      </w:r>
    </w:p>
    <w:p w14:paraId="402E9815">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（二）要求以联合体形式参加或者合同分包的，明确联合协议或者分包意向协议中中小企业合同金额应当达到的比例，并作为投标人资格条件；</w:t>
      </w:r>
    </w:p>
    <w:p w14:paraId="349AB55E">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（三）非预留份额的采购项目或者采购包，明确有关价格扣除比例或者价格分加分比例；</w:t>
      </w:r>
    </w:p>
    <w:p w14:paraId="67BF8FFC">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（四）规定依据本办法规定享受扶持政策获得政府采购合同的，小微企业不得将合同分包给大中型企业，中型企业不得将合同分包给大型企业；</w:t>
      </w:r>
    </w:p>
    <w:p w14:paraId="6D1F179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（五）采购人认为具备相关条件的，明确对中小企业在资金支付期限、预付款比例等方面的优惠措施；</w:t>
      </w:r>
    </w:p>
    <w:p w14:paraId="1B0931FA">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（六）明确采购标的对应的中小企业划分标准所属行业；</w:t>
      </w:r>
    </w:p>
    <w:p w14:paraId="59DF1FC3">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（七）法律法规和省级以上人民政府财政部门规定的其他事项。</w:t>
      </w:r>
    </w:p>
    <w:p w14:paraId="6352C011">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第十三条</w:t>
      </w:r>
      <w:r>
        <w:rPr>
          <w:rFonts w:hint="eastAsia" w:ascii="宋体" w:hAnsi="宋体" w:eastAsia="宋体" w:cs="宋体"/>
          <w:color w:val="333333"/>
          <w:sz w:val="24"/>
          <w:szCs w:val="24"/>
          <w:lang w:bidi="ar"/>
        </w:rPr>
        <w:t xml:space="preserve">  中标、成交投标人享受本办法规定的中小企业扶持政策的，采购人、采购代理机构应当随中标、成交结果公开中标、成交投标人的《中小企业声明函》。</w:t>
      </w:r>
    </w:p>
    <w:p w14:paraId="21CBC78A">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适用招标投标法的政府采购工程建设项目，应当在公示中标候选人时公开中标候选人的《中小企业声明函》。</w:t>
      </w:r>
    </w:p>
    <w:p w14:paraId="0BE4CD1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第十四条</w:t>
      </w:r>
      <w:r>
        <w:rPr>
          <w:rFonts w:hint="eastAsia" w:ascii="宋体" w:hAnsi="宋体" w:eastAsia="宋体" w:cs="宋体"/>
          <w:color w:val="333333"/>
          <w:sz w:val="24"/>
          <w:szCs w:val="24"/>
          <w:lang w:bidi="ar"/>
        </w:rPr>
        <w:t xml:space="preserve">  对于通过预留采购项目、预留专门采购包、要求以联合体形式参加或者合同分包等措施签订的采购合同，应当明确标注本合同为中小企业预留合同。其中，要求以联合体形式参加采购活动或者合同分包的，应当将联合协议或者分包意向协议作为采购合同的组成部分。</w:t>
      </w:r>
    </w:p>
    <w:p w14:paraId="16461B2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第十五条</w:t>
      </w:r>
      <w:r>
        <w:rPr>
          <w:rFonts w:hint="eastAsia" w:ascii="宋体" w:hAnsi="宋体" w:eastAsia="宋体" w:cs="宋体"/>
          <w:color w:val="333333"/>
          <w:sz w:val="24"/>
          <w:szCs w:val="24"/>
          <w:lang w:bidi="ar"/>
        </w:rPr>
        <w:t xml:space="preserve">  鼓励各地区、各部门在采购活动中允许中小企业引入信用担保手段，为中小企业在投标（响应）保证、履约保证等方面提供专业化服务。鼓励中小企业依法合规通过政府采购合同融资。</w:t>
      </w:r>
    </w:p>
    <w:p w14:paraId="537F849C">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第十六条</w:t>
      </w:r>
      <w:r>
        <w:rPr>
          <w:rFonts w:hint="eastAsia" w:ascii="宋体" w:hAnsi="宋体" w:eastAsia="宋体" w:cs="宋体"/>
          <w:color w:val="333333"/>
          <w:sz w:val="24"/>
          <w:szCs w:val="24"/>
          <w:lang w:bidi="ar"/>
        </w:rPr>
        <w:t xml:space="preserve">  政府采购监督检查、投诉处理及政府采购行政处罚中对中小企业的认定，由货物制造商或者工程、服务投标人注册登记所在地的县级以上人民政府中小企业主管部门负责。</w:t>
      </w:r>
    </w:p>
    <w:p w14:paraId="4E088F6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中小企业主管部门应当在收到财政部门或者有关招标投标行政监督部门关于协助开展中小企业认定函后 10 个工作日内做出书面答复。</w:t>
      </w:r>
    </w:p>
    <w:p w14:paraId="46094AC2">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第十七条</w:t>
      </w:r>
      <w:r>
        <w:rPr>
          <w:rFonts w:hint="eastAsia" w:ascii="宋体" w:hAnsi="宋体" w:eastAsia="宋体" w:cs="宋体"/>
          <w:color w:val="333333"/>
          <w:sz w:val="24"/>
          <w:szCs w:val="24"/>
          <w:lang w:bidi="ar"/>
        </w:rPr>
        <w:t xml:space="preserve">  各地区、各部门应当对涉及中小企业采购的预算项目实施全过程绩效管理，合理设置绩效目标和指标，落实扶持中小企业有关政策要求，定期开展绩效监控和评价，强化绩效评价结果应用。</w:t>
      </w:r>
    </w:p>
    <w:p w14:paraId="294CD9AB">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第十八条</w:t>
      </w:r>
      <w:r>
        <w:rPr>
          <w:rFonts w:hint="eastAsia" w:ascii="宋体" w:hAnsi="宋体" w:eastAsia="宋体" w:cs="宋体"/>
          <w:color w:val="333333"/>
          <w:sz w:val="24"/>
          <w:szCs w:val="24"/>
          <w:lang w:bidi="ar"/>
        </w:rPr>
        <w:t xml:space="preserve">  主管预算单位应当自 2022 年起向同级财政部门报告本部门上一年度面向中小企业预留份额和采购的具体情况，并在中国政府采购网公开预留项目执行情况(附2)。未达到本办法规定的预留份额比例的，应当作出说明。</w:t>
      </w:r>
    </w:p>
    <w:p w14:paraId="5541215F">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第十九条</w:t>
      </w:r>
      <w:r>
        <w:rPr>
          <w:rFonts w:hint="eastAsia" w:ascii="宋体" w:hAnsi="宋体" w:eastAsia="宋体" w:cs="宋体"/>
          <w:color w:val="333333"/>
          <w:sz w:val="24"/>
          <w:szCs w:val="24"/>
          <w:lang w:bidi="ar"/>
        </w:rPr>
        <w:t xml:space="preserve">  采购人未按本办法规定为中小企业预留采购份额，采购人、采购代理机构未按照本办法规定要求实施价格扣除或者价格分加分的，属于未按照规定执行政府采购政策，依照《中华人民共和国政府采购法》等国家有关规定追究法律责任。</w:t>
      </w:r>
    </w:p>
    <w:p w14:paraId="6E32385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第二十条</w:t>
      </w:r>
      <w:r>
        <w:rPr>
          <w:rFonts w:hint="eastAsia" w:ascii="宋体" w:hAnsi="宋体" w:eastAsia="宋体" w:cs="宋体"/>
          <w:color w:val="333333"/>
          <w:sz w:val="24"/>
          <w:szCs w:val="24"/>
          <w:lang w:bidi="ar"/>
        </w:rPr>
        <w:t xml:space="preserve">  投标人按照本办法规定提供声明函内容不实的，属于提供虚假材料谋取中标、成交，依照《中华人民共和国政府采购法》等国家有关规定追究相应责任。</w:t>
      </w:r>
    </w:p>
    <w:p w14:paraId="12B8E4C8">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color w:val="333333"/>
          <w:sz w:val="24"/>
          <w:szCs w:val="24"/>
          <w:lang w:bidi="ar"/>
        </w:rPr>
        <w:t>适用招标投标法的政府采购工程建设项目，投标人按照本办法规定提供声明函内容不实的，属于弄虚作假骗取中标，依照《中华人民共和国招标投标法》等国家有关规定追究相应责任。</w:t>
      </w:r>
    </w:p>
    <w:p w14:paraId="2AC7390D">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第二十一条</w:t>
      </w:r>
      <w:r>
        <w:rPr>
          <w:rFonts w:hint="eastAsia" w:ascii="宋体" w:hAnsi="宋体" w:eastAsia="宋体" w:cs="宋体"/>
          <w:color w:val="333333"/>
          <w:sz w:val="24"/>
          <w:szCs w:val="24"/>
          <w:lang w:bidi="ar"/>
        </w:rPr>
        <w:t xml:space="preserve">  财政部门、中小企业主管部门及其工作人员在履行职责中违反本办法规定及存在其他滥用职权、玩忽职守、徇私舞弊等违法违纪行为的，依照《中华人民共和国政府采购法》、《中华人民共和国公务员法》、《中华人民共和国监察法》、《中华人民共和国政府采购法实施条例》等国家有关规定追究相应责任；涉嫌犯罪的，依法移送有关国家机关处理。</w:t>
      </w:r>
    </w:p>
    <w:p w14:paraId="45B02E65">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第二十二条</w:t>
      </w:r>
      <w:r>
        <w:rPr>
          <w:rFonts w:hint="eastAsia" w:ascii="宋体" w:hAnsi="宋体" w:eastAsia="宋体" w:cs="宋体"/>
          <w:color w:val="333333"/>
          <w:sz w:val="24"/>
          <w:szCs w:val="24"/>
          <w:lang w:bidi="ar"/>
        </w:rPr>
        <w:t xml:space="preserve">  对外援助项目、国家相关资格或者资质管理制度另有规定的项目，不适用本办法。</w:t>
      </w:r>
    </w:p>
    <w:p w14:paraId="1CC93B90">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第二十三条</w:t>
      </w:r>
      <w:r>
        <w:rPr>
          <w:rFonts w:hint="eastAsia" w:ascii="宋体" w:hAnsi="宋体" w:eastAsia="宋体" w:cs="宋体"/>
          <w:color w:val="333333"/>
          <w:sz w:val="24"/>
          <w:szCs w:val="24"/>
          <w:lang w:bidi="ar"/>
        </w:rPr>
        <w:t xml:space="preserve">  关于视同中小企业的其他主体的政府采购扶持政策，由财政部会同有关部门另行规定。</w:t>
      </w:r>
    </w:p>
    <w:p w14:paraId="5F7AB845">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第二十四条</w:t>
      </w:r>
      <w:r>
        <w:rPr>
          <w:rFonts w:hint="eastAsia" w:ascii="宋体" w:hAnsi="宋体" w:eastAsia="宋体" w:cs="宋体"/>
          <w:color w:val="333333"/>
          <w:sz w:val="24"/>
          <w:szCs w:val="24"/>
          <w:lang w:bidi="ar"/>
        </w:rPr>
        <w:t xml:space="preserve">  省级财政部门可以会同中小企业主管部门根据本办法的规定制定具体实施办法。</w:t>
      </w:r>
    </w:p>
    <w:p w14:paraId="63FE7B93">
      <w:pPr>
        <w:keepNext w:val="0"/>
        <w:keepLines w:val="0"/>
        <w:pageBreakBefore w:val="0"/>
        <w:widowControl/>
        <w:kinsoku/>
        <w:wordWrap/>
        <w:overflowPunct/>
        <w:topLinePunct w:val="0"/>
        <w:autoSpaceDE/>
        <w:autoSpaceDN/>
        <w:bidi w:val="0"/>
        <w:adjustRightInd/>
        <w:snapToGrid/>
        <w:spacing w:beforeAutospacing="0" w:afterAutospacing="0" w:line="360" w:lineRule="auto"/>
        <w:ind w:firstLine="482" w:firstLineChars="200"/>
        <w:textAlignment w:val="auto"/>
        <w:rPr>
          <w:rFonts w:hint="eastAsia" w:ascii="宋体" w:hAnsi="宋体" w:eastAsia="宋体" w:cs="宋体"/>
          <w:sz w:val="24"/>
          <w:szCs w:val="24"/>
        </w:rPr>
      </w:pPr>
      <w:r>
        <w:rPr>
          <w:rStyle w:val="47"/>
          <w:rFonts w:hint="eastAsia" w:ascii="宋体" w:hAnsi="宋体" w:eastAsia="宋体" w:cs="宋体"/>
          <w:bCs w:val="0"/>
          <w:color w:val="333333"/>
          <w:sz w:val="24"/>
          <w:szCs w:val="24"/>
          <w:lang w:bidi="ar"/>
        </w:rPr>
        <w:t>第二十五条</w:t>
      </w:r>
      <w:r>
        <w:rPr>
          <w:rFonts w:hint="eastAsia" w:ascii="宋体" w:hAnsi="宋体" w:eastAsia="宋体" w:cs="宋体"/>
          <w:color w:val="333333"/>
          <w:sz w:val="24"/>
          <w:szCs w:val="24"/>
          <w:lang w:bidi="ar"/>
        </w:rPr>
        <w:t xml:space="preserve">  本办法自 2021 年 1 月 1 日起施行。 财政部 工业和信息化部关于印发〈政府采购促进中小企业发展暂行办法〉的通知》（财库﹝2011﹞181 号）同时废止。</w:t>
      </w:r>
    </w:p>
    <w:p w14:paraId="389EF36D">
      <w:pPr>
        <w:spacing w:beforeAutospacing="1" w:afterAutospacing="1" w:line="288"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333333"/>
          <w:sz w:val="24"/>
          <w:szCs w:val="24"/>
          <w:lang w:bidi="ar"/>
        </w:rPr>
        <w:t> </w:t>
      </w:r>
    </w:p>
    <w:p w14:paraId="23DE4114">
      <w:pPr>
        <w:shd w:val="clear" w:color="auto" w:fill="FFFFFF"/>
        <w:spacing w:before="120" w:beforeLines="50" w:after="120" w:afterLines="50" w:line="400" w:lineRule="exact"/>
        <w:jc w:val="center"/>
        <w:rPr>
          <w:rFonts w:hint="eastAsia" w:asciiTheme="minorEastAsia" w:hAnsiTheme="minorEastAsia" w:eastAsiaTheme="minorEastAsia" w:cstheme="minorEastAsia"/>
          <w:b/>
          <w:bCs/>
          <w:sz w:val="30"/>
          <w:szCs w:val="30"/>
        </w:rPr>
      </w:pPr>
      <w:r>
        <w:rPr>
          <w:rFonts w:hint="eastAsia" w:asciiTheme="minorEastAsia" w:hAnsiTheme="minorEastAsia" w:eastAsiaTheme="minorEastAsia" w:cstheme="minorEastAsia"/>
          <w:b/>
          <w:bCs/>
          <w:sz w:val="21"/>
          <w:szCs w:val="21"/>
        </w:rPr>
        <w:br w:type="page"/>
      </w:r>
      <w:r>
        <w:rPr>
          <w:rFonts w:hint="eastAsia" w:asciiTheme="minorEastAsia" w:hAnsiTheme="minorEastAsia" w:eastAsiaTheme="minorEastAsia" w:cstheme="minorEastAsia"/>
          <w:b/>
          <w:bCs/>
          <w:sz w:val="30"/>
          <w:szCs w:val="30"/>
          <w:shd w:val="clear" w:color="auto" w:fill="FFFFFF"/>
          <w:lang w:bidi="ar"/>
        </w:rPr>
        <w:t>财政部关于进一步加大政府采购支持中小企业力度的通知</w:t>
      </w:r>
    </w:p>
    <w:p w14:paraId="4F61FD31">
      <w:pPr>
        <w:shd w:val="clear" w:color="auto" w:fill="FFFFFF"/>
        <w:spacing w:line="40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shd w:val="clear" w:color="auto" w:fill="FFFFFF"/>
          <w:lang w:bidi="ar"/>
        </w:rPr>
        <w:t>（财库〔2022〕19号）</w:t>
      </w:r>
    </w:p>
    <w:p w14:paraId="0359A6B6">
      <w:pPr>
        <w:pStyle w:val="16"/>
        <w:spacing w:after="0" w:line="340" w:lineRule="exact"/>
        <w:ind w:firstLine="48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sz w:val="24"/>
          <w:szCs w:val="24"/>
          <w:shd w:val="clear" w:color="auto" w:fill="FFFFFF"/>
          <w:lang w:bidi="ar"/>
        </w:rPr>
        <w:t> </w:t>
      </w:r>
      <w:r>
        <w:rPr>
          <w:rFonts w:hint="eastAsia" w:asciiTheme="minorEastAsia" w:hAnsiTheme="minorEastAsia" w:eastAsiaTheme="minorEastAsia" w:cstheme="minorEastAsia"/>
          <w:bCs/>
          <w:sz w:val="21"/>
          <w:szCs w:val="21"/>
        </w:rPr>
        <w:t>各中央预算单位，各省、自治区、直辖市、计划单列市财政厅（局），新疆生产建设兵团财政局：</w:t>
      </w:r>
    </w:p>
    <w:p w14:paraId="3520EF7B">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为贯彻落实《国务院关于印发扎实稳住经济一揽子政策措施的通知》（国发〔2022〕12号）有关要求，做好财政政策支持中小企业纾困解难工作，助力经济平稳健康发展，现就加大政府采购支持中小企业力度有关事项通知如下：</w:t>
      </w:r>
    </w:p>
    <w:p w14:paraId="44A93307">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一、严格落实支持中小企业政府采购政策。各地区、各部门要按照国务院的统一部署，认真落实《政府采购促进中小企业发展管理办法》（财库〔2020〕46号）的规定，规范资格条件设置，降低中小企业参与门槛，灵活采取项目整体预留、合理预留采购包、要求大企业与中小企业组成联合体、要求大企业向中小企业分包等形式，确保中小企业合同份额。要通过提高预付款比例、引入信用担保、支持中小企业开展合同融资、免费提供电子采购文件等方式，为中小企业参与采购活动提供便利。要严格按规定及时支付采购资金，不得收取没有法律法规依据的保证金，有效减轻中小企业资金压力。</w:t>
      </w:r>
    </w:p>
    <w:p w14:paraId="62DC798D">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二、调整对小微企业的价格评审优惠幅度。货物服务采购项目给予小微企业的价格扣除优惠，由财库〔2020〕46号文件规定的6%—10%提高至10%—20%。大中型企业与小微企业组成联合体或者大中型企业向小微企业分包的，评审优惠幅度由2%—3%提高至4%—6%。政府采购工程的价格评审优惠按照财库〔2020〕46号文件的规定执行。自本通知执行之日起发布采购公告或者发出采购邀请的货物服务采购项目，按照本通知规定的评审优惠幅度执行。</w:t>
      </w:r>
    </w:p>
    <w:p w14:paraId="0E23B9BC">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三、提高政府采购工程面向中小企业预留份额。400万元以下的工程采购项目适宜由中小企业提供的，采购人应当专门面向中小企业采购。超过400万元的工程采购项目中适宜由中小企业提供的，在坚持公开公正、公平竞争原则和统一质量标准的前提下，2022年下半年面向中小企业的预留份额由30%以上阶段性提高至40%以上。发展改革委会同相关工程招投标行政监督部门完善工程招投标领域落实政府采购支持中小企业政策相关措施。省级财政部门要积极协调发展改革、工业和信息化、住房和城乡建设、交通、水利、商务、铁路、民航等部门调整完善工程招投标领域有关标准文本、评标制度等规定和做法，并于2022年6月30日前将落实情况汇总报财政部。</w:t>
      </w:r>
    </w:p>
    <w:p w14:paraId="43BBC0AE">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四、认真做好组织实施。各地区、各部门应当加强组织领导，明确工作责任，细化执行要求，强化监督检查，确保国务院部署落实到位，对通知执行中出现的问题要及时向财政部报告。</w:t>
      </w:r>
    </w:p>
    <w:p w14:paraId="08012BED">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本通知自2022年7月1日起执行。</w:t>
      </w:r>
    </w:p>
    <w:p w14:paraId="737BFAED">
      <w:pPr>
        <w:pStyle w:val="16"/>
        <w:spacing w:after="0" w:line="340" w:lineRule="exact"/>
        <w:ind w:firstLine="420" w:firstLineChars="200"/>
        <w:rPr>
          <w:rFonts w:hint="eastAsia" w:asciiTheme="minorEastAsia" w:hAnsiTheme="minorEastAsia" w:eastAsiaTheme="minorEastAsia" w:cstheme="minorEastAsia"/>
          <w:bCs/>
          <w:sz w:val="21"/>
          <w:szCs w:val="21"/>
        </w:rPr>
      </w:pPr>
      <w:r>
        <w:rPr>
          <w:rFonts w:hint="eastAsia" w:asciiTheme="minorEastAsia" w:hAnsiTheme="minorEastAsia" w:eastAsiaTheme="minorEastAsia" w:cstheme="minorEastAsia"/>
          <w:bCs/>
          <w:sz w:val="21"/>
          <w:szCs w:val="21"/>
        </w:rPr>
        <w:t xml:space="preserve">                                                                        财政部</w:t>
      </w:r>
    </w:p>
    <w:p w14:paraId="38F32A84">
      <w:pPr>
        <w:spacing w:line="400" w:lineRule="exact"/>
        <w:jc w:val="right"/>
        <w:rPr>
          <w:rFonts w:hint="eastAsia" w:asciiTheme="minorEastAsia" w:hAnsiTheme="minorEastAsia" w:eastAsiaTheme="minorEastAsia" w:cstheme="minorEastAsia"/>
          <w:bCs/>
          <w:sz w:val="28"/>
          <w:szCs w:val="28"/>
          <w:shd w:val="clear" w:color="auto" w:fill="FFFFFF"/>
        </w:rPr>
      </w:pPr>
      <w:r>
        <w:rPr>
          <w:rFonts w:hint="eastAsia" w:asciiTheme="minorEastAsia" w:hAnsiTheme="minorEastAsia" w:eastAsiaTheme="minorEastAsia" w:cstheme="minorEastAsia"/>
          <w:bCs/>
          <w:sz w:val="21"/>
          <w:szCs w:val="21"/>
        </w:rPr>
        <w:t>2022年5月30日</w:t>
      </w:r>
      <w:r>
        <w:rPr>
          <w:rFonts w:hint="eastAsia" w:asciiTheme="minorEastAsia" w:hAnsiTheme="minorEastAsia" w:eastAsiaTheme="minorEastAsia" w:cstheme="minorEastAsia"/>
          <w:b/>
          <w:bCs/>
          <w:sz w:val="21"/>
          <w:szCs w:val="21"/>
        </w:rPr>
        <w:br w:type="page"/>
      </w:r>
      <w:r>
        <w:rPr>
          <w:rFonts w:hint="eastAsia" w:asciiTheme="minorEastAsia" w:hAnsiTheme="minorEastAsia" w:eastAsiaTheme="minorEastAsia" w:cstheme="minorEastAsia"/>
          <w:b/>
          <w:bCs/>
          <w:sz w:val="28"/>
          <w:szCs w:val="28"/>
          <w:shd w:val="clear" w:color="auto" w:fill="FFFFFF"/>
          <w:lang w:bidi="ar"/>
        </w:rPr>
        <w:t>关于印发《吉林省强化政府采购政策支持中小企业发展落实举措》的通知</w:t>
      </w:r>
    </w:p>
    <w:p w14:paraId="6FD046CA">
      <w:pPr>
        <w:pStyle w:val="38"/>
        <w:spacing w:before="120" w:beforeLines="50" w:after="120" w:afterLines="50" w:line="400" w:lineRule="exact"/>
        <w:jc w:val="center"/>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吉财采购〔2022〕478号 </w:t>
      </w:r>
    </w:p>
    <w:p w14:paraId="69EFD291">
      <w:pPr>
        <w:pStyle w:val="38"/>
        <w:spacing w:line="40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各省级主管预算单位，各市（州）、县（市、区）财政局，长白山管委会、长春新区、中韩（长春）国际合作示范区管委会财政局，各政府采购代理机构： </w:t>
      </w:r>
    </w:p>
    <w:p w14:paraId="42288686">
      <w:pPr>
        <w:pStyle w:val="38"/>
        <w:spacing w:line="400" w:lineRule="exact"/>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现将《吉林省强化政府采购政策支持中小企业发展落实举措》印发给你们，请遵照执行。 </w:t>
      </w:r>
    </w:p>
    <w:p w14:paraId="7E964279">
      <w:pPr>
        <w:pStyle w:val="38"/>
        <w:spacing w:line="400" w:lineRule="exact"/>
        <w:ind w:firstLine="480" w:firstLineChars="200"/>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附件：吉林省强化政府采购政策支持中小企业发展落实举措 </w:t>
      </w:r>
    </w:p>
    <w:p w14:paraId="51CED0A8">
      <w:pPr>
        <w:pStyle w:val="38"/>
        <w:spacing w:line="400" w:lineRule="exact"/>
        <w:ind w:firstLine="645"/>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吉林省财政厅 </w:t>
      </w:r>
    </w:p>
    <w:p w14:paraId="0EDB08CE">
      <w:pPr>
        <w:pStyle w:val="38"/>
        <w:spacing w:line="400" w:lineRule="exact"/>
        <w:ind w:firstLine="645"/>
        <w:jc w:val="righ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2022年6月6日 </w:t>
      </w:r>
    </w:p>
    <w:p w14:paraId="68C8DA2D">
      <w:pPr>
        <w:pStyle w:val="38"/>
        <w:spacing w:line="400" w:lineRule="exact"/>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附件： </w:t>
      </w:r>
    </w:p>
    <w:p w14:paraId="0604A546">
      <w:pPr>
        <w:pStyle w:val="38"/>
        <w:spacing w:line="400" w:lineRule="exact"/>
        <w:ind w:firstLine="645"/>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732A8071">
      <w:pPr>
        <w:pStyle w:val="38"/>
        <w:spacing w:line="400" w:lineRule="exact"/>
        <w:jc w:val="center"/>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吉林省强化政府采购政策支持中小企业发展落实举措 </w:t>
      </w:r>
    </w:p>
    <w:p w14:paraId="427D6CD7">
      <w:pPr>
        <w:pStyle w:val="38"/>
        <w:spacing w:line="400" w:lineRule="exact"/>
        <w:ind w:firstLine="645"/>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  </w:t>
      </w:r>
    </w:p>
    <w:p w14:paraId="361729BD">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为贯彻落实《国务院关于印发扎实稳住经济一揽子政策措施的通知》（国发〔2022〕12号）和省政府《稳定全省经济若干措施》要求，积极应对突发疫情对我省经济社会影响，做好财政政策支持中小企业纾困解难工作，助力全省经济平稳健康发展，按照财政部《关于进一步加大政府采购支持中小企业力度的通知》（财库〔2022〕19号）规定，提出如下落实措施： </w:t>
      </w:r>
    </w:p>
    <w:p w14:paraId="31447B13">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一、强化政策落实支持中小企业发展 </w:t>
      </w:r>
    </w:p>
    <w:p w14:paraId="6161977E">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各级预算单位要认真落实《政府采购促进中小企业发展管理办法》（财库〔2020〕46号，以下简称《办法》）的规定，加强采购需求管理，规范资格条件设置，降低中小企业参加政府采购活动门槛 。科学编制政府采购预算，提高中小企业预留份额。结合采购项目的实际情况，灵活采取项目整体预留、合理预留采购包、要求大企业与中小企业组成联合体或向中小企业分包等形式，确保中小企业合同份额。适用招标投标法的政府采购工程项目应严格落实政府采购支持中小企业政策。 </w:t>
      </w:r>
    </w:p>
    <w:p w14:paraId="3F745C8A">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二、提高政府采购项目价格评审优惠幅度 </w:t>
      </w:r>
    </w:p>
    <w:p w14:paraId="1E6F0003">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自2022年7月1日起发布采购公告或者发出采购邀请，未预留份额专门面向中小企业采购的货物、服务项目，给予小微企业的价格扣除优惠由《办法》规定的6%-10%提高至10%-20%；大中型企业与小微企业组成联合体或者大中型企业向小微企业分包的，评审优惠幅度由2%—3%提高至4%—6%。政府采购工程的价格评审优惠按照《办法》的规定执行。 </w:t>
      </w:r>
    </w:p>
    <w:p w14:paraId="3FA6429C">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三、提高政府采购工程项目预留份额比例 </w:t>
      </w:r>
    </w:p>
    <w:p w14:paraId="31499214">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400万元以下的工程采购项目适宜由中小企业提供的，采购人应当专门面向中小企业采购。达到或超过400万元的工程采购项目中适宜由中小企业提供的，在坚持公开、公正、公平竞争和统一质量标准的前提下，2022年下半年面向中小企业的预留份额由30%以上提高至40%以上。省财政厅将协调发改、工信、住建、交通、水利、商务等部门，按照国家相关工程招投标行政监督部门对工程招投标领域落实政府采购支持中小企业的政策要求，及时调整完善工程招投标领域有关标准文本、评标制度等，支持督促各预算单位严格落实政府采购政策。 </w:t>
      </w:r>
    </w:p>
    <w:p w14:paraId="235F24AF">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四、降低经营成本提高履约能力 </w:t>
      </w:r>
    </w:p>
    <w:p w14:paraId="03FD1211">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鼓励采购人、采购代理机构在政府采购活动中免收中小企业保证金或降低收取比例。对确需依法收取保证金的，应明确收取标准、缴纳方式和退还时限等要求，允许中小企业自主选择以支票、汇票、本票、保函等非现金形式缴纳或提交，降低经营成本。采购人、采购代理机构应对2022年5月前实施完成的政府采购项目投标（响应）或履约保证金进行核查清理，对符合法定或合同约定退还条件的应及时退还，切实减轻中小企业资金压力。采购人在编制采购文件时可结合项目实际，明确中小企业获得合同后可采取分期付款的方式，最大限度的确定首期预付款比例，并尽量缩短资金支付期限。 </w:t>
      </w:r>
    </w:p>
    <w:p w14:paraId="76E02AB0">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五、优化政府采购程序推进全流程电子化 </w:t>
      </w:r>
    </w:p>
    <w:p w14:paraId="2E89309E">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中小企业参加政府采购活动，对于出具《中小企业声明函》的，任何单位和个人不得另行要求提供《中小企业声明函》之外的中小企业身份证明文件。对于法人代表已经出具委托书的，不得要求法人代表亲自领购采购文件或者到场参加开标、谈判等。加快推进全省政府采购全流程电子化建设，实现在线发布采购公告、提供采购文件、提交投标（响应）文件，实行电子开标、电子评审，提升中小企业参与政府采购活动的便利度。 </w:t>
      </w:r>
    </w:p>
    <w:p w14:paraId="1F0E9309">
      <w:pPr>
        <w:pStyle w:val="38"/>
        <w:spacing w:line="400" w:lineRule="exact"/>
        <w:ind w:firstLine="645"/>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t xml:space="preserve">六、加强项目执行管理提升政府采购透明度 </w:t>
      </w:r>
    </w:p>
    <w:p w14:paraId="4C510473">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采购人、采购代理机构对投标（响应）文件的格式、形式要求应当简化明确，不得因非实质性的格式、形式问题限制和影响中小企业投标（响应）。实现电子化采购的，采购人、采购代理机构应当免费提供电子采购文件；暂未实现电子化采购的，鼓励采购人、采购代理机构向中小企业免费提供纸质采购文件。各级预算单位在公开政府采购意向时，必须标明是否专门面向中小企业采购，便于中小企业提前做好参与政府采购活动的各项准备工作。未按照规定进行政府采购意向公开的采购项目，原则上不得开展采购活动。 </w:t>
      </w:r>
    </w:p>
    <w:p w14:paraId="3E56B751">
      <w:pPr>
        <w:pStyle w:val="38"/>
        <w:spacing w:line="400" w:lineRule="exact"/>
        <w:ind w:firstLine="645"/>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各级主管预算单位要加强对本部门、本系统政府采购项目的统筹把握，明确工作责任，周密安排部署，严格落实预留采购份额和价格评审优惠措施支持中小企业发展。同时，按照六条措施要求，要制定具体工作方案，确保政策执行不走样、显成效。各级财政部门应加强组织领导，结合本地区实际情况明确政策执行要求，加强对采购单位政策执行情况的监督检查，在政策执行中好的经验办法和遇到的问题及时向省财政厅报告。</w:t>
      </w:r>
    </w:p>
    <w:p w14:paraId="540D1C2F">
      <w:pPr>
        <w:rPr>
          <w:rFonts w:hint="eastAsia" w:asciiTheme="minorEastAsia" w:hAnsiTheme="minorEastAsia" w:eastAsiaTheme="minorEastAsia" w:cstheme="minorEastAsia"/>
          <w:b/>
          <w:bCs/>
          <w:sz w:val="21"/>
          <w:szCs w:val="21"/>
        </w:rPr>
      </w:pPr>
      <w:r>
        <w:rPr>
          <w:rFonts w:hint="eastAsia" w:asciiTheme="minorEastAsia" w:hAnsiTheme="minorEastAsia" w:eastAsiaTheme="minorEastAsia" w:cstheme="minorEastAsia"/>
          <w:b/>
          <w:bCs/>
          <w:sz w:val="21"/>
          <w:szCs w:val="21"/>
        </w:rPr>
        <w:br w:type="page"/>
      </w:r>
    </w:p>
    <w:p w14:paraId="5BF9F953">
      <w:pPr>
        <w:spacing w:before="120" w:beforeLines="50" w:after="120" w:afterLines="50"/>
        <w:jc w:val="center"/>
        <w:textAlignment w:val="baseline"/>
        <w:rPr>
          <w:rFonts w:hint="eastAsia" w:asciiTheme="minorEastAsia" w:hAnsiTheme="minorEastAsia" w:eastAsiaTheme="minorEastAsia" w:cstheme="minorEastAsia"/>
          <w:b/>
          <w:sz w:val="32"/>
          <w:szCs w:val="32"/>
        </w:rPr>
      </w:pPr>
      <w:r>
        <w:rPr>
          <w:rFonts w:hint="eastAsia" w:asciiTheme="minorEastAsia" w:hAnsiTheme="minorEastAsia" w:eastAsiaTheme="minorEastAsia" w:cstheme="minorEastAsia"/>
          <w:b/>
          <w:sz w:val="32"/>
          <w:szCs w:val="32"/>
        </w:rPr>
        <w:t>财政部 司法部关于政府采购支持监狱企业发展有关问题的通知</w:t>
      </w:r>
    </w:p>
    <w:p w14:paraId="633075D5">
      <w:pPr>
        <w:pStyle w:val="3"/>
        <w:keepNext w:val="0"/>
        <w:keepLines w:val="0"/>
        <w:spacing w:before="120" w:beforeLines="50" w:after="120" w:afterLines="50" w:line="240" w:lineRule="auto"/>
        <w:jc w:val="center"/>
        <w:textAlignment w:val="baseline"/>
        <w:rPr>
          <w:rFonts w:hint="eastAsia" w:asciiTheme="minorEastAsia" w:hAnsiTheme="minorEastAsia" w:eastAsiaTheme="minorEastAsia" w:cstheme="minorEastAsia"/>
          <w:b w:val="0"/>
          <w:bCs/>
          <w:sz w:val="24"/>
          <w:szCs w:val="24"/>
        </w:rPr>
      </w:pPr>
      <w:bookmarkStart w:id="72" w:name="_Toc21391"/>
      <w:r>
        <w:rPr>
          <w:rFonts w:hint="eastAsia" w:asciiTheme="minorEastAsia" w:hAnsiTheme="minorEastAsia" w:eastAsiaTheme="minorEastAsia" w:cstheme="minorEastAsia"/>
          <w:b w:val="0"/>
          <w:bCs/>
          <w:sz w:val="24"/>
          <w:szCs w:val="24"/>
          <w:shd w:val="clear" w:color="auto" w:fill="FFFFFF"/>
        </w:rPr>
        <w:t>财库〔2014〕68号</w:t>
      </w:r>
      <w:bookmarkEnd w:id="72"/>
    </w:p>
    <w:p w14:paraId="569A232F">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党中央有关部门，国务院各部委、各直属机构，全国人大常委会办公厅，全国政协办公厅，高法院，高检院，有关人民团体，中央国家机关政府采购中心，中共中央直属机关采购中心，全国人大机关采购中心，各省、自治区、直辖市、计划单列市财政厅（局）、司法厅（局），新疆生产建设兵团财务局、司法局、监狱管理局：</w:t>
      </w:r>
    </w:p>
    <w:p w14:paraId="14909085">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　　政府采购支持监狱和戒毒企业（以下简称监狱企业）发展对稳定监狱企业生产，提高财政资金使用效益，为罪犯和戒毒人员提供长期可靠的劳动岗位，提高罪犯和戒毒人员的教育改造质量，减少重新违法犯罪，确保监狱、戒毒场所安全稳定，促进社会和谐稳定具有十分重要的意义。为进一步贯彻落实国务院《关于解决监狱企业困难的实施方案的通知》（国发[2003]7号）文件精神，发挥政府采购支持监狱企业发展的作用，现就有关事项通知如下：</w:t>
      </w:r>
    </w:p>
    <w:p w14:paraId="2E13C9C4">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　　一、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14:paraId="3DBDCAB8">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　　二、在政府采购活动中，监狱企业视同小型、微型企业，享受预留份额、评审中价格扣除等政府采购促进中小企业发展的政府采购政策。向监狱企业采购的金额，计入面向中小企业采购的统计数据。</w:t>
      </w:r>
    </w:p>
    <w:p w14:paraId="52526DFF">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　　三、各地区、各部门要积极通过预留采购份额支持监狱企业。有制服采购项目的部门，应加强对政府采购预算和计划编制工作的统筹，预留本部门制服采购项目预算总额的30%以上，专门面向监狱企业采购。省级以上政府部门组织的公务员考试、招生考试、等级考试、资格考试的试卷印刷项目原则上应当在符合有关资质的监狱企业范围内采购。各地在免费教科书政府采购工作中，应当根据符合教科书印制资质的监狱企业情况，提出由监狱企业印刷的比例要求。</w:t>
      </w:r>
    </w:p>
    <w:p w14:paraId="038588E8">
      <w:pPr>
        <w:pStyle w:val="38"/>
        <w:spacing w:line="288" w:lineRule="auto"/>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　　四、各地区可以结合本地区实际，对监狱企业生产的办公用品、家具用具、车辆维修和提供的保养服务、消防设备等，提出预留份额等政府采购支持措施，加大对监狱企业产品的采购力度。</w:t>
      </w:r>
    </w:p>
    <w:p w14:paraId="4F9CD8C8">
      <w:pPr>
        <w:pStyle w:val="38"/>
        <w:spacing w:line="288" w:lineRule="auto"/>
        <w:textAlignment w:val="baseline"/>
        <w:rPr>
          <w:rFonts w:hint="eastAsia" w:asciiTheme="minorEastAsia" w:hAnsiTheme="minorEastAsia" w:eastAsiaTheme="minorEastAsia" w:cstheme="minorEastAsia"/>
        </w:rPr>
      </w:pPr>
      <w:r>
        <w:rPr>
          <w:rFonts w:hint="eastAsia" w:asciiTheme="minorEastAsia" w:hAnsiTheme="minorEastAsia" w:eastAsiaTheme="minorEastAsia" w:cstheme="minorEastAsia"/>
          <w:shd w:val="clear" w:color="auto" w:fill="FFFFFF"/>
        </w:rPr>
        <w:t>　　五、各地区、各部门要高度重视，加强组织管理和监督，做好政府采购支持监狱企业发展的相关工作。有关部门要加强监管，确保面向监狱企业采购的工作依法依规进行。各监狱企业要不断提高监狱企业产品的质量和服务水平，为做好监狱企业产品政府采购工作提供有力保障。</w:t>
      </w:r>
    </w:p>
    <w:p w14:paraId="2BEFE2D1">
      <w:pPr>
        <w:pStyle w:val="38"/>
        <w:spacing w:line="288" w:lineRule="auto"/>
        <w:jc w:val="right"/>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中华人民共和国财政部</w:t>
      </w:r>
    </w:p>
    <w:p w14:paraId="3F257A64">
      <w:pPr>
        <w:pStyle w:val="38"/>
        <w:spacing w:line="288" w:lineRule="auto"/>
        <w:jc w:val="right"/>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中华人民共和国司法部</w:t>
      </w:r>
    </w:p>
    <w:p w14:paraId="583917A9">
      <w:pPr>
        <w:pStyle w:val="38"/>
        <w:spacing w:line="288" w:lineRule="auto"/>
        <w:jc w:val="right"/>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hd w:val="clear" w:color="auto" w:fill="FFFFFF"/>
        </w:rPr>
        <w:t>2014年6月10日</w:t>
      </w:r>
    </w:p>
    <w:p w14:paraId="56464942">
      <w:pPr>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br w:type="page"/>
      </w:r>
    </w:p>
    <w:p w14:paraId="6ED42CA0">
      <w:pPr>
        <w:spacing w:before="120" w:beforeLines="50" w:after="120" w:afterLines="50"/>
        <w:jc w:val="center"/>
        <w:textAlignment w:val="baseline"/>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关于促进残疾人就业政府采购政策的通知</w:t>
      </w:r>
    </w:p>
    <w:p w14:paraId="5D870F3C">
      <w:pPr>
        <w:pStyle w:val="38"/>
        <w:spacing w:before="48" w:beforeLines="20" w:after="48" w:afterLines="20" w:line="288" w:lineRule="auto"/>
        <w:jc w:val="center"/>
        <w:textAlignment w:val="baseline"/>
        <w:rPr>
          <w:rFonts w:hint="eastAsia" w:asciiTheme="minorEastAsia" w:hAnsiTheme="minorEastAsia" w:eastAsiaTheme="minorEastAsia" w:cstheme="minorEastAsia"/>
          <w:bCs/>
        </w:rPr>
      </w:pPr>
      <w:r>
        <w:rPr>
          <w:rStyle w:val="47"/>
          <w:rFonts w:hint="eastAsia" w:asciiTheme="minorEastAsia" w:hAnsiTheme="minorEastAsia" w:eastAsiaTheme="minorEastAsia" w:cstheme="minorEastAsia"/>
          <w:bCs w:val="0"/>
          <w:shd w:val="clear" w:color="auto" w:fill="FFFFFF"/>
        </w:rPr>
        <w:t>财库〔2017〕141号</w:t>
      </w:r>
    </w:p>
    <w:p w14:paraId="62E97065">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bookmarkStart w:id="73" w:name="toDeptId"/>
      <w:r>
        <w:rPr>
          <w:rFonts w:hint="eastAsia" w:asciiTheme="minorEastAsia" w:hAnsiTheme="minorEastAsia" w:eastAsiaTheme="minorEastAsia" w:cstheme="minorEastAsia"/>
          <w:sz w:val="22"/>
          <w:szCs w:val="22"/>
          <w:shd w:val="clear" w:color="auto" w:fill="FFFFFF"/>
        </w:rPr>
        <w:t>党中央有关部门，国务院各部委、各直属机构，全国人大常委会办公厅，全国政协办公厅，高法院，高检院，各民主党派中央，有关人民团体，各省、自治区、直辖市、计划单列市财政厅（局）、民政厅（局）、残疾人联合会，新疆生产建设兵团财务局、民政局、残疾人联合会</w:t>
      </w:r>
      <w:bookmarkEnd w:id="73"/>
      <w:r>
        <w:rPr>
          <w:rFonts w:hint="eastAsia" w:asciiTheme="minorEastAsia" w:hAnsiTheme="minorEastAsia" w:eastAsiaTheme="minorEastAsia" w:cstheme="minorEastAsia"/>
          <w:sz w:val="22"/>
          <w:szCs w:val="22"/>
          <w:shd w:val="clear" w:color="auto" w:fill="FFFFFF"/>
        </w:rPr>
        <w:t>：</w:t>
      </w:r>
    </w:p>
    <w:p w14:paraId="59F0C592">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为了发挥政府采购促进残疾人就业的作用，进一步保障残疾人权益，依照《政府采购法》、《残疾人保障法》等法律法规及相关规定，现就促进残疾人就业政府采购政策通知如下：</w:t>
      </w:r>
    </w:p>
    <w:p w14:paraId="010FF689">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一、享受政府采购支持政策的残疾人福利性单位应当同时满足以下条件：</w:t>
      </w:r>
    </w:p>
    <w:p w14:paraId="70CEDAFC">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（一）安置的残疾人占本单位在职职工人数的比例不低于25%（含25%），并且安置的残疾人人数不少于10人（含10人）；</w:t>
      </w:r>
    </w:p>
    <w:p w14:paraId="448611E6">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（二）依法与安置的每位残疾人签订了一年以上（含一年）的劳动合同或服务协议；</w:t>
      </w:r>
    </w:p>
    <w:p w14:paraId="5BFD268B">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（三）为安置的每位残疾人按月足额缴纳了基本养老保险、基本医疗保险、失业保险、工伤保险和生育保险等社会保险费；</w:t>
      </w:r>
    </w:p>
    <w:p w14:paraId="5422544F">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（四）通过银行等金融机构向安置的每位残疾人，按月支付了不低于单位所在区县适用的经省级人民政府批准的月最低工资标准的工资；</w:t>
      </w:r>
    </w:p>
    <w:p w14:paraId="706C0248">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（五）提供本单位制造的货物、承担的工程或者服务（以下简称产品），或者提供其他残疾人福利性单位制造的货物（不包括使用非残疾人福利性单位注册商标的货物）。</w:t>
      </w:r>
    </w:p>
    <w:p w14:paraId="203B2E73">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5DE1F085">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二、符合条件的残疾人福利性单位在参加政府采购活动时，应当提供本通知规定的《残疾人福利性单位声明函》（见附件），并对声明的真实性负责。任何单位或者个人在政府采购活动中均不得要求残疾人福利性单位提供其他证明声明函内容的材料。</w:t>
      </w:r>
    </w:p>
    <w:p w14:paraId="0790FA2C">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中标、成交投标人为残疾人福利性单位的，采购人或者其委托的采购代理机构应当随中标、成交结果同时公告其《残疾人福利性单位声明函》，接受社会监督。</w:t>
      </w:r>
    </w:p>
    <w:p w14:paraId="46850BE9">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投标人提供的《残疾人福利性单位声明函》与事实不符的，依照《政府采购法》第七十七条第一款的规定追究法律责任。</w:t>
      </w:r>
    </w:p>
    <w:p w14:paraId="67867E80">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三、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w:t>
      </w:r>
    </w:p>
    <w:p w14:paraId="6DF9E22E">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四、采购人采购公开招标数额标准以上的货物或者服务，因落实促进残疾人就业政策的需要，依法履行有关报批程序后，可采用公开招标以外的采购方式。</w:t>
      </w:r>
    </w:p>
    <w:p w14:paraId="195BE464">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五、对于满足要求的残疾人福利性单位产品，集中采购机构可直接纳入协议供货或者定点采购范围。各地区建设的政府采购电子卖场、电子商城、网上超市等应当设立残疾人福利性单位产品专栏。鼓励采购人优先选择残疾人福利性单位的产品。</w:t>
      </w:r>
    </w:p>
    <w:p w14:paraId="2E1E15DD">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六、省级财政部门可以结合本地区残疾人生产、经营的实际情况，细化政府采购支持措施。对符合国家有关部门规定条件的残疾人辅助性就业机构，可通过上述措施予以支持。各地制定的有关文件应当报财政部备案。</w:t>
      </w:r>
    </w:p>
    <w:p w14:paraId="1B28D3DB">
      <w:pPr>
        <w:pStyle w:val="38"/>
        <w:keepNext w:val="0"/>
        <w:keepLines w:val="0"/>
        <w:pageBreakBefore w:val="0"/>
        <w:widowControl/>
        <w:kinsoku/>
        <w:wordWrap/>
        <w:overflowPunct/>
        <w:topLinePunct w:val="0"/>
        <w:autoSpaceDE/>
        <w:autoSpaceDN/>
        <w:bidi w:val="0"/>
        <w:adjustRightInd/>
        <w:snapToGrid/>
        <w:spacing w:line="240" w:lineRule="auto"/>
        <w:jc w:val="both"/>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七、本通知自2017年10月1日起执行。</w:t>
      </w:r>
    </w:p>
    <w:p w14:paraId="50AE7228">
      <w:pPr>
        <w:pStyle w:val="38"/>
        <w:keepNext w:val="0"/>
        <w:keepLines w:val="0"/>
        <w:pageBreakBefore w:val="0"/>
        <w:widowControl/>
        <w:kinsoku/>
        <w:wordWrap/>
        <w:overflowPunct/>
        <w:topLinePunct w:val="0"/>
        <w:autoSpaceDE/>
        <w:autoSpaceDN/>
        <w:bidi w:val="0"/>
        <w:adjustRightInd/>
        <w:snapToGrid/>
        <w:spacing w:line="240" w:lineRule="auto"/>
        <w:jc w:val="right"/>
        <w:textAlignment w:val="baseline"/>
        <w:rPr>
          <w:rFonts w:hint="eastAsia" w:asciiTheme="minorEastAsia" w:hAnsiTheme="minorEastAsia" w:eastAsiaTheme="minorEastAsia" w:cstheme="minorEastAsia"/>
          <w:sz w:val="22"/>
          <w:szCs w:val="22"/>
        </w:rPr>
      </w:pPr>
      <w:r>
        <w:rPr>
          <w:rFonts w:hint="eastAsia" w:asciiTheme="minorEastAsia" w:hAnsiTheme="minorEastAsia" w:eastAsiaTheme="minorEastAsia" w:cstheme="minorEastAsia"/>
          <w:sz w:val="22"/>
          <w:szCs w:val="22"/>
          <w:shd w:val="clear" w:color="auto" w:fill="FFFFFF"/>
        </w:rPr>
        <w:t>　　财政部 民政部 中国残疾人联合会</w:t>
      </w:r>
    </w:p>
    <w:p w14:paraId="33C2E88E">
      <w:pPr>
        <w:pStyle w:val="38"/>
        <w:keepNext w:val="0"/>
        <w:keepLines w:val="0"/>
        <w:pageBreakBefore w:val="0"/>
        <w:widowControl/>
        <w:kinsoku/>
        <w:wordWrap/>
        <w:overflowPunct/>
        <w:topLinePunct w:val="0"/>
        <w:autoSpaceDE/>
        <w:autoSpaceDN/>
        <w:bidi w:val="0"/>
        <w:adjustRightInd/>
        <w:snapToGrid/>
        <w:spacing w:line="240" w:lineRule="auto"/>
        <w:jc w:val="right"/>
        <w:textAlignment w:val="baseline"/>
        <w:rPr>
          <w:rFonts w:hint="eastAsia" w:asciiTheme="minorEastAsia" w:hAnsiTheme="minorEastAsia" w:eastAsiaTheme="minorEastAsia" w:cstheme="minorEastAsia"/>
          <w:shd w:val="clear" w:color="auto" w:fill="FFFFFF"/>
        </w:rPr>
      </w:pPr>
      <w:r>
        <w:rPr>
          <w:rFonts w:hint="eastAsia" w:asciiTheme="minorEastAsia" w:hAnsiTheme="minorEastAsia" w:eastAsiaTheme="minorEastAsia" w:cstheme="minorEastAsia"/>
          <w:sz w:val="22"/>
          <w:szCs w:val="22"/>
          <w:shd w:val="clear" w:color="auto" w:fill="FFFFFF"/>
        </w:rPr>
        <w:t>　　2017年8月22日</w:t>
      </w:r>
    </w:p>
    <w:p w14:paraId="2168E8B4">
      <w:pPr>
        <w:pStyle w:val="38"/>
        <w:spacing w:line="340" w:lineRule="exact"/>
        <w:jc w:val="center"/>
        <w:textAlignment w:val="baseline"/>
        <w:rPr>
          <w:rFonts w:hint="eastAsia" w:asciiTheme="minorEastAsia" w:hAnsiTheme="minorEastAsia" w:eastAsiaTheme="minorEastAsia" w:cstheme="minorEastAsia"/>
          <w:sz w:val="21"/>
          <w:szCs w:val="21"/>
          <w:shd w:val="clear" w:color="auto" w:fill="FFFFFF"/>
        </w:rPr>
      </w:pPr>
    </w:p>
    <w:p w14:paraId="1909EAD8">
      <w:pPr>
        <w:pStyle w:val="38"/>
        <w:spacing w:line="340" w:lineRule="exact"/>
        <w:jc w:val="center"/>
        <w:textAlignment w:val="baseline"/>
        <w:rPr>
          <w:rFonts w:hint="eastAsia" w:asciiTheme="minorEastAsia" w:hAnsiTheme="minorEastAsia" w:eastAsiaTheme="minorEastAsia" w:cstheme="minorEastAsia"/>
          <w:sz w:val="21"/>
          <w:szCs w:val="21"/>
          <w:shd w:val="clear" w:color="auto" w:fill="FFFFFF"/>
        </w:rPr>
      </w:pPr>
      <w:r>
        <w:rPr>
          <w:rFonts w:hint="eastAsia" w:asciiTheme="minorEastAsia" w:hAnsiTheme="minorEastAsia" w:eastAsiaTheme="minorEastAsia" w:cstheme="minorEastAsia"/>
          <w:sz w:val="21"/>
          <w:szCs w:val="21"/>
          <w:shd w:val="clear" w:color="auto" w:fill="FFFFFF"/>
        </w:rPr>
        <w:br w:type="page"/>
      </w:r>
    </w:p>
    <w:p w14:paraId="6F19322E">
      <w:pPr>
        <w:spacing w:before="120" w:beforeLines="50" w:after="120" w:afterLines="50"/>
        <w:jc w:val="center"/>
        <w:textAlignment w:val="baseline"/>
        <w:rPr>
          <w:rFonts w:hint="eastAsia" w:asciiTheme="minorEastAsia" w:hAnsiTheme="minorEastAsia" w:eastAsiaTheme="minorEastAsia" w:cstheme="minorEastAsia"/>
          <w:b/>
          <w:sz w:val="36"/>
          <w:szCs w:val="36"/>
        </w:rPr>
      </w:pPr>
      <w:r>
        <w:rPr>
          <w:rFonts w:hint="eastAsia" w:asciiTheme="minorEastAsia" w:hAnsiTheme="minorEastAsia" w:eastAsiaTheme="minorEastAsia" w:cstheme="minorEastAsia"/>
          <w:b/>
          <w:sz w:val="36"/>
          <w:szCs w:val="36"/>
        </w:rPr>
        <w:t>《统计上大中小微型企业划分办法（2017）》修订说明</w:t>
      </w:r>
    </w:p>
    <w:p w14:paraId="57D0BC56">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一、修订背景</w:t>
      </w:r>
    </w:p>
    <w:p w14:paraId="187F1714">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目前执行的《统计上大中小微型企业划分办法》是2011年国家统计局根据工业和信息化部、国家统计局、国家发展改革委、财政部《关于印发中小企业划型标准规定的通知》（工信部联企业〔2011〕300号），同时依据《国民经济行业分类》（GB/T 4754—2011），制定并颁布的。</w:t>
      </w:r>
    </w:p>
    <w:p w14:paraId="4AB44413">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2017年6月30日，《国民经济行业分类》（GB/T 4754—2017）正式颁布。8月29日，国家统计局印发《关于执行新国民经济行业分类国家标准的通知》（国统字〔2017〕142号），规定从2017年统计年报和2018年定期统计报表起统一使用新分类标准。为此，我们对2011年印发的《统计上大中小微型企业划分办法》进行修订。</w:t>
      </w:r>
    </w:p>
    <w:p w14:paraId="08A320B4">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二、修订主要内容</w:t>
      </w:r>
    </w:p>
    <w:p w14:paraId="651FC18E">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本次修订是在2011年《统计上大中小微型企业划分办法》基础上进行的，修订延续原有的分类原则、方法和结构框架，在保持适用范围不变的情况下,依据标准由《国民经济行业分类》（GB/T 4754—2011）修改为《国民经济行业分类》（GB/T 4754—2017），并根据新旧国民经济行业的对应关系，进行了行业所包含类别的对应调整。</w:t>
      </w:r>
    </w:p>
    <w:p w14:paraId="385BFDB1">
      <w:pPr>
        <w:spacing w:line="288" w:lineRule="auto"/>
        <w:ind w:firstLine="480" w:firstLineChars="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将交通运输业中包括的“装卸搬运和运输代理业”修改为“多式联运和运输代理业、装卸搬运”。</w:t>
      </w:r>
    </w:p>
    <w:p w14:paraId="4AEAF242">
      <w:pPr>
        <w:spacing w:line="288" w:lineRule="auto"/>
        <w:ind w:firstLine="512" w:firstLineChars="200"/>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仓储业所包括的行业中类，根据《国民经济行业分类》</w:t>
      </w:r>
      <w:r>
        <w:rPr>
          <w:rFonts w:hint="eastAsia" w:asciiTheme="minorEastAsia" w:hAnsiTheme="minorEastAsia" w:eastAsiaTheme="minorEastAsia" w:cstheme="minorEastAsia"/>
          <w:sz w:val="24"/>
          <w:szCs w:val="24"/>
        </w:rPr>
        <w:t>（GB/T 4754—2017）</w:t>
      </w:r>
      <w:r>
        <w:rPr>
          <w:rFonts w:hint="eastAsia" w:asciiTheme="minorEastAsia" w:hAnsiTheme="minorEastAsia" w:eastAsiaTheme="minorEastAsia" w:cstheme="minorEastAsia"/>
          <w:spacing w:val="8"/>
          <w:sz w:val="24"/>
          <w:szCs w:val="24"/>
        </w:rPr>
        <w:t>调整为“通用仓储，低温仓储，危险品仓储，谷物、棉花等农产品仓储，中药材仓储和其他仓储业”。</w:t>
      </w:r>
    </w:p>
    <w:p w14:paraId="4AE62C0F">
      <w:pPr>
        <w:spacing w:line="288" w:lineRule="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附表                        统计上大中小微型企业划分标准</w:t>
      </w:r>
    </w:p>
    <w:tbl>
      <w:tblPr>
        <w:tblStyle w:val="4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02ACD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2113" w:type="dxa"/>
            <w:vAlign w:val="center"/>
          </w:tcPr>
          <w:p w14:paraId="2226167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行业名称</w:t>
            </w:r>
          </w:p>
        </w:tc>
        <w:tc>
          <w:tcPr>
            <w:tcW w:w="1369" w:type="dxa"/>
            <w:vAlign w:val="center"/>
          </w:tcPr>
          <w:p w14:paraId="6007EB4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指标名称</w:t>
            </w:r>
          </w:p>
        </w:tc>
        <w:tc>
          <w:tcPr>
            <w:tcW w:w="709" w:type="dxa"/>
            <w:vAlign w:val="center"/>
          </w:tcPr>
          <w:p w14:paraId="7ADECE1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计量</w:t>
            </w:r>
          </w:p>
          <w:p w14:paraId="25F8C32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单位</w:t>
            </w:r>
          </w:p>
        </w:tc>
        <w:tc>
          <w:tcPr>
            <w:tcW w:w="1125" w:type="dxa"/>
            <w:vAlign w:val="center"/>
          </w:tcPr>
          <w:p w14:paraId="5129480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大型</w:t>
            </w:r>
          </w:p>
        </w:tc>
        <w:tc>
          <w:tcPr>
            <w:tcW w:w="1701" w:type="dxa"/>
            <w:vAlign w:val="center"/>
          </w:tcPr>
          <w:p w14:paraId="2180F1D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中型</w:t>
            </w:r>
          </w:p>
        </w:tc>
        <w:tc>
          <w:tcPr>
            <w:tcW w:w="1426" w:type="dxa"/>
            <w:vAlign w:val="center"/>
          </w:tcPr>
          <w:p w14:paraId="2437DDF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小型</w:t>
            </w:r>
          </w:p>
        </w:tc>
        <w:tc>
          <w:tcPr>
            <w:tcW w:w="992" w:type="dxa"/>
            <w:vAlign w:val="center"/>
          </w:tcPr>
          <w:p w14:paraId="209F31B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微型</w:t>
            </w:r>
          </w:p>
        </w:tc>
      </w:tr>
      <w:tr w14:paraId="41F3E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2E47C4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农、林、牧、渔业</w:t>
            </w:r>
          </w:p>
        </w:tc>
        <w:tc>
          <w:tcPr>
            <w:tcW w:w="1369" w:type="dxa"/>
            <w:vAlign w:val="center"/>
          </w:tcPr>
          <w:p w14:paraId="48B5D91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4DFE51C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211DE97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Y≥20000</w:t>
            </w:r>
          </w:p>
        </w:tc>
        <w:tc>
          <w:tcPr>
            <w:tcW w:w="1701" w:type="dxa"/>
            <w:vAlign w:val="center"/>
          </w:tcPr>
          <w:p w14:paraId="442305E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500≤Y＜20000</w:t>
            </w:r>
          </w:p>
        </w:tc>
        <w:tc>
          <w:tcPr>
            <w:tcW w:w="1426" w:type="dxa"/>
            <w:vAlign w:val="center"/>
          </w:tcPr>
          <w:p w14:paraId="573A65C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50≤Y＜500</w:t>
            </w:r>
          </w:p>
        </w:tc>
        <w:tc>
          <w:tcPr>
            <w:tcW w:w="992" w:type="dxa"/>
            <w:vAlign w:val="center"/>
          </w:tcPr>
          <w:p w14:paraId="26DD63B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Y＜50</w:t>
            </w:r>
          </w:p>
        </w:tc>
      </w:tr>
      <w:tr w14:paraId="1E197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8669C4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工业 *</w:t>
            </w:r>
          </w:p>
        </w:tc>
        <w:tc>
          <w:tcPr>
            <w:tcW w:w="1369" w:type="dxa"/>
            <w:vAlign w:val="center"/>
          </w:tcPr>
          <w:p w14:paraId="0EBC2DB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7088FCB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5175069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X≥1000</w:t>
            </w:r>
          </w:p>
        </w:tc>
        <w:tc>
          <w:tcPr>
            <w:tcW w:w="1701" w:type="dxa"/>
            <w:vAlign w:val="center"/>
          </w:tcPr>
          <w:p w14:paraId="7470394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300≤X＜1000</w:t>
            </w:r>
          </w:p>
        </w:tc>
        <w:tc>
          <w:tcPr>
            <w:tcW w:w="1426" w:type="dxa"/>
            <w:vAlign w:val="center"/>
          </w:tcPr>
          <w:p w14:paraId="6E4BFC2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20≤X＜300</w:t>
            </w:r>
          </w:p>
        </w:tc>
        <w:tc>
          <w:tcPr>
            <w:tcW w:w="992" w:type="dxa"/>
            <w:vAlign w:val="center"/>
          </w:tcPr>
          <w:p w14:paraId="3AE9773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w:t>
            </w:r>
          </w:p>
        </w:tc>
      </w:tr>
      <w:tr w14:paraId="5C03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D7A877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530DDAE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34B03B4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6CDEFBC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Y≥40000</w:t>
            </w:r>
          </w:p>
        </w:tc>
        <w:tc>
          <w:tcPr>
            <w:tcW w:w="1701" w:type="dxa"/>
            <w:vAlign w:val="center"/>
          </w:tcPr>
          <w:p w14:paraId="7705BB5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2000≤Y＜40000</w:t>
            </w:r>
          </w:p>
        </w:tc>
        <w:tc>
          <w:tcPr>
            <w:tcW w:w="1426" w:type="dxa"/>
            <w:vAlign w:val="center"/>
          </w:tcPr>
          <w:p w14:paraId="7E99456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300≤Y＜2000</w:t>
            </w:r>
          </w:p>
        </w:tc>
        <w:tc>
          <w:tcPr>
            <w:tcW w:w="992" w:type="dxa"/>
            <w:vAlign w:val="center"/>
          </w:tcPr>
          <w:p w14:paraId="3C5AE5A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Y＜300</w:t>
            </w:r>
          </w:p>
        </w:tc>
      </w:tr>
      <w:tr w14:paraId="1A3C8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DCC600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建筑业</w:t>
            </w:r>
          </w:p>
        </w:tc>
        <w:tc>
          <w:tcPr>
            <w:tcW w:w="1369" w:type="dxa"/>
            <w:vAlign w:val="center"/>
          </w:tcPr>
          <w:p w14:paraId="1A3DB18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1AF914B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2E4D599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Y≥80000</w:t>
            </w:r>
          </w:p>
        </w:tc>
        <w:tc>
          <w:tcPr>
            <w:tcW w:w="1701" w:type="dxa"/>
            <w:vAlign w:val="center"/>
          </w:tcPr>
          <w:p w14:paraId="567FCB1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6000≤Y＜80000</w:t>
            </w:r>
          </w:p>
        </w:tc>
        <w:tc>
          <w:tcPr>
            <w:tcW w:w="1426" w:type="dxa"/>
            <w:vAlign w:val="center"/>
          </w:tcPr>
          <w:p w14:paraId="3642E10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300≤Y＜6000</w:t>
            </w:r>
          </w:p>
        </w:tc>
        <w:tc>
          <w:tcPr>
            <w:tcW w:w="992" w:type="dxa"/>
            <w:vAlign w:val="center"/>
          </w:tcPr>
          <w:p w14:paraId="04CC44A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Y＜300</w:t>
            </w:r>
          </w:p>
        </w:tc>
      </w:tr>
      <w:tr w14:paraId="5EA8F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F66FBE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16194B9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资产总额(Z)</w:t>
            </w:r>
          </w:p>
        </w:tc>
        <w:tc>
          <w:tcPr>
            <w:tcW w:w="709" w:type="dxa"/>
            <w:vAlign w:val="center"/>
          </w:tcPr>
          <w:p w14:paraId="5ACFB56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1505906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Z≥80000</w:t>
            </w:r>
          </w:p>
        </w:tc>
        <w:tc>
          <w:tcPr>
            <w:tcW w:w="1701" w:type="dxa"/>
            <w:vAlign w:val="center"/>
          </w:tcPr>
          <w:p w14:paraId="1BE6B7B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5000≤Z＜80000</w:t>
            </w:r>
          </w:p>
        </w:tc>
        <w:tc>
          <w:tcPr>
            <w:tcW w:w="1426" w:type="dxa"/>
            <w:vAlign w:val="center"/>
          </w:tcPr>
          <w:p w14:paraId="505EED9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300≤Z＜5000</w:t>
            </w:r>
          </w:p>
        </w:tc>
        <w:tc>
          <w:tcPr>
            <w:tcW w:w="992" w:type="dxa"/>
            <w:vAlign w:val="center"/>
          </w:tcPr>
          <w:p w14:paraId="14DBB15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Z＜300</w:t>
            </w:r>
          </w:p>
        </w:tc>
      </w:tr>
      <w:tr w14:paraId="69D14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DBB79A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批发业</w:t>
            </w:r>
          </w:p>
        </w:tc>
        <w:tc>
          <w:tcPr>
            <w:tcW w:w="1369" w:type="dxa"/>
            <w:vAlign w:val="center"/>
          </w:tcPr>
          <w:p w14:paraId="45A56E2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2DCC365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7274378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X≥200</w:t>
            </w:r>
          </w:p>
        </w:tc>
        <w:tc>
          <w:tcPr>
            <w:tcW w:w="1701" w:type="dxa"/>
            <w:vAlign w:val="center"/>
          </w:tcPr>
          <w:p w14:paraId="5DCBD02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20≤X＜200</w:t>
            </w:r>
          </w:p>
        </w:tc>
        <w:tc>
          <w:tcPr>
            <w:tcW w:w="1426" w:type="dxa"/>
            <w:vAlign w:val="center"/>
          </w:tcPr>
          <w:p w14:paraId="5194408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5≤X＜20</w:t>
            </w:r>
          </w:p>
        </w:tc>
        <w:tc>
          <w:tcPr>
            <w:tcW w:w="992" w:type="dxa"/>
            <w:vAlign w:val="center"/>
          </w:tcPr>
          <w:p w14:paraId="7618060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X＜5</w:t>
            </w:r>
          </w:p>
        </w:tc>
      </w:tr>
      <w:tr w14:paraId="57FEA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1B9F2D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40F6CDC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44BEFA0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5095AC4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Y≥40000</w:t>
            </w:r>
          </w:p>
        </w:tc>
        <w:tc>
          <w:tcPr>
            <w:tcW w:w="1701" w:type="dxa"/>
            <w:vAlign w:val="center"/>
          </w:tcPr>
          <w:p w14:paraId="6676323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5000≤Y＜40000</w:t>
            </w:r>
          </w:p>
        </w:tc>
        <w:tc>
          <w:tcPr>
            <w:tcW w:w="1426" w:type="dxa"/>
            <w:vAlign w:val="center"/>
          </w:tcPr>
          <w:p w14:paraId="0E5F0EA4">
            <w:pPr>
              <w:keepNext w:val="0"/>
              <w:keepLines w:val="0"/>
              <w:widowControl/>
              <w:suppressLineNumbers w:val="0"/>
              <w:spacing w:before="0" w:beforeAutospacing="0" w:after="0" w:afterAutospacing="0" w:line="288" w:lineRule="auto"/>
              <w:ind w:left="-1" w:leftChars="-1" w:right="0" w:hanging="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1000≤Y＜5000</w:t>
            </w:r>
          </w:p>
        </w:tc>
        <w:tc>
          <w:tcPr>
            <w:tcW w:w="992" w:type="dxa"/>
            <w:vAlign w:val="center"/>
          </w:tcPr>
          <w:p w14:paraId="3FF0325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Y＜1000</w:t>
            </w:r>
          </w:p>
        </w:tc>
      </w:tr>
      <w:tr w14:paraId="5F618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FA7628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零售业</w:t>
            </w:r>
          </w:p>
        </w:tc>
        <w:tc>
          <w:tcPr>
            <w:tcW w:w="1369" w:type="dxa"/>
            <w:vAlign w:val="center"/>
          </w:tcPr>
          <w:p w14:paraId="16C8750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55D1B6D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49F72AC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14E5D0D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50≤X＜300</w:t>
            </w:r>
          </w:p>
        </w:tc>
        <w:tc>
          <w:tcPr>
            <w:tcW w:w="1426" w:type="dxa"/>
            <w:vAlign w:val="center"/>
          </w:tcPr>
          <w:p w14:paraId="18D36F36">
            <w:pPr>
              <w:keepNext w:val="0"/>
              <w:keepLines w:val="0"/>
              <w:widowControl/>
              <w:suppressLineNumbers w:val="0"/>
              <w:spacing w:before="0" w:beforeAutospacing="0" w:after="0" w:afterAutospacing="0" w:line="288" w:lineRule="auto"/>
              <w:ind w:left="-1" w:leftChars="-1" w:right="0" w:hanging="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10≤X＜50 </w:t>
            </w:r>
          </w:p>
        </w:tc>
        <w:tc>
          <w:tcPr>
            <w:tcW w:w="992" w:type="dxa"/>
            <w:vAlign w:val="center"/>
          </w:tcPr>
          <w:p w14:paraId="0E4FF71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420D0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CFA0F1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5212BAD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4D0CC05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5F83544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Y≥20000</w:t>
            </w:r>
          </w:p>
        </w:tc>
        <w:tc>
          <w:tcPr>
            <w:tcW w:w="1701" w:type="dxa"/>
            <w:vAlign w:val="center"/>
          </w:tcPr>
          <w:p w14:paraId="133F8DC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500≤Y＜20000</w:t>
            </w:r>
          </w:p>
        </w:tc>
        <w:tc>
          <w:tcPr>
            <w:tcW w:w="1426" w:type="dxa"/>
            <w:vAlign w:val="center"/>
          </w:tcPr>
          <w:p w14:paraId="272DD535">
            <w:pPr>
              <w:keepNext w:val="0"/>
              <w:keepLines w:val="0"/>
              <w:widowControl/>
              <w:suppressLineNumbers w:val="0"/>
              <w:spacing w:before="0" w:beforeAutospacing="0" w:after="0" w:afterAutospacing="0" w:line="288" w:lineRule="auto"/>
              <w:ind w:left="-1" w:leftChars="-1" w:right="0" w:hanging="1"/>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100≤Y＜500 </w:t>
            </w:r>
          </w:p>
        </w:tc>
        <w:tc>
          <w:tcPr>
            <w:tcW w:w="992" w:type="dxa"/>
            <w:vAlign w:val="center"/>
          </w:tcPr>
          <w:p w14:paraId="4A22A9C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216FC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A205D4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交通运输业 *</w:t>
            </w:r>
          </w:p>
        </w:tc>
        <w:tc>
          <w:tcPr>
            <w:tcW w:w="1369" w:type="dxa"/>
            <w:vAlign w:val="center"/>
          </w:tcPr>
          <w:p w14:paraId="0E91C61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4603267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084FE3C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X≥1000</w:t>
            </w:r>
          </w:p>
        </w:tc>
        <w:tc>
          <w:tcPr>
            <w:tcW w:w="1701" w:type="dxa"/>
            <w:vAlign w:val="center"/>
          </w:tcPr>
          <w:p w14:paraId="363329D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300≤X＜1000</w:t>
            </w:r>
          </w:p>
        </w:tc>
        <w:tc>
          <w:tcPr>
            <w:tcW w:w="1426" w:type="dxa"/>
            <w:vAlign w:val="center"/>
          </w:tcPr>
          <w:p w14:paraId="4D8D947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20≤X＜300</w:t>
            </w:r>
          </w:p>
        </w:tc>
        <w:tc>
          <w:tcPr>
            <w:tcW w:w="992" w:type="dxa"/>
            <w:vAlign w:val="center"/>
          </w:tcPr>
          <w:p w14:paraId="088A15D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w:t>
            </w:r>
          </w:p>
        </w:tc>
      </w:tr>
      <w:tr w14:paraId="359ED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FBE06F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7B83696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503607D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6EB6BAB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Y≥30000</w:t>
            </w:r>
          </w:p>
        </w:tc>
        <w:tc>
          <w:tcPr>
            <w:tcW w:w="1701" w:type="dxa"/>
            <w:vAlign w:val="center"/>
          </w:tcPr>
          <w:p w14:paraId="0955070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3000≤Y＜30000</w:t>
            </w:r>
          </w:p>
        </w:tc>
        <w:tc>
          <w:tcPr>
            <w:tcW w:w="1426" w:type="dxa"/>
            <w:vAlign w:val="center"/>
          </w:tcPr>
          <w:p w14:paraId="2D766AD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200≤Y＜3000</w:t>
            </w:r>
          </w:p>
        </w:tc>
        <w:tc>
          <w:tcPr>
            <w:tcW w:w="992" w:type="dxa"/>
            <w:vAlign w:val="center"/>
          </w:tcPr>
          <w:p w14:paraId="58D4A61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Y＜200</w:t>
            </w:r>
          </w:p>
        </w:tc>
      </w:tr>
      <w:tr w14:paraId="033EF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E840B2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仓储业*</w:t>
            </w:r>
          </w:p>
        </w:tc>
        <w:tc>
          <w:tcPr>
            <w:tcW w:w="1369" w:type="dxa"/>
            <w:vAlign w:val="center"/>
          </w:tcPr>
          <w:p w14:paraId="5212B03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6410A4A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5F5C434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X≥200</w:t>
            </w:r>
          </w:p>
        </w:tc>
        <w:tc>
          <w:tcPr>
            <w:tcW w:w="1701" w:type="dxa"/>
            <w:vAlign w:val="center"/>
          </w:tcPr>
          <w:p w14:paraId="115E271E">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100≤X＜200</w:t>
            </w:r>
          </w:p>
        </w:tc>
        <w:tc>
          <w:tcPr>
            <w:tcW w:w="1426" w:type="dxa"/>
            <w:vAlign w:val="center"/>
          </w:tcPr>
          <w:p w14:paraId="2C88FED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20≤X＜100</w:t>
            </w:r>
          </w:p>
        </w:tc>
        <w:tc>
          <w:tcPr>
            <w:tcW w:w="992" w:type="dxa"/>
            <w:vAlign w:val="center"/>
          </w:tcPr>
          <w:p w14:paraId="088BB84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w:t>
            </w:r>
          </w:p>
        </w:tc>
      </w:tr>
      <w:tr w14:paraId="7EC62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7BCF04A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6805BA0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09F929F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08EC2A1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Y≥30000</w:t>
            </w:r>
          </w:p>
        </w:tc>
        <w:tc>
          <w:tcPr>
            <w:tcW w:w="1701" w:type="dxa"/>
            <w:vAlign w:val="center"/>
          </w:tcPr>
          <w:p w14:paraId="7641681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1000≤Y＜30000</w:t>
            </w:r>
          </w:p>
        </w:tc>
        <w:tc>
          <w:tcPr>
            <w:tcW w:w="1426" w:type="dxa"/>
            <w:vAlign w:val="center"/>
          </w:tcPr>
          <w:p w14:paraId="0349782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100≤Y＜1000</w:t>
            </w:r>
          </w:p>
        </w:tc>
        <w:tc>
          <w:tcPr>
            <w:tcW w:w="992" w:type="dxa"/>
            <w:vAlign w:val="center"/>
          </w:tcPr>
          <w:p w14:paraId="5C62528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3B0D9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39E9345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邮政业</w:t>
            </w:r>
          </w:p>
        </w:tc>
        <w:tc>
          <w:tcPr>
            <w:tcW w:w="1369" w:type="dxa"/>
            <w:vAlign w:val="center"/>
          </w:tcPr>
          <w:p w14:paraId="2419B67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39CC4A2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3A57E40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X≥1000</w:t>
            </w:r>
          </w:p>
        </w:tc>
        <w:tc>
          <w:tcPr>
            <w:tcW w:w="1701" w:type="dxa"/>
            <w:vAlign w:val="center"/>
          </w:tcPr>
          <w:p w14:paraId="7E16EBC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300≤X＜1000</w:t>
            </w:r>
          </w:p>
        </w:tc>
        <w:tc>
          <w:tcPr>
            <w:tcW w:w="1426" w:type="dxa"/>
            <w:vAlign w:val="center"/>
          </w:tcPr>
          <w:p w14:paraId="06C6599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20≤X＜300</w:t>
            </w:r>
          </w:p>
        </w:tc>
        <w:tc>
          <w:tcPr>
            <w:tcW w:w="992" w:type="dxa"/>
            <w:vAlign w:val="center"/>
          </w:tcPr>
          <w:p w14:paraId="5A802A7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w:t>
            </w:r>
          </w:p>
        </w:tc>
      </w:tr>
      <w:tr w14:paraId="0824F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C20819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67449F1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50A95D6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1566D52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Y≥30000</w:t>
            </w:r>
          </w:p>
        </w:tc>
        <w:tc>
          <w:tcPr>
            <w:tcW w:w="1701" w:type="dxa"/>
            <w:vAlign w:val="center"/>
          </w:tcPr>
          <w:p w14:paraId="2789FB5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2000≤Y＜30000</w:t>
            </w:r>
          </w:p>
        </w:tc>
        <w:tc>
          <w:tcPr>
            <w:tcW w:w="1426" w:type="dxa"/>
            <w:vAlign w:val="center"/>
          </w:tcPr>
          <w:p w14:paraId="7D13394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100≤Y＜2000</w:t>
            </w:r>
          </w:p>
        </w:tc>
        <w:tc>
          <w:tcPr>
            <w:tcW w:w="992" w:type="dxa"/>
            <w:vAlign w:val="center"/>
          </w:tcPr>
          <w:p w14:paraId="43B933D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520F5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91D00D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住宿业</w:t>
            </w:r>
          </w:p>
        </w:tc>
        <w:tc>
          <w:tcPr>
            <w:tcW w:w="1369" w:type="dxa"/>
            <w:vAlign w:val="center"/>
          </w:tcPr>
          <w:p w14:paraId="626C02F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5EBF198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44FEC5B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2055B1DA">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1426" w:type="dxa"/>
            <w:vAlign w:val="center"/>
          </w:tcPr>
          <w:p w14:paraId="7855BFB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4EECCE6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75B0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C5E2D9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0F223CA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34A1D11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310557C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Y≥10000</w:t>
            </w:r>
          </w:p>
        </w:tc>
        <w:tc>
          <w:tcPr>
            <w:tcW w:w="1701" w:type="dxa"/>
            <w:vAlign w:val="center"/>
          </w:tcPr>
          <w:p w14:paraId="70D4B4C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2000≤Y＜10000</w:t>
            </w:r>
          </w:p>
        </w:tc>
        <w:tc>
          <w:tcPr>
            <w:tcW w:w="1426" w:type="dxa"/>
            <w:vAlign w:val="center"/>
          </w:tcPr>
          <w:p w14:paraId="4F46407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100≤Y＜2000</w:t>
            </w:r>
          </w:p>
        </w:tc>
        <w:tc>
          <w:tcPr>
            <w:tcW w:w="992" w:type="dxa"/>
            <w:vAlign w:val="center"/>
          </w:tcPr>
          <w:p w14:paraId="7163048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2739F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EEB2F6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餐饮业</w:t>
            </w:r>
          </w:p>
        </w:tc>
        <w:tc>
          <w:tcPr>
            <w:tcW w:w="1369" w:type="dxa"/>
            <w:vAlign w:val="center"/>
          </w:tcPr>
          <w:p w14:paraId="635A889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3DF330B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70713B7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25E80102">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1426" w:type="dxa"/>
            <w:vAlign w:val="center"/>
          </w:tcPr>
          <w:p w14:paraId="5639655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4756B61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092F4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5A03B2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6B51690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782FE0B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1720C73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Y≥10000</w:t>
            </w:r>
          </w:p>
        </w:tc>
        <w:tc>
          <w:tcPr>
            <w:tcW w:w="1701" w:type="dxa"/>
            <w:vAlign w:val="center"/>
          </w:tcPr>
          <w:p w14:paraId="2094CE1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2000≤Y＜10000</w:t>
            </w:r>
          </w:p>
        </w:tc>
        <w:tc>
          <w:tcPr>
            <w:tcW w:w="1426" w:type="dxa"/>
            <w:vAlign w:val="center"/>
          </w:tcPr>
          <w:p w14:paraId="11E67E6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100≤Y＜2000</w:t>
            </w:r>
          </w:p>
        </w:tc>
        <w:tc>
          <w:tcPr>
            <w:tcW w:w="992" w:type="dxa"/>
            <w:vAlign w:val="center"/>
          </w:tcPr>
          <w:p w14:paraId="66AB511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1A06F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87BC7A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信息传输业*</w:t>
            </w:r>
          </w:p>
        </w:tc>
        <w:tc>
          <w:tcPr>
            <w:tcW w:w="1369" w:type="dxa"/>
            <w:vAlign w:val="center"/>
          </w:tcPr>
          <w:p w14:paraId="15861F8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46A850B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0A70CCD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X≥2000</w:t>
            </w:r>
          </w:p>
        </w:tc>
        <w:tc>
          <w:tcPr>
            <w:tcW w:w="1701" w:type="dxa"/>
            <w:vAlign w:val="center"/>
          </w:tcPr>
          <w:p w14:paraId="32294C6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100≤X＜2000</w:t>
            </w:r>
          </w:p>
        </w:tc>
        <w:tc>
          <w:tcPr>
            <w:tcW w:w="1426" w:type="dxa"/>
            <w:vAlign w:val="center"/>
          </w:tcPr>
          <w:p w14:paraId="3979B23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0933C9C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5FEE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8A1676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100B7F9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7BD3CBD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589CF44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Y≥100000</w:t>
            </w:r>
          </w:p>
        </w:tc>
        <w:tc>
          <w:tcPr>
            <w:tcW w:w="1701" w:type="dxa"/>
            <w:vAlign w:val="center"/>
          </w:tcPr>
          <w:p w14:paraId="7B38152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1000≤Y＜100000</w:t>
            </w:r>
          </w:p>
        </w:tc>
        <w:tc>
          <w:tcPr>
            <w:tcW w:w="1426" w:type="dxa"/>
            <w:vAlign w:val="center"/>
          </w:tcPr>
          <w:p w14:paraId="684F7FE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100≤Y＜1000</w:t>
            </w:r>
          </w:p>
        </w:tc>
        <w:tc>
          <w:tcPr>
            <w:tcW w:w="992" w:type="dxa"/>
            <w:vAlign w:val="center"/>
          </w:tcPr>
          <w:p w14:paraId="0876776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2A513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137F1A1C">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pacing w:val="-12"/>
                <w:sz w:val="24"/>
                <w:szCs w:val="24"/>
              </w:rPr>
            </w:pPr>
            <w:r>
              <w:rPr>
                <w:rFonts w:hint="eastAsia" w:asciiTheme="minorEastAsia" w:hAnsiTheme="minorEastAsia" w:eastAsiaTheme="minorEastAsia" w:cstheme="minorEastAsia"/>
                <w:b/>
                <w:spacing w:val="-12"/>
                <w:sz w:val="24"/>
                <w:szCs w:val="24"/>
              </w:rPr>
              <w:t>软件和信息技术服</w:t>
            </w:r>
            <w:r>
              <w:rPr>
                <w:rFonts w:hint="eastAsia" w:asciiTheme="minorEastAsia" w:hAnsiTheme="minorEastAsia" w:eastAsiaTheme="minorEastAsia" w:cstheme="minorEastAsia"/>
                <w:b/>
                <w:sz w:val="24"/>
                <w:szCs w:val="24"/>
              </w:rPr>
              <w:t>务业</w:t>
            </w:r>
          </w:p>
        </w:tc>
        <w:tc>
          <w:tcPr>
            <w:tcW w:w="1369" w:type="dxa"/>
            <w:vAlign w:val="center"/>
          </w:tcPr>
          <w:p w14:paraId="5714699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36BA365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3C87D1C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4161737A">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1426" w:type="dxa"/>
            <w:vAlign w:val="center"/>
          </w:tcPr>
          <w:p w14:paraId="040B781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2EE4A3F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5875F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D34628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pacing w:val="-12"/>
                <w:sz w:val="24"/>
                <w:szCs w:val="24"/>
              </w:rPr>
            </w:pPr>
          </w:p>
        </w:tc>
        <w:tc>
          <w:tcPr>
            <w:tcW w:w="1369" w:type="dxa"/>
            <w:vAlign w:val="center"/>
          </w:tcPr>
          <w:p w14:paraId="79950EF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316D110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14A6398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Y≥10000</w:t>
            </w:r>
          </w:p>
        </w:tc>
        <w:tc>
          <w:tcPr>
            <w:tcW w:w="1701" w:type="dxa"/>
            <w:vAlign w:val="center"/>
          </w:tcPr>
          <w:p w14:paraId="2DC1A79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1000≤Y＜10000</w:t>
            </w:r>
          </w:p>
        </w:tc>
        <w:tc>
          <w:tcPr>
            <w:tcW w:w="1426" w:type="dxa"/>
            <w:vAlign w:val="center"/>
          </w:tcPr>
          <w:p w14:paraId="3FB00E4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50≤Y＜1000</w:t>
            </w:r>
          </w:p>
        </w:tc>
        <w:tc>
          <w:tcPr>
            <w:tcW w:w="992" w:type="dxa"/>
            <w:vAlign w:val="center"/>
          </w:tcPr>
          <w:p w14:paraId="49D3A7E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Y＜50</w:t>
            </w:r>
          </w:p>
        </w:tc>
      </w:tr>
      <w:tr w14:paraId="01D9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7F7B5D1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房地产开发经营</w:t>
            </w:r>
          </w:p>
        </w:tc>
        <w:tc>
          <w:tcPr>
            <w:tcW w:w="1369" w:type="dxa"/>
            <w:vAlign w:val="center"/>
          </w:tcPr>
          <w:p w14:paraId="03E8468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66F36CD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51EE820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Y≥200000</w:t>
            </w:r>
          </w:p>
        </w:tc>
        <w:tc>
          <w:tcPr>
            <w:tcW w:w="1701" w:type="dxa"/>
            <w:vAlign w:val="center"/>
          </w:tcPr>
          <w:p w14:paraId="55816EC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1000≤Y＜200000</w:t>
            </w:r>
          </w:p>
        </w:tc>
        <w:tc>
          <w:tcPr>
            <w:tcW w:w="1426" w:type="dxa"/>
            <w:vAlign w:val="center"/>
          </w:tcPr>
          <w:p w14:paraId="5A96199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100≤Y＜1000</w:t>
            </w:r>
          </w:p>
        </w:tc>
        <w:tc>
          <w:tcPr>
            <w:tcW w:w="992" w:type="dxa"/>
            <w:vAlign w:val="center"/>
          </w:tcPr>
          <w:p w14:paraId="031B6E1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Y＜100</w:t>
            </w:r>
          </w:p>
        </w:tc>
      </w:tr>
      <w:tr w14:paraId="013A4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46A4690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6679783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资产总额(Z)</w:t>
            </w:r>
          </w:p>
        </w:tc>
        <w:tc>
          <w:tcPr>
            <w:tcW w:w="709" w:type="dxa"/>
            <w:vAlign w:val="center"/>
          </w:tcPr>
          <w:p w14:paraId="523CF15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3B0B992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Z≥10000</w:t>
            </w:r>
          </w:p>
        </w:tc>
        <w:tc>
          <w:tcPr>
            <w:tcW w:w="1701" w:type="dxa"/>
            <w:vAlign w:val="center"/>
          </w:tcPr>
          <w:p w14:paraId="58284EF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5000≤Z＜10000</w:t>
            </w:r>
          </w:p>
        </w:tc>
        <w:tc>
          <w:tcPr>
            <w:tcW w:w="1426" w:type="dxa"/>
            <w:vAlign w:val="center"/>
          </w:tcPr>
          <w:p w14:paraId="5017415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2000≤Z＜5000   </w:t>
            </w:r>
          </w:p>
        </w:tc>
        <w:tc>
          <w:tcPr>
            <w:tcW w:w="992" w:type="dxa"/>
            <w:vAlign w:val="center"/>
          </w:tcPr>
          <w:p w14:paraId="247FE2C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Z＜2000</w:t>
            </w:r>
          </w:p>
        </w:tc>
      </w:tr>
      <w:tr w14:paraId="7CF93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3BEF1653">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物业管理</w:t>
            </w:r>
          </w:p>
        </w:tc>
        <w:tc>
          <w:tcPr>
            <w:tcW w:w="1369" w:type="dxa"/>
            <w:vAlign w:val="center"/>
          </w:tcPr>
          <w:p w14:paraId="2110E0F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5BECF01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6ED70C5A">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X≥1000</w:t>
            </w:r>
          </w:p>
        </w:tc>
        <w:tc>
          <w:tcPr>
            <w:tcW w:w="1701" w:type="dxa"/>
            <w:vAlign w:val="center"/>
          </w:tcPr>
          <w:p w14:paraId="2BB634F7">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300≤X＜1000</w:t>
            </w:r>
          </w:p>
        </w:tc>
        <w:tc>
          <w:tcPr>
            <w:tcW w:w="1426" w:type="dxa"/>
            <w:vAlign w:val="center"/>
          </w:tcPr>
          <w:p w14:paraId="6C802D7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992" w:type="dxa"/>
            <w:vAlign w:val="center"/>
          </w:tcPr>
          <w:p w14:paraId="6716BBFB">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X＜100</w:t>
            </w:r>
          </w:p>
        </w:tc>
      </w:tr>
      <w:tr w14:paraId="38713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39CAC7C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59266BA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营业收入(Y)</w:t>
            </w:r>
          </w:p>
        </w:tc>
        <w:tc>
          <w:tcPr>
            <w:tcW w:w="709" w:type="dxa"/>
            <w:vAlign w:val="center"/>
          </w:tcPr>
          <w:p w14:paraId="2965695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7355A3F9">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Y≥5000</w:t>
            </w:r>
          </w:p>
        </w:tc>
        <w:tc>
          <w:tcPr>
            <w:tcW w:w="1701" w:type="dxa"/>
            <w:vAlign w:val="center"/>
          </w:tcPr>
          <w:p w14:paraId="4F23AA99">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1000≤Y＜5000 </w:t>
            </w:r>
          </w:p>
        </w:tc>
        <w:tc>
          <w:tcPr>
            <w:tcW w:w="1426" w:type="dxa"/>
            <w:vAlign w:val="center"/>
          </w:tcPr>
          <w:p w14:paraId="3DE3FAB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500≤Y＜1000</w:t>
            </w:r>
          </w:p>
        </w:tc>
        <w:tc>
          <w:tcPr>
            <w:tcW w:w="992" w:type="dxa"/>
            <w:vAlign w:val="center"/>
          </w:tcPr>
          <w:p w14:paraId="7652E25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Y＜500</w:t>
            </w:r>
          </w:p>
        </w:tc>
      </w:tr>
      <w:tr w14:paraId="78549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1245588">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租赁和商务服务业</w:t>
            </w:r>
          </w:p>
        </w:tc>
        <w:tc>
          <w:tcPr>
            <w:tcW w:w="1369" w:type="dxa"/>
            <w:vAlign w:val="center"/>
          </w:tcPr>
          <w:p w14:paraId="6A051A2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000F703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541B6E0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57B80606">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1426" w:type="dxa"/>
            <w:vAlign w:val="center"/>
          </w:tcPr>
          <w:p w14:paraId="1766102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79922F8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r w14:paraId="23882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A06117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p>
        </w:tc>
        <w:tc>
          <w:tcPr>
            <w:tcW w:w="1369" w:type="dxa"/>
            <w:vAlign w:val="center"/>
          </w:tcPr>
          <w:p w14:paraId="57E44800">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资产总额(Z)</w:t>
            </w:r>
          </w:p>
        </w:tc>
        <w:tc>
          <w:tcPr>
            <w:tcW w:w="709" w:type="dxa"/>
            <w:vAlign w:val="center"/>
          </w:tcPr>
          <w:p w14:paraId="49D34002">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万元</w:t>
            </w:r>
          </w:p>
        </w:tc>
        <w:tc>
          <w:tcPr>
            <w:tcW w:w="1125" w:type="dxa"/>
            <w:vAlign w:val="center"/>
          </w:tcPr>
          <w:p w14:paraId="2B47DF7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Z≥120000</w:t>
            </w:r>
          </w:p>
        </w:tc>
        <w:tc>
          <w:tcPr>
            <w:tcW w:w="1701" w:type="dxa"/>
            <w:vAlign w:val="center"/>
          </w:tcPr>
          <w:p w14:paraId="2C27BE3D">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8000≤Z＜120000</w:t>
            </w:r>
          </w:p>
        </w:tc>
        <w:tc>
          <w:tcPr>
            <w:tcW w:w="1426" w:type="dxa"/>
            <w:vAlign w:val="center"/>
          </w:tcPr>
          <w:p w14:paraId="432633A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100≤Z＜8000</w:t>
            </w:r>
          </w:p>
        </w:tc>
        <w:tc>
          <w:tcPr>
            <w:tcW w:w="992" w:type="dxa"/>
            <w:vAlign w:val="center"/>
          </w:tcPr>
          <w:p w14:paraId="4CC9F78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Z＜100</w:t>
            </w:r>
          </w:p>
        </w:tc>
      </w:tr>
      <w:tr w14:paraId="172EC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2113" w:type="dxa"/>
            <w:vAlign w:val="center"/>
          </w:tcPr>
          <w:p w14:paraId="6E223706">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其他未列明行业*</w:t>
            </w:r>
          </w:p>
        </w:tc>
        <w:tc>
          <w:tcPr>
            <w:tcW w:w="1369" w:type="dxa"/>
            <w:vAlign w:val="center"/>
          </w:tcPr>
          <w:p w14:paraId="687D51A1">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从业人员(X)</w:t>
            </w:r>
          </w:p>
        </w:tc>
        <w:tc>
          <w:tcPr>
            <w:tcW w:w="709" w:type="dxa"/>
            <w:vAlign w:val="center"/>
          </w:tcPr>
          <w:p w14:paraId="441E50EF">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人</w:t>
            </w:r>
          </w:p>
        </w:tc>
        <w:tc>
          <w:tcPr>
            <w:tcW w:w="1125" w:type="dxa"/>
            <w:vAlign w:val="center"/>
          </w:tcPr>
          <w:p w14:paraId="77D4DC7E">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X≥300</w:t>
            </w:r>
          </w:p>
        </w:tc>
        <w:tc>
          <w:tcPr>
            <w:tcW w:w="1701" w:type="dxa"/>
            <w:vAlign w:val="center"/>
          </w:tcPr>
          <w:p w14:paraId="081AE32B">
            <w:pPr>
              <w:keepNext w:val="0"/>
              <w:keepLines w:val="0"/>
              <w:widowControl/>
              <w:suppressLineNumbers w:val="0"/>
              <w:spacing w:before="0" w:beforeAutospacing="0" w:after="0" w:afterAutospacing="0" w:line="288" w:lineRule="auto"/>
              <w:ind w:left="43" w:leftChars="-51" w:right="0" w:hanging="145" w:hangingChars="6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100≤X＜300 </w:t>
            </w:r>
          </w:p>
        </w:tc>
        <w:tc>
          <w:tcPr>
            <w:tcW w:w="1426" w:type="dxa"/>
            <w:vAlign w:val="center"/>
          </w:tcPr>
          <w:p w14:paraId="13B0E9A5">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 xml:space="preserve"> 10≤X＜100</w:t>
            </w:r>
          </w:p>
        </w:tc>
        <w:tc>
          <w:tcPr>
            <w:tcW w:w="992" w:type="dxa"/>
            <w:vAlign w:val="center"/>
          </w:tcPr>
          <w:p w14:paraId="2EB1CB94">
            <w:pPr>
              <w:keepNext w:val="0"/>
              <w:keepLines w:val="0"/>
              <w:widowControl/>
              <w:suppressLineNumbers w:val="0"/>
              <w:spacing w:before="0" w:beforeAutospacing="0" w:after="0" w:afterAutospacing="0" w:line="288" w:lineRule="auto"/>
              <w:ind w:left="0" w:right="0"/>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X＜10</w:t>
            </w:r>
          </w:p>
        </w:tc>
      </w:tr>
    </w:tbl>
    <w:p w14:paraId="52F0C8C7">
      <w:pPr>
        <w:spacing w:line="288" w:lineRule="auto"/>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说明：</w:t>
      </w:r>
    </w:p>
    <w:p w14:paraId="46A1A594">
      <w:pPr>
        <w:spacing w:line="288" w:lineRule="auto"/>
        <w:ind w:firstLine="452"/>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1.大型、中型和小型企业须同时满足所列指标的下限，否则下划一档；微型企业只须满足所列指标中的一项即可。</w:t>
      </w:r>
    </w:p>
    <w:p w14:paraId="533C3DF4">
      <w:pPr>
        <w:spacing w:line="288" w:lineRule="auto"/>
        <w:ind w:firstLine="452"/>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43A866F7">
      <w:pPr>
        <w:spacing w:line="288" w:lineRule="auto"/>
        <w:ind w:firstLine="452"/>
        <w:rPr>
          <w:rFonts w:hint="eastAsia" w:asciiTheme="minorEastAsia" w:hAnsiTheme="minorEastAsia" w:eastAsiaTheme="minorEastAsia" w:cstheme="minorEastAsia"/>
          <w:spacing w:val="8"/>
          <w:sz w:val="24"/>
          <w:szCs w:val="24"/>
        </w:rPr>
      </w:pPr>
      <w:r>
        <w:rPr>
          <w:rFonts w:hint="eastAsia" w:asciiTheme="minorEastAsia" w:hAnsiTheme="minorEastAsia" w:eastAsiaTheme="minorEastAsia" w:cstheme="minorEastAsia"/>
          <w:spacing w:val="8"/>
          <w:sz w:val="24"/>
          <w:szCs w:val="24"/>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046B65AE">
      <w:pPr>
        <w:spacing w:line="288" w:lineRule="auto"/>
        <w:ind w:firstLine="452"/>
        <w:rPr>
          <w:rFonts w:hint="eastAsia" w:asciiTheme="minorEastAsia" w:hAnsiTheme="minorEastAsia" w:eastAsiaTheme="minorEastAsia" w:cstheme="minorEastAsia"/>
          <w:spacing w:val="8"/>
          <w:sz w:val="24"/>
          <w:szCs w:val="24"/>
        </w:rPr>
      </w:pPr>
    </w:p>
    <w:p w14:paraId="251DB44E">
      <w:pPr>
        <w:spacing w:line="288" w:lineRule="auto"/>
        <w:ind w:firstLine="452"/>
        <w:rPr>
          <w:rFonts w:hint="eastAsia" w:asciiTheme="minorEastAsia" w:hAnsiTheme="minorEastAsia" w:eastAsiaTheme="minorEastAsia" w:cstheme="minorEastAsia"/>
          <w:spacing w:val="8"/>
          <w:sz w:val="24"/>
          <w:szCs w:val="24"/>
        </w:rPr>
      </w:pPr>
    </w:p>
    <w:p w14:paraId="7567400F">
      <w:pPr>
        <w:spacing w:line="288" w:lineRule="auto"/>
        <w:ind w:firstLine="452"/>
        <w:rPr>
          <w:rFonts w:hint="eastAsia" w:asciiTheme="minorEastAsia" w:hAnsiTheme="minorEastAsia" w:eastAsiaTheme="minorEastAsia" w:cstheme="minorEastAsia"/>
          <w:spacing w:val="8"/>
          <w:sz w:val="24"/>
          <w:szCs w:val="24"/>
        </w:rPr>
      </w:pPr>
    </w:p>
    <w:p w14:paraId="5E2C7731">
      <w:pPr>
        <w:spacing w:line="288" w:lineRule="auto"/>
        <w:jc w:val="center"/>
        <w:rPr>
          <w:rFonts w:hint="eastAsia" w:asciiTheme="minorEastAsia" w:hAnsiTheme="minorEastAsia" w:eastAsiaTheme="minorEastAsia" w:cstheme="minorEastAsia"/>
          <w:spacing w:val="8"/>
          <w:sz w:val="24"/>
          <w:szCs w:val="24"/>
        </w:rPr>
      </w:pPr>
      <w:r>
        <w:rPr>
          <w:rFonts w:hint="eastAsia" w:ascii="宋体" w:hAnsi="宋体" w:cs="宋体"/>
          <w:b/>
          <w:color w:val="000000"/>
          <w:sz w:val="32"/>
          <w:szCs w:val="32"/>
          <w:highlight w:val="none"/>
          <w:lang w:val="en-US" w:eastAsia="zh-CN"/>
        </w:rPr>
        <w:t>服务方案（暗标）</w:t>
      </w:r>
    </w:p>
    <w:p w14:paraId="2E539AEB">
      <w:pPr>
        <w:spacing w:line="288" w:lineRule="auto"/>
        <w:rPr>
          <w:rFonts w:hint="eastAsia" w:asciiTheme="minorEastAsia" w:hAnsiTheme="minorEastAsia" w:eastAsiaTheme="minorEastAsia" w:cstheme="minorEastAsia"/>
          <w:spacing w:val="8"/>
          <w:sz w:val="24"/>
          <w:szCs w:val="24"/>
        </w:rPr>
      </w:pPr>
    </w:p>
    <w:p w14:paraId="7B18033E">
      <w:pPr>
        <w:snapToGrid w:val="0"/>
        <w:ind w:firstLine="560" w:firstLineChars="200"/>
        <w:jc w:val="left"/>
        <w:rPr>
          <w:rFonts w:hint="eastAsia" w:ascii="宋体" w:hAnsi="宋体" w:eastAsia="宋体" w:cs="宋体"/>
          <w:sz w:val="28"/>
          <w:szCs w:val="28"/>
          <w:highlight w:val="none"/>
          <w:lang w:val="zh-CN" w:eastAsia="zh-CN"/>
        </w:rPr>
      </w:pPr>
      <w:r>
        <w:rPr>
          <w:rFonts w:hint="eastAsia" w:ascii="宋体" w:hAnsi="宋体" w:eastAsia="宋体" w:cs="宋体"/>
          <w:sz w:val="28"/>
          <w:szCs w:val="28"/>
          <w:highlight w:val="none"/>
          <w:lang w:val="zh-CN" w:eastAsia="zh-CN"/>
        </w:rPr>
        <w:t>暗标要求如下：</w:t>
      </w:r>
    </w:p>
    <w:p w14:paraId="3B8524D4">
      <w:pPr>
        <w:keepNext w:val="0"/>
        <w:keepLines w:val="0"/>
        <w:pageBreakBefore w:val="0"/>
        <w:widowControl w:val="0"/>
        <w:kinsoku/>
        <w:wordWrap w:val="0"/>
        <w:overflowPunct/>
        <w:topLinePunct w:val="0"/>
        <w:autoSpaceDE/>
        <w:autoSpaceDN/>
        <w:bidi w:val="0"/>
        <w:spacing w:line="360" w:lineRule="auto"/>
        <w:jc w:val="left"/>
        <w:rPr>
          <w:rFonts w:hint="eastAsia" w:ascii="宋体" w:hAnsi="宋体" w:eastAsia="宋体" w:cs="宋体"/>
          <w:color w:val="auto"/>
          <w:sz w:val="24"/>
          <w:szCs w:val="24"/>
          <w:highlight w:val="none"/>
        </w:rPr>
      </w:pPr>
    </w:p>
    <w:p w14:paraId="6127B8C0">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响应文件技术标必须遵守的统一格式和规范。</w:t>
      </w:r>
    </w:p>
    <w:p w14:paraId="26EBE192">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技术标文件（暗标）未按以下“盲评”要求制作的，为无效投标，除下述要求外，不得因暗标格式问题认定为无效投标：</w:t>
      </w:r>
    </w:p>
    <w:p w14:paraId="0A5FED73">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1.版面要求：A4纸张大小；</w:t>
      </w:r>
    </w:p>
    <w:p w14:paraId="42E77053">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2.颜色要求：所有文字、图、表均为黑色；</w:t>
      </w:r>
    </w:p>
    <w:p w14:paraId="5F0295AE">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3.字体要求：标题及正文部分所用文字均采用“宋体”四号“常规”字；所有字体均不得出现加粗、加色、倾斜、下划线等标记；</w:t>
      </w:r>
    </w:p>
    <w:p w14:paraId="2882F746">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cs="宋体"/>
          <w:sz w:val="28"/>
          <w:szCs w:val="28"/>
          <w:highlight w:val="none"/>
          <w:lang w:val="zh-CN"/>
        </w:rPr>
      </w:pPr>
      <w:r>
        <w:rPr>
          <w:rFonts w:hint="eastAsia" w:ascii="宋体" w:hAnsi="宋体" w:cs="宋体"/>
          <w:sz w:val="28"/>
          <w:szCs w:val="28"/>
          <w:highlight w:val="none"/>
          <w:lang w:val="zh-CN"/>
        </w:rPr>
        <w:t>4.排版要求：页边距要求上边距2.5厘米，其余均为2厘米；不得设置封面、目录；正文行间距为固定值30磅；文字内容（含正文标题、正文）统一设为左对齐，首行缩进2字符，段落前后不设置空行；不得设置页眉、页脚和页码；</w:t>
      </w:r>
    </w:p>
    <w:p w14:paraId="64197637">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eastAsia="宋体" w:cs="宋体"/>
          <w:sz w:val="28"/>
          <w:szCs w:val="28"/>
          <w:highlight w:val="none"/>
          <w:lang w:val="zh-CN"/>
        </w:rPr>
      </w:pPr>
      <w:r>
        <w:rPr>
          <w:rFonts w:hint="eastAsia" w:ascii="宋体" w:hAnsi="宋体" w:eastAsia="宋体" w:cs="宋体"/>
          <w:sz w:val="28"/>
          <w:szCs w:val="28"/>
          <w:highlight w:val="none"/>
          <w:lang w:val="zh-CN"/>
        </w:rPr>
        <w:t>5.图、表要求：图内的字体、字号不作要求。表内文字均采用“宋体”四号“常规”字，均不得出现加粗、加色、倾斜、下划线等标记；表内文字设为上下居中、左对齐，特殊格式（首行缩进）为无。图、表整体对齐形式统一设为居中对齐，不得将表格以图片格式插入技术标（暗标）文件。</w:t>
      </w:r>
    </w:p>
    <w:p w14:paraId="6E570A55">
      <w:pPr>
        <w:keepNext w:val="0"/>
        <w:keepLines w:val="0"/>
        <w:pageBreakBefore w:val="0"/>
        <w:widowControl w:val="0"/>
        <w:numPr>
          <w:ilvl w:val="0"/>
          <w:numId w:val="0"/>
        </w:numPr>
        <w:kinsoku/>
        <w:wordWrap/>
        <w:overflowPunct/>
        <w:topLinePunct w:val="0"/>
        <w:autoSpaceDE/>
        <w:autoSpaceDN/>
        <w:bidi w:val="0"/>
        <w:adjustRightInd/>
        <w:snapToGrid w:val="0"/>
        <w:spacing w:line="600" w:lineRule="exact"/>
        <w:ind w:firstLine="560" w:firstLineChars="200"/>
        <w:jc w:val="left"/>
        <w:textAlignment w:val="auto"/>
        <w:rPr>
          <w:rFonts w:hint="eastAsia" w:ascii="宋体" w:hAnsi="宋体" w:eastAsia="宋体" w:cs="宋体"/>
          <w:sz w:val="28"/>
          <w:szCs w:val="28"/>
          <w:highlight w:val="none"/>
          <w:lang w:val="zh-CN"/>
        </w:rPr>
      </w:pPr>
      <w:r>
        <w:rPr>
          <w:rFonts w:hint="eastAsia" w:ascii="宋体" w:hAnsi="宋体" w:eastAsia="宋体" w:cs="宋体"/>
          <w:sz w:val="28"/>
          <w:szCs w:val="28"/>
          <w:highlight w:val="none"/>
          <w:lang w:val="zh-CN"/>
        </w:rPr>
        <w:t>6.其它：除满足上述各项要求外，构成投标文件的“技术暗标”的正文中均不得出现投标人的名称和其它可识别投标人身份的字符、徽标、人员名称以及其他可能被辨别出投标人身份的任何标记。</w:t>
      </w:r>
    </w:p>
    <w:sectPr>
      <w:footerReference r:id="rId9" w:type="first"/>
      <w:footerReference r:id="rId8" w:type="default"/>
      <w:pgSz w:w="11906" w:h="16838"/>
      <w:pgMar w:top="1247" w:right="1134" w:bottom="1247" w:left="1247" w:header="851" w:footer="850" w:gutter="0"/>
      <w:pgBorders>
        <w:top w:val="none" w:sz="0" w:space="0"/>
        <w:left w:val="none" w:sz="0" w:space="0"/>
        <w:bottom w:val="none" w:sz="0" w:space="0"/>
        <w:right w:val="none" w:sz="0" w:space="0"/>
      </w:pgBorders>
      <w:pgNumType w:fmt="decimal" w:start="1"/>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02"/>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entury">
    <w:panose1 w:val="02040604050505020304"/>
    <w:charset w:val="00"/>
    <w:family w:val="roman"/>
    <w:pitch w:val="default"/>
    <w:sig w:usb0="00000287" w:usb1="000000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Wingdings 2">
    <w:panose1 w:val="05020102010507070707"/>
    <w:charset w:val="02"/>
    <w:family w:val="roman"/>
    <w:pitch w:val="default"/>
    <w:sig w:usb0="00000000" w:usb1="00000000" w:usb2="00000000" w:usb3="00000000" w:csb0="80000000" w:csb1="00000000"/>
  </w:font>
  <w:font w:name="华文楷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E54B3">
    <w:pPr>
      <w:pStyle w:val="27"/>
      <w:framePr w:wrap="around" w:vAnchor="text" w:hAnchor="margin" w:xAlign="center" w:y="1"/>
      <w:rPr>
        <w:rStyle w:val="48"/>
      </w:rPr>
    </w:pPr>
    <w:r>
      <w:fldChar w:fldCharType="begin"/>
    </w:r>
    <w:r>
      <w:rPr>
        <w:rStyle w:val="48"/>
      </w:rPr>
      <w:instrText xml:space="preserve">PAGE  </w:instrText>
    </w:r>
    <w:r>
      <w:fldChar w:fldCharType="end"/>
    </w:r>
  </w:p>
  <w:p w14:paraId="6D598DCD">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53832A">
    <w:pPr>
      <w:pStyle w:val="2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AB14C">
    <w:pPr>
      <w:pStyle w:val="2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F6A68">
    <w:pPr>
      <w:pStyle w:val="2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EA27AE">
                          <w:pPr>
                            <w:pStyle w:val="27"/>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FEA27AE">
                    <w:pPr>
                      <w:pStyle w:val="27"/>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ADA80">
    <w:pPr>
      <w:pStyle w:val="27"/>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E7030B">
                          <w:pPr>
                            <w:pStyle w:val="27"/>
                          </w:pPr>
                          <w:r>
                            <w:fldChar w:fldCharType="begin"/>
                          </w:r>
                          <w:r>
                            <w:instrText xml:space="preserve"> PAGE  \* MERGEFORMAT </w:instrText>
                          </w:r>
                          <w:r>
                            <w:fldChar w:fldCharType="separate"/>
                          </w:r>
                          <w:r>
                            <w:t>34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78E7030B">
                    <w:pPr>
                      <w:pStyle w:val="27"/>
                    </w:pPr>
                    <w:r>
                      <w:fldChar w:fldCharType="begin"/>
                    </w:r>
                    <w:r>
                      <w:instrText xml:space="preserve"> PAGE  \* MERGEFORMAT </w:instrText>
                    </w:r>
                    <w:r>
                      <w:fldChar w:fldCharType="separate"/>
                    </w:r>
                    <w:r>
                      <w:t>34</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7AC881">
    <w:pPr>
      <w:pStyle w:val="28"/>
      <w:pBdr>
        <w:top w:val="none" w:color="auto" w:sz="0" w:space="0"/>
        <w:left w:val="none" w:color="auto" w:sz="0" w:space="0"/>
        <w:bottom w:val="none" w:color="auto" w:sz="0" w:space="3"/>
        <w:right w:val="none" w:color="auto" w:sz="0" w:space="0"/>
        <w:between w:val="none" w:color="auto" w:sz="0" w:space="0"/>
      </w:pBdr>
      <w:jc w:val="both"/>
      <w:rPr>
        <w:u w:val="none"/>
      </w:rPr>
    </w:pPr>
    <w:r>
      <w:rPr>
        <w:rFonts w:hint="eastAsia"/>
      </w:rPr>
      <w:t>　</w:t>
    </w:r>
    <w:r>
      <w:rPr>
        <w:rFonts w:hint="eastAsia"/>
        <w:u w:val="none"/>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64421">
    <w:pPr>
      <w:pStyle w:val="28"/>
      <w:pBdr>
        <w:bottom w:val="none" w:color="auto" w:sz="0" w:space="0"/>
      </w:pBdr>
      <w:jc w:val="left"/>
      <w:rPr>
        <w:u w:val="singl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3112B3"/>
    <w:multiLevelType w:val="multilevel"/>
    <w:tmpl w:val="303112B3"/>
    <w:lvl w:ilvl="0" w:tentative="0">
      <w:start w:val="3"/>
      <w:numFmt w:val="japaneseCounting"/>
      <w:lvlText w:val="%1、"/>
      <w:lvlJc w:val="left"/>
      <w:pPr>
        <w:tabs>
          <w:tab w:val="left" w:pos="0"/>
        </w:tabs>
        <w:ind w:left="880" w:hanging="720"/>
      </w:pPr>
      <w:rPr>
        <w:rFonts w:hint="default"/>
      </w:rPr>
    </w:lvl>
    <w:lvl w:ilvl="1" w:tentative="0">
      <w:start w:val="1"/>
      <w:numFmt w:val="lowerLetter"/>
      <w:lvlText w:val="%2)"/>
      <w:lvlJc w:val="left"/>
      <w:pPr>
        <w:tabs>
          <w:tab w:val="left" w:pos="0"/>
        </w:tabs>
        <w:ind w:left="1000" w:hanging="420"/>
      </w:pPr>
    </w:lvl>
    <w:lvl w:ilvl="2" w:tentative="0">
      <w:start w:val="1"/>
      <w:numFmt w:val="lowerRoman"/>
      <w:lvlText w:val="%3."/>
      <w:lvlJc w:val="right"/>
      <w:pPr>
        <w:tabs>
          <w:tab w:val="left" w:pos="0"/>
        </w:tabs>
        <w:ind w:left="1420" w:hanging="420"/>
      </w:pPr>
    </w:lvl>
    <w:lvl w:ilvl="3" w:tentative="0">
      <w:start w:val="1"/>
      <w:numFmt w:val="decimal"/>
      <w:lvlText w:val="%4."/>
      <w:lvlJc w:val="left"/>
      <w:pPr>
        <w:tabs>
          <w:tab w:val="left" w:pos="0"/>
        </w:tabs>
        <w:ind w:left="1840" w:hanging="420"/>
      </w:pPr>
    </w:lvl>
    <w:lvl w:ilvl="4" w:tentative="0">
      <w:start w:val="1"/>
      <w:numFmt w:val="lowerLetter"/>
      <w:lvlText w:val="%5)"/>
      <w:lvlJc w:val="left"/>
      <w:pPr>
        <w:tabs>
          <w:tab w:val="left" w:pos="0"/>
        </w:tabs>
        <w:ind w:left="2260" w:hanging="420"/>
      </w:pPr>
    </w:lvl>
    <w:lvl w:ilvl="5" w:tentative="0">
      <w:start w:val="1"/>
      <w:numFmt w:val="lowerRoman"/>
      <w:lvlText w:val="%6."/>
      <w:lvlJc w:val="right"/>
      <w:pPr>
        <w:tabs>
          <w:tab w:val="left" w:pos="0"/>
        </w:tabs>
        <w:ind w:left="2680" w:hanging="420"/>
      </w:pPr>
    </w:lvl>
    <w:lvl w:ilvl="6" w:tentative="0">
      <w:start w:val="1"/>
      <w:numFmt w:val="decimal"/>
      <w:lvlText w:val="%7."/>
      <w:lvlJc w:val="left"/>
      <w:pPr>
        <w:tabs>
          <w:tab w:val="left" w:pos="0"/>
        </w:tabs>
        <w:ind w:left="3100" w:hanging="420"/>
      </w:pPr>
    </w:lvl>
    <w:lvl w:ilvl="7" w:tentative="0">
      <w:start w:val="1"/>
      <w:numFmt w:val="lowerLetter"/>
      <w:lvlText w:val="%8)"/>
      <w:lvlJc w:val="left"/>
      <w:pPr>
        <w:tabs>
          <w:tab w:val="left" w:pos="0"/>
        </w:tabs>
        <w:ind w:left="3520" w:hanging="420"/>
      </w:pPr>
    </w:lvl>
    <w:lvl w:ilvl="8" w:tentative="0">
      <w:start w:val="1"/>
      <w:numFmt w:val="lowerRoman"/>
      <w:lvlText w:val="%9."/>
      <w:lvlJc w:val="right"/>
      <w:pPr>
        <w:tabs>
          <w:tab w:val="left" w:pos="0"/>
        </w:tabs>
        <w:ind w:left="3940" w:hanging="420"/>
      </w:pPr>
    </w:lvl>
  </w:abstractNum>
  <w:abstractNum w:abstractNumId="1">
    <w:nsid w:val="74A24AE9"/>
    <w:multiLevelType w:val="multilevel"/>
    <w:tmpl w:val="74A24AE9"/>
    <w:lvl w:ilvl="0" w:tentative="0">
      <w:start w:val="3"/>
      <w:numFmt w:val="japaneseCounting"/>
      <w:lvlText w:val="%1、"/>
      <w:lvlJc w:val="left"/>
      <w:pPr>
        <w:tabs>
          <w:tab w:val="left" w:pos="880"/>
        </w:tabs>
        <w:ind w:left="880" w:hanging="720"/>
      </w:pPr>
      <w:rPr>
        <w:rFonts w:hint="default"/>
      </w:rPr>
    </w:lvl>
    <w:lvl w:ilvl="1" w:tentative="0">
      <w:start w:val="1"/>
      <w:numFmt w:val="lowerLetter"/>
      <w:lvlText w:val="%2)"/>
      <w:lvlJc w:val="left"/>
      <w:pPr>
        <w:tabs>
          <w:tab w:val="left" w:pos="1000"/>
        </w:tabs>
        <w:ind w:left="1000" w:hanging="420"/>
      </w:pPr>
    </w:lvl>
    <w:lvl w:ilvl="2" w:tentative="0">
      <w:start w:val="1"/>
      <w:numFmt w:val="lowerRoman"/>
      <w:lvlText w:val="%3."/>
      <w:lvlJc w:val="right"/>
      <w:pPr>
        <w:tabs>
          <w:tab w:val="left" w:pos="1420"/>
        </w:tabs>
        <w:ind w:left="1420" w:hanging="420"/>
      </w:pPr>
    </w:lvl>
    <w:lvl w:ilvl="3" w:tentative="0">
      <w:start w:val="1"/>
      <w:numFmt w:val="decimal"/>
      <w:lvlText w:val="%4."/>
      <w:lvlJc w:val="left"/>
      <w:pPr>
        <w:tabs>
          <w:tab w:val="left" w:pos="1840"/>
        </w:tabs>
        <w:ind w:left="1840" w:hanging="420"/>
      </w:pPr>
    </w:lvl>
    <w:lvl w:ilvl="4" w:tentative="0">
      <w:start w:val="1"/>
      <w:numFmt w:val="lowerLetter"/>
      <w:lvlText w:val="%5)"/>
      <w:lvlJc w:val="left"/>
      <w:pPr>
        <w:tabs>
          <w:tab w:val="left" w:pos="2260"/>
        </w:tabs>
        <w:ind w:left="2260" w:hanging="420"/>
      </w:pPr>
    </w:lvl>
    <w:lvl w:ilvl="5" w:tentative="0">
      <w:start w:val="1"/>
      <w:numFmt w:val="lowerRoman"/>
      <w:lvlText w:val="%6."/>
      <w:lvlJc w:val="right"/>
      <w:pPr>
        <w:tabs>
          <w:tab w:val="left" w:pos="2680"/>
        </w:tabs>
        <w:ind w:left="2680" w:hanging="420"/>
      </w:pPr>
    </w:lvl>
    <w:lvl w:ilvl="6" w:tentative="0">
      <w:start w:val="1"/>
      <w:numFmt w:val="decimal"/>
      <w:lvlText w:val="%7."/>
      <w:lvlJc w:val="left"/>
      <w:pPr>
        <w:tabs>
          <w:tab w:val="left" w:pos="3100"/>
        </w:tabs>
        <w:ind w:left="3100" w:hanging="420"/>
      </w:pPr>
    </w:lvl>
    <w:lvl w:ilvl="7" w:tentative="0">
      <w:start w:val="1"/>
      <w:numFmt w:val="lowerLetter"/>
      <w:lvlText w:val="%8)"/>
      <w:lvlJc w:val="left"/>
      <w:pPr>
        <w:tabs>
          <w:tab w:val="left" w:pos="3520"/>
        </w:tabs>
        <w:ind w:left="3520" w:hanging="420"/>
      </w:pPr>
    </w:lvl>
    <w:lvl w:ilvl="8" w:tentative="0">
      <w:start w:val="1"/>
      <w:numFmt w:val="lowerRoman"/>
      <w:lvlText w:val="%9."/>
      <w:lvlJc w:val="right"/>
      <w:pPr>
        <w:tabs>
          <w:tab w:val="left" w:pos="3940"/>
        </w:tabs>
        <w:ind w:left="394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A5MDQyNzg2N2E3NzUxZThiMGEyNDQ0ZjQ1ZTY4ZWIifQ=="/>
  </w:docVars>
  <w:rsids>
    <w:rsidRoot w:val="00D37C4B"/>
    <w:rsid w:val="0000063C"/>
    <w:rsid w:val="00000B64"/>
    <w:rsid w:val="00000FB0"/>
    <w:rsid w:val="00001038"/>
    <w:rsid w:val="00001438"/>
    <w:rsid w:val="00001823"/>
    <w:rsid w:val="000023B1"/>
    <w:rsid w:val="00006F1F"/>
    <w:rsid w:val="00007AE1"/>
    <w:rsid w:val="000101BD"/>
    <w:rsid w:val="0001063A"/>
    <w:rsid w:val="00010FB2"/>
    <w:rsid w:val="00011694"/>
    <w:rsid w:val="000133AB"/>
    <w:rsid w:val="000137CF"/>
    <w:rsid w:val="000139E0"/>
    <w:rsid w:val="00013EAE"/>
    <w:rsid w:val="000144DD"/>
    <w:rsid w:val="00014C99"/>
    <w:rsid w:val="00014E67"/>
    <w:rsid w:val="000157BA"/>
    <w:rsid w:val="0001631D"/>
    <w:rsid w:val="00016C0B"/>
    <w:rsid w:val="0002036F"/>
    <w:rsid w:val="00021436"/>
    <w:rsid w:val="00021C37"/>
    <w:rsid w:val="000223F9"/>
    <w:rsid w:val="00022933"/>
    <w:rsid w:val="000231ED"/>
    <w:rsid w:val="00024500"/>
    <w:rsid w:val="00026024"/>
    <w:rsid w:val="0002653C"/>
    <w:rsid w:val="00026779"/>
    <w:rsid w:val="0002782B"/>
    <w:rsid w:val="00027BD7"/>
    <w:rsid w:val="00030044"/>
    <w:rsid w:val="00030540"/>
    <w:rsid w:val="0003186C"/>
    <w:rsid w:val="0003233B"/>
    <w:rsid w:val="00032B92"/>
    <w:rsid w:val="00033FD8"/>
    <w:rsid w:val="0003441E"/>
    <w:rsid w:val="0003452C"/>
    <w:rsid w:val="000345AB"/>
    <w:rsid w:val="00036173"/>
    <w:rsid w:val="000369F2"/>
    <w:rsid w:val="00036D73"/>
    <w:rsid w:val="00037C94"/>
    <w:rsid w:val="000402A6"/>
    <w:rsid w:val="0004321F"/>
    <w:rsid w:val="0004386B"/>
    <w:rsid w:val="00044218"/>
    <w:rsid w:val="00044541"/>
    <w:rsid w:val="0004470C"/>
    <w:rsid w:val="00044CBE"/>
    <w:rsid w:val="00044DE4"/>
    <w:rsid w:val="00045D32"/>
    <w:rsid w:val="00046687"/>
    <w:rsid w:val="00046AB3"/>
    <w:rsid w:val="00046E9D"/>
    <w:rsid w:val="000473F5"/>
    <w:rsid w:val="00047B6C"/>
    <w:rsid w:val="00047D0E"/>
    <w:rsid w:val="00050A1E"/>
    <w:rsid w:val="00050C1D"/>
    <w:rsid w:val="00051B94"/>
    <w:rsid w:val="0005210D"/>
    <w:rsid w:val="0005211E"/>
    <w:rsid w:val="000525F2"/>
    <w:rsid w:val="00054B71"/>
    <w:rsid w:val="0005531F"/>
    <w:rsid w:val="000571BC"/>
    <w:rsid w:val="00057A23"/>
    <w:rsid w:val="00057A9D"/>
    <w:rsid w:val="00057EC5"/>
    <w:rsid w:val="0006020D"/>
    <w:rsid w:val="0006042A"/>
    <w:rsid w:val="00060436"/>
    <w:rsid w:val="00061FE1"/>
    <w:rsid w:val="00061FFE"/>
    <w:rsid w:val="000624D3"/>
    <w:rsid w:val="0006334C"/>
    <w:rsid w:val="0006406C"/>
    <w:rsid w:val="000640C8"/>
    <w:rsid w:val="00064C41"/>
    <w:rsid w:val="00064EC3"/>
    <w:rsid w:val="0006528C"/>
    <w:rsid w:val="00065355"/>
    <w:rsid w:val="00065B68"/>
    <w:rsid w:val="00065E58"/>
    <w:rsid w:val="00066D80"/>
    <w:rsid w:val="00067044"/>
    <w:rsid w:val="00070B54"/>
    <w:rsid w:val="00071360"/>
    <w:rsid w:val="00071414"/>
    <w:rsid w:val="00072C89"/>
    <w:rsid w:val="00072DC4"/>
    <w:rsid w:val="00074791"/>
    <w:rsid w:val="00075905"/>
    <w:rsid w:val="00075A27"/>
    <w:rsid w:val="0007684E"/>
    <w:rsid w:val="000818BC"/>
    <w:rsid w:val="00081C9B"/>
    <w:rsid w:val="00081DCC"/>
    <w:rsid w:val="000826E7"/>
    <w:rsid w:val="000842A6"/>
    <w:rsid w:val="00085497"/>
    <w:rsid w:val="0008577F"/>
    <w:rsid w:val="00087387"/>
    <w:rsid w:val="00090005"/>
    <w:rsid w:val="0009067A"/>
    <w:rsid w:val="00090A3B"/>
    <w:rsid w:val="00090F68"/>
    <w:rsid w:val="00091EA2"/>
    <w:rsid w:val="00093076"/>
    <w:rsid w:val="000932CA"/>
    <w:rsid w:val="00093FF9"/>
    <w:rsid w:val="00096A08"/>
    <w:rsid w:val="00096E3D"/>
    <w:rsid w:val="00096F7C"/>
    <w:rsid w:val="0009745C"/>
    <w:rsid w:val="0009768E"/>
    <w:rsid w:val="000A1441"/>
    <w:rsid w:val="000A1ABB"/>
    <w:rsid w:val="000A24F2"/>
    <w:rsid w:val="000A2912"/>
    <w:rsid w:val="000A332E"/>
    <w:rsid w:val="000A396A"/>
    <w:rsid w:val="000A3F73"/>
    <w:rsid w:val="000A41A3"/>
    <w:rsid w:val="000A4632"/>
    <w:rsid w:val="000A7438"/>
    <w:rsid w:val="000A7811"/>
    <w:rsid w:val="000A7FF5"/>
    <w:rsid w:val="000B00B2"/>
    <w:rsid w:val="000B05E3"/>
    <w:rsid w:val="000B133E"/>
    <w:rsid w:val="000B198D"/>
    <w:rsid w:val="000B3407"/>
    <w:rsid w:val="000B3530"/>
    <w:rsid w:val="000B3B88"/>
    <w:rsid w:val="000B3CF8"/>
    <w:rsid w:val="000B52AD"/>
    <w:rsid w:val="000B6067"/>
    <w:rsid w:val="000B6FE7"/>
    <w:rsid w:val="000B7C82"/>
    <w:rsid w:val="000B7D24"/>
    <w:rsid w:val="000C023A"/>
    <w:rsid w:val="000C0B27"/>
    <w:rsid w:val="000C0DE6"/>
    <w:rsid w:val="000C248C"/>
    <w:rsid w:val="000C2B24"/>
    <w:rsid w:val="000C31AA"/>
    <w:rsid w:val="000C36D1"/>
    <w:rsid w:val="000C4042"/>
    <w:rsid w:val="000C5810"/>
    <w:rsid w:val="000C5D64"/>
    <w:rsid w:val="000C5F6A"/>
    <w:rsid w:val="000C77CA"/>
    <w:rsid w:val="000D06BA"/>
    <w:rsid w:val="000D0922"/>
    <w:rsid w:val="000D0C4A"/>
    <w:rsid w:val="000D130E"/>
    <w:rsid w:val="000D158E"/>
    <w:rsid w:val="000D245C"/>
    <w:rsid w:val="000D3A8E"/>
    <w:rsid w:val="000D40C2"/>
    <w:rsid w:val="000D477C"/>
    <w:rsid w:val="000D49B6"/>
    <w:rsid w:val="000D7693"/>
    <w:rsid w:val="000D7950"/>
    <w:rsid w:val="000E057A"/>
    <w:rsid w:val="000E2037"/>
    <w:rsid w:val="000E2D94"/>
    <w:rsid w:val="000E36CC"/>
    <w:rsid w:val="000E4183"/>
    <w:rsid w:val="000E4224"/>
    <w:rsid w:val="000E4BA0"/>
    <w:rsid w:val="000E644C"/>
    <w:rsid w:val="000E666C"/>
    <w:rsid w:val="000E67B0"/>
    <w:rsid w:val="000E6FE2"/>
    <w:rsid w:val="000E7079"/>
    <w:rsid w:val="000E71D7"/>
    <w:rsid w:val="000E7342"/>
    <w:rsid w:val="000F04D7"/>
    <w:rsid w:val="000F07A1"/>
    <w:rsid w:val="000F0E75"/>
    <w:rsid w:val="000F1179"/>
    <w:rsid w:val="000F13B6"/>
    <w:rsid w:val="000F1B37"/>
    <w:rsid w:val="000F2394"/>
    <w:rsid w:val="000F26DC"/>
    <w:rsid w:val="000F2B19"/>
    <w:rsid w:val="000F3037"/>
    <w:rsid w:val="000F3213"/>
    <w:rsid w:val="000F4597"/>
    <w:rsid w:val="000F4D54"/>
    <w:rsid w:val="000F5518"/>
    <w:rsid w:val="000F5658"/>
    <w:rsid w:val="000F5FD2"/>
    <w:rsid w:val="00102208"/>
    <w:rsid w:val="00102DE7"/>
    <w:rsid w:val="001035DB"/>
    <w:rsid w:val="00103640"/>
    <w:rsid w:val="0010403B"/>
    <w:rsid w:val="00104197"/>
    <w:rsid w:val="001044BD"/>
    <w:rsid w:val="001061F8"/>
    <w:rsid w:val="00110620"/>
    <w:rsid w:val="00110BBA"/>
    <w:rsid w:val="00110FFE"/>
    <w:rsid w:val="001114B9"/>
    <w:rsid w:val="001126B7"/>
    <w:rsid w:val="00112AC0"/>
    <w:rsid w:val="0011338E"/>
    <w:rsid w:val="001136AF"/>
    <w:rsid w:val="0011395F"/>
    <w:rsid w:val="00113982"/>
    <w:rsid w:val="00113BFC"/>
    <w:rsid w:val="00113E06"/>
    <w:rsid w:val="00113ED0"/>
    <w:rsid w:val="0011504E"/>
    <w:rsid w:val="0011530B"/>
    <w:rsid w:val="00115B9A"/>
    <w:rsid w:val="00116851"/>
    <w:rsid w:val="00121222"/>
    <w:rsid w:val="00121DC0"/>
    <w:rsid w:val="0012219F"/>
    <w:rsid w:val="001227E3"/>
    <w:rsid w:val="00123A74"/>
    <w:rsid w:val="001244FF"/>
    <w:rsid w:val="00124BFE"/>
    <w:rsid w:val="00124C45"/>
    <w:rsid w:val="001258F2"/>
    <w:rsid w:val="001260E7"/>
    <w:rsid w:val="001276D5"/>
    <w:rsid w:val="0013146D"/>
    <w:rsid w:val="001319A6"/>
    <w:rsid w:val="00131E40"/>
    <w:rsid w:val="00132A44"/>
    <w:rsid w:val="001373D4"/>
    <w:rsid w:val="00137702"/>
    <w:rsid w:val="001377DD"/>
    <w:rsid w:val="0014011A"/>
    <w:rsid w:val="001403D9"/>
    <w:rsid w:val="00140B10"/>
    <w:rsid w:val="00141467"/>
    <w:rsid w:val="00141E49"/>
    <w:rsid w:val="00142CBC"/>
    <w:rsid w:val="00143DD4"/>
    <w:rsid w:val="00144231"/>
    <w:rsid w:val="00144405"/>
    <w:rsid w:val="0014546C"/>
    <w:rsid w:val="00146021"/>
    <w:rsid w:val="00146C13"/>
    <w:rsid w:val="00146FFB"/>
    <w:rsid w:val="00147026"/>
    <w:rsid w:val="001473EB"/>
    <w:rsid w:val="0015116F"/>
    <w:rsid w:val="001512D5"/>
    <w:rsid w:val="0015159E"/>
    <w:rsid w:val="001521C4"/>
    <w:rsid w:val="001526E7"/>
    <w:rsid w:val="00153070"/>
    <w:rsid w:val="00153AC1"/>
    <w:rsid w:val="0015554C"/>
    <w:rsid w:val="001559D0"/>
    <w:rsid w:val="00155E4D"/>
    <w:rsid w:val="001560ED"/>
    <w:rsid w:val="00156320"/>
    <w:rsid w:val="00160CA7"/>
    <w:rsid w:val="00161225"/>
    <w:rsid w:val="00161807"/>
    <w:rsid w:val="00161D34"/>
    <w:rsid w:val="0016317F"/>
    <w:rsid w:val="00163851"/>
    <w:rsid w:val="00163A5F"/>
    <w:rsid w:val="0016449D"/>
    <w:rsid w:val="00164A44"/>
    <w:rsid w:val="001655C8"/>
    <w:rsid w:val="00167610"/>
    <w:rsid w:val="0017126D"/>
    <w:rsid w:val="00171A35"/>
    <w:rsid w:val="00174569"/>
    <w:rsid w:val="00174DBA"/>
    <w:rsid w:val="001750AD"/>
    <w:rsid w:val="0017661F"/>
    <w:rsid w:val="00177878"/>
    <w:rsid w:val="00177CEB"/>
    <w:rsid w:val="001802AA"/>
    <w:rsid w:val="001805B6"/>
    <w:rsid w:val="00180B23"/>
    <w:rsid w:val="00180D84"/>
    <w:rsid w:val="0018144E"/>
    <w:rsid w:val="00182A9E"/>
    <w:rsid w:val="001832E4"/>
    <w:rsid w:val="00184C02"/>
    <w:rsid w:val="001853DA"/>
    <w:rsid w:val="00185A61"/>
    <w:rsid w:val="00185C2A"/>
    <w:rsid w:val="00186638"/>
    <w:rsid w:val="001867F8"/>
    <w:rsid w:val="001869A1"/>
    <w:rsid w:val="00186E4D"/>
    <w:rsid w:val="00187E2F"/>
    <w:rsid w:val="00190F1F"/>
    <w:rsid w:val="00191573"/>
    <w:rsid w:val="00192B5F"/>
    <w:rsid w:val="00193EAE"/>
    <w:rsid w:val="001941D4"/>
    <w:rsid w:val="00194AD6"/>
    <w:rsid w:val="00194B6E"/>
    <w:rsid w:val="0019791F"/>
    <w:rsid w:val="00197E0E"/>
    <w:rsid w:val="001A0B5C"/>
    <w:rsid w:val="001A1EAF"/>
    <w:rsid w:val="001A2168"/>
    <w:rsid w:val="001A2F0F"/>
    <w:rsid w:val="001A32C8"/>
    <w:rsid w:val="001A363B"/>
    <w:rsid w:val="001A3E73"/>
    <w:rsid w:val="001A58A5"/>
    <w:rsid w:val="001A58E5"/>
    <w:rsid w:val="001A6636"/>
    <w:rsid w:val="001A69E7"/>
    <w:rsid w:val="001A7230"/>
    <w:rsid w:val="001B08DD"/>
    <w:rsid w:val="001B15D1"/>
    <w:rsid w:val="001B1E0D"/>
    <w:rsid w:val="001B225D"/>
    <w:rsid w:val="001B284C"/>
    <w:rsid w:val="001B28F1"/>
    <w:rsid w:val="001B2F54"/>
    <w:rsid w:val="001B3D89"/>
    <w:rsid w:val="001B423E"/>
    <w:rsid w:val="001B513E"/>
    <w:rsid w:val="001C0129"/>
    <w:rsid w:val="001C0229"/>
    <w:rsid w:val="001C082B"/>
    <w:rsid w:val="001C0DC9"/>
    <w:rsid w:val="001C0F0B"/>
    <w:rsid w:val="001C1539"/>
    <w:rsid w:val="001C1546"/>
    <w:rsid w:val="001C1896"/>
    <w:rsid w:val="001C1A95"/>
    <w:rsid w:val="001C2122"/>
    <w:rsid w:val="001C2DBD"/>
    <w:rsid w:val="001C2E77"/>
    <w:rsid w:val="001C5F05"/>
    <w:rsid w:val="001C61AA"/>
    <w:rsid w:val="001C6C16"/>
    <w:rsid w:val="001C6EDB"/>
    <w:rsid w:val="001C7966"/>
    <w:rsid w:val="001C7B3E"/>
    <w:rsid w:val="001D0966"/>
    <w:rsid w:val="001D0E8E"/>
    <w:rsid w:val="001D140B"/>
    <w:rsid w:val="001D54FF"/>
    <w:rsid w:val="001D578E"/>
    <w:rsid w:val="001D5DAF"/>
    <w:rsid w:val="001E0896"/>
    <w:rsid w:val="001E1B4B"/>
    <w:rsid w:val="001E3E85"/>
    <w:rsid w:val="001E406D"/>
    <w:rsid w:val="001E6F8A"/>
    <w:rsid w:val="001E7903"/>
    <w:rsid w:val="001F0915"/>
    <w:rsid w:val="001F2450"/>
    <w:rsid w:val="001F3299"/>
    <w:rsid w:val="001F384C"/>
    <w:rsid w:val="001F49D3"/>
    <w:rsid w:val="001F515E"/>
    <w:rsid w:val="001F58C1"/>
    <w:rsid w:val="001F6505"/>
    <w:rsid w:val="001F7059"/>
    <w:rsid w:val="001F7374"/>
    <w:rsid w:val="002006B3"/>
    <w:rsid w:val="002007B5"/>
    <w:rsid w:val="00200891"/>
    <w:rsid w:val="00200F08"/>
    <w:rsid w:val="002011A0"/>
    <w:rsid w:val="0020178B"/>
    <w:rsid w:val="00201D3C"/>
    <w:rsid w:val="00201FFF"/>
    <w:rsid w:val="00202156"/>
    <w:rsid w:val="00202DC2"/>
    <w:rsid w:val="00203578"/>
    <w:rsid w:val="00203DDB"/>
    <w:rsid w:val="0020494C"/>
    <w:rsid w:val="00204F54"/>
    <w:rsid w:val="00205291"/>
    <w:rsid w:val="00205E6C"/>
    <w:rsid w:val="00206F24"/>
    <w:rsid w:val="00206F94"/>
    <w:rsid w:val="002078B5"/>
    <w:rsid w:val="002105B4"/>
    <w:rsid w:val="00211423"/>
    <w:rsid w:val="00212E4E"/>
    <w:rsid w:val="00212F09"/>
    <w:rsid w:val="0021418A"/>
    <w:rsid w:val="00214309"/>
    <w:rsid w:val="00214376"/>
    <w:rsid w:val="002148DE"/>
    <w:rsid w:val="00214F95"/>
    <w:rsid w:val="002159CC"/>
    <w:rsid w:val="0021620B"/>
    <w:rsid w:val="0021724E"/>
    <w:rsid w:val="00217BB7"/>
    <w:rsid w:val="00217BC7"/>
    <w:rsid w:val="00220444"/>
    <w:rsid w:val="002215F6"/>
    <w:rsid w:val="0022178B"/>
    <w:rsid w:val="00221AEA"/>
    <w:rsid w:val="002221BA"/>
    <w:rsid w:val="002222A9"/>
    <w:rsid w:val="0022269B"/>
    <w:rsid w:val="002227A0"/>
    <w:rsid w:val="0022285B"/>
    <w:rsid w:val="00223A8A"/>
    <w:rsid w:val="002247B5"/>
    <w:rsid w:val="00224F3D"/>
    <w:rsid w:val="00225EF3"/>
    <w:rsid w:val="002265B7"/>
    <w:rsid w:val="0023090F"/>
    <w:rsid w:val="002312DC"/>
    <w:rsid w:val="00231322"/>
    <w:rsid w:val="00231713"/>
    <w:rsid w:val="00233135"/>
    <w:rsid w:val="0023333E"/>
    <w:rsid w:val="00235DE7"/>
    <w:rsid w:val="0023633D"/>
    <w:rsid w:val="00236F42"/>
    <w:rsid w:val="00237D56"/>
    <w:rsid w:val="00237EA1"/>
    <w:rsid w:val="00240494"/>
    <w:rsid w:val="002411C2"/>
    <w:rsid w:val="00241466"/>
    <w:rsid w:val="0024152C"/>
    <w:rsid w:val="00241E37"/>
    <w:rsid w:val="0024225C"/>
    <w:rsid w:val="002426FF"/>
    <w:rsid w:val="002434B0"/>
    <w:rsid w:val="0024461F"/>
    <w:rsid w:val="00245DE5"/>
    <w:rsid w:val="00246652"/>
    <w:rsid w:val="00246A94"/>
    <w:rsid w:val="00246CCA"/>
    <w:rsid w:val="00247AA1"/>
    <w:rsid w:val="0025197A"/>
    <w:rsid w:val="00251E8D"/>
    <w:rsid w:val="0025208A"/>
    <w:rsid w:val="0025225B"/>
    <w:rsid w:val="002529D0"/>
    <w:rsid w:val="0025413C"/>
    <w:rsid w:val="002548F5"/>
    <w:rsid w:val="0025509D"/>
    <w:rsid w:val="00255BB2"/>
    <w:rsid w:val="00255EC4"/>
    <w:rsid w:val="00256134"/>
    <w:rsid w:val="0025710A"/>
    <w:rsid w:val="00257AFE"/>
    <w:rsid w:val="002605FF"/>
    <w:rsid w:val="002606CC"/>
    <w:rsid w:val="00260E15"/>
    <w:rsid w:val="00260F25"/>
    <w:rsid w:val="00262391"/>
    <w:rsid w:val="0026275B"/>
    <w:rsid w:val="002631B3"/>
    <w:rsid w:val="00263320"/>
    <w:rsid w:val="00263BAA"/>
    <w:rsid w:val="00264344"/>
    <w:rsid w:val="002656EE"/>
    <w:rsid w:val="00265C86"/>
    <w:rsid w:val="0026640B"/>
    <w:rsid w:val="002670F3"/>
    <w:rsid w:val="00267C08"/>
    <w:rsid w:val="002701CC"/>
    <w:rsid w:val="00270238"/>
    <w:rsid w:val="00270EC7"/>
    <w:rsid w:val="00271949"/>
    <w:rsid w:val="00271D71"/>
    <w:rsid w:val="00272799"/>
    <w:rsid w:val="00272965"/>
    <w:rsid w:val="00272D1C"/>
    <w:rsid w:val="0027331D"/>
    <w:rsid w:val="002734E6"/>
    <w:rsid w:val="0027376C"/>
    <w:rsid w:val="0027377C"/>
    <w:rsid w:val="002737D1"/>
    <w:rsid w:val="00273E07"/>
    <w:rsid w:val="00274FE5"/>
    <w:rsid w:val="0027597F"/>
    <w:rsid w:val="00275DC3"/>
    <w:rsid w:val="002761CF"/>
    <w:rsid w:val="00276A04"/>
    <w:rsid w:val="00277B8E"/>
    <w:rsid w:val="00280063"/>
    <w:rsid w:val="00280529"/>
    <w:rsid w:val="00280C23"/>
    <w:rsid w:val="002813DA"/>
    <w:rsid w:val="00281919"/>
    <w:rsid w:val="00281B5F"/>
    <w:rsid w:val="00282319"/>
    <w:rsid w:val="00282904"/>
    <w:rsid w:val="002835CD"/>
    <w:rsid w:val="002845D3"/>
    <w:rsid w:val="002849E2"/>
    <w:rsid w:val="00284F4A"/>
    <w:rsid w:val="00285219"/>
    <w:rsid w:val="00285834"/>
    <w:rsid w:val="0028617D"/>
    <w:rsid w:val="00286E64"/>
    <w:rsid w:val="00290413"/>
    <w:rsid w:val="00290581"/>
    <w:rsid w:val="0029124F"/>
    <w:rsid w:val="00291830"/>
    <w:rsid w:val="00291A72"/>
    <w:rsid w:val="00291E65"/>
    <w:rsid w:val="002932FA"/>
    <w:rsid w:val="002933E1"/>
    <w:rsid w:val="002934EA"/>
    <w:rsid w:val="0029402D"/>
    <w:rsid w:val="00294D11"/>
    <w:rsid w:val="00294EAE"/>
    <w:rsid w:val="002958D6"/>
    <w:rsid w:val="00296036"/>
    <w:rsid w:val="0029689E"/>
    <w:rsid w:val="002968BE"/>
    <w:rsid w:val="00296C2A"/>
    <w:rsid w:val="002A061A"/>
    <w:rsid w:val="002A0E65"/>
    <w:rsid w:val="002A133D"/>
    <w:rsid w:val="002A194A"/>
    <w:rsid w:val="002A40B8"/>
    <w:rsid w:val="002A4B13"/>
    <w:rsid w:val="002A5926"/>
    <w:rsid w:val="002A78DA"/>
    <w:rsid w:val="002B033D"/>
    <w:rsid w:val="002B104F"/>
    <w:rsid w:val="002B2AC5"/>
    <w:rsid w:val="002B319C"/>
    <w:rsid w:val="002B32CF"/>
    <w:rsid w:val="002B59E5"/>
    <w:rsid w:val="002B6910"/>
    <w:rsid w:val="002B6923"/>
    <w:rsid w:val="002B6CFB"/>
    <w:rsid w:val="002C02AC"/>
    <w:rsid w:val="002C07CD"/>
    <w:rsid w:val="002C0889"/>
    <w:rsid w:val="002C0BC8"/>
    <w:rsid w:val="002C0FDA"/>
    <w:rsid w:val="002C2633"/>
    <w:rsid w:val="002C2B63"/>
    <w:rsid w:val="002C2F6E"/>
    <w:rsid w:val="002C35DA"/>
    <w:rsid w:val="002C4121"/>
    <w:rsid w:val="002C499D"/>
    <w:rsid w:val="002C4D45"/>
    <w:rsid w:val="002C5B71"/>
    <w:rsid w:val="002C5F58"/>
    <w:rsid w:val="002C6763"/>
    <w:rsid w:val="002C78E2"/>
    <w:rsid w:val="002C7961"/>
    <w:rsid w:val="002D08D2"/>
    <w:rsid w:val="002D13C1"/>
    <w:rsid w:val="002D1577"/>
    <w:rsid w:val="002D21B2"/>
    <w:rsid w:val="002D295A"/>
    <w:rsid w:val="002D2E45"/>
    <w:rsid w:val="002D324B"/>
    <w:rsid w:val="002D4AD2"/>
    <w:rsid w:val="002D557E"/>
    <w:rsid w:val="002D597B"/>
    <w:rsid w:val="002D6C49"/>
    <w:rsid w:val="002D7C2C"/>
    <w:rsid w:val="002E00E0"/>
    <w:rsid w:val="002E1080"/>
    <w:rsid w:val="002E15FD"/>
    <w:rsid w:val="002E1B5E"/>
    <w:rsid w:val="002E1CB9"/>
    <w:rsid w:val="002E1F6F"/>
    <w:rsid w:val="002E32D6"/>
    <w:rsid w:val="002E387E"/>
    <w:rsid w:val="002E4526"/>
    <w:rsid w:val="002E4B5E"/>
    <w:rsid w:val="002E4BD1"/>
    <w:rsid w:val="002E7409"/>
    <w:rsid w:val="002F035C"/>
    <w:rsid w:val="002F038C"/>
    <w:rsid w:val="002F191C"/>
    <w:rsid w:val="002F1A92"/>
    <w:rsid w:val="002F1C7E"/>
    <w:rsid w:val="002F1EE1"/>
    <w:rsid w:val="002F1F96"/>
    <w:rsid w:val="002F4E62"/>
    <w:rsid w:val="002F683C"/>
    <w:rsid w:val="002F68E7"/>
    <w:rsid w:val="002F6CB2"/>
    <w:rsid w:val="002F7762"/>
    <w:rsid w:val="002F7BDB"/>
    <w:rsid w:val="002F7F72"/>
    <w:rsid w:val="00300246"/>
    <w:rsid w:val="00300974"/>
    <w:rsid w:val="003014DB"/>
    <w:rsid w:val="0030167C"/>
    <w:rsid w:val="0030210A"/>
    <w:rsid w:val="00302124"/>
    <w:rsid w:val="0030281F"/>
    <w:rsid w:val="0030292A"/>
    <w:rsid w:val="00302B82"/>
    <w:rsid w:val="00302E29"/>
    <w:rsid w:val="003030F5"/>
    <w:rsid w:val="003035BF"/>
    <w:rsid w:val="0030377D"/>
    <w:rsid w:val="00304523"/>
    <w:rsid w:val="00305A18"/>
    <w:rsid w:val="0030610E"/>
    <w:rsid w:val="00307726"/>
    <w:rsid w:val="003113A5"/>
    <w:rsid w:val="00311599"/>
    <w:rsid w:val="00312283"/>
    <w:rsid w:val="003124CA"/>
    <w:rsid w:val="00313340"/>
    <w:rsid w:val="00314488"/>
    <w:rsid w:val="00314FC1"/>
    <w:rsid w:val="0031604F"/>
    <w:rsid w:val="003163D7"/>
    <w:rsid w:val="0031699C"/>
    <w:rsid w:val="003176CF"/>
    <w:rsid w:val="00320568"/>
    <w:rsid w:val="00320677"/>
    <w:rsid w:val="0032155A"/>
    <w:rsid w:val="00321A2A"/>
    <w:rsid w:val="00321BED"/>
    <w:rsid w:val="00321E74"/>
    <w:rsid w:val="00321FAD"/>
    <w:rsid w:val="00322743"/>
    <w:rsid w:val="003243DE"/>
    <w:rsid w:val="0032441D"/>
    <w:rsid w:val="00324762"/>
    <w:rsid w:val="00324906"/>
    <w:rsid w:val="00326A31"/>
    <w:rsid w:val="00327A42"/>
    <w:rsid w:val="003307D0"/>
    <w:rsid w:val="00330984"/>
    <w:rsid w:val="00330B2E"/>
    <w:rsid w:val="003314F6"/>
    <w:rsid w:val="003319E7"/>
    <w:rsid w:val="00331E73"/>
    <w:rsid w:val="00332007"/>
    <w:rsid w:val="0033289D"/>
    <w:rsid w:val="00333D12"/>
    <w:rsid w:val="00333F75"/>
    <w:rsid w:val="00334B5F"/>
    <w:rsid w:val="00335944"/>
    <w:rsid w:val="00335AAB"/>
    <w:rsid w:val="00335F94"/>
    <w:rsid w:val="003376CD"/>
    <w:rsid w:val="00337712"/>
    <w:rsid w:val="00340513"/>
    <w:rsid w:val="00340844"/>
    <w:rsid w:val="00340C14"/>
    <w:rsid w:val="00340EEC"/>
    <w:rsid w:val="00342588"/>
    <w:rsid w:val="00342B93"/>
    <w:rsid w:val="00342F91"/>
    <w:rsid w:val="00344DCF"/>
    <w:rsid w:val="003455E5"/>
    <w:rsid w:val="00346FB4"/>
    <w:rsid w:val="003500E0"/>
    <w:rsid w:val="003502DA"/>
    <w:rsid w:val="00350537"/>
    <w:rsid w:val="00351C0F"/>
    <w:rsid w:val="00351CF4"/>
    <w:rsid w:val="00351F00"/>
    <w:rsid w:val="00352622"/>
    <w:rsid w:val="003526A9"/>
    <w:rsid w:val="00352743"/>
    <w:rsid w:val="00353C94"/>
    <w:rsid w:val="0035447F"/>
    <w:rsid w:val="0035559B"/>
    <w:rsid w:val="00355805"/>
    <w:rsid w:val="003560CF"/>
    <w:rsid w:val="00356C66"/>
    <w:rsid w:val="00357827"/>
    <w:rsid w:val="00357A07"/>
    <w:rsid w:val="00357B9B"/>
    <w:rsid w:val="00360B8B"/>
    <w:rsid w:val="00360B98"/>
    <w:rsid w:val="0036166A"/>
    <w:rsid w:val="00362656"/>
    <w:rsid w:val="00362A42"/>
    <w:rsid w:val="00362F09"/>
    <w:rsid w:val="00362F21"/>
    <w:rsid w:val="00363E23"/>
    <w:rsid w:val="0036475D"/>
    <w:rsid w:val="00364FAC"/>
    <w:rsid w:val="003650DB"/>
    <w:rsid w:val="003659CB"/>
    <w:rsid w:val="00366465"/>
    <w:rsid w:val="00366579"/>
    <w:rsid w:val="003667E8"/>
    <w:rsid w:val="0036772E"/>
    <w:rsid w:val="003701F5"/>
    <w:rsid w:val="00370326"/>
    <w:rsid w:val="0037122C"/>
    <w:rsid w:val="003717C7"/>
    <w:rsid w:val="00372158"/>
    <w:rsid w:val="0037298D"/>
    <w:rsid w:val="003732C5"/>
    <w:rsid w:val="00373D94"/>
    <w:rsid w:val="0037469C"/>
    <w:rsid w:val="00374937"/>
    <w:rsid w:val="00374AED"/>
    <w:rsid w:val="00375900"/>
    <w:rsid w:val="00375EC9"/>
    <w:rsid w:val="00376602"/>
    <w:rsid w:val="00376672"/>
    <w:rsid w:val="00377AF1"/>
    <w:rsid w:val="00380157"/>
    <w:rsid w:val="00380893"/>
    <w:rsid w:val="003808EF"/>
    <w:rsid w:val="00382FB3"/>
    <w:rsid w:val="003837BF"/>
    <w:rsid w:val="00383DB9"/>
    <w:rsid w:val="00383FD9"/>
    <w:rsid w:val="00384809"/>
    <w:rsid w:val="00384F75"/>
    <w:rsid w:val="0038705A"/>
    <w:rsid w:val="003871A8"/>
    <w:rsid w:val="00387816"/>
    <w:rsid w:val="00387C68"/>
    <w:rsid w:val="00387DD5"/>
    <w:rsid w:val="003913F0"/>
    <w:rsid w:val="00394B8A"/>
    <w:rsid w:val="00395600"/>
    <w:rsid w:val="0039608E"/>
    <w:rsid w:val="003966CC"/>
    <w:rsid w:val="00396A14"/>
    <w:rsid w:val="00397527"/>
    <w:rsid w:val="003A05A6"/>
    <w:rsid w:val="003A0A2F"/>
    <w:rsid w:val="003A0B0D"/>
    <w:rsid w:val="003A1535"/>
    <w:rsid w:val="003A17F4"/>
    <w:rsid w:val="003A2A59"/>
    <w:rsid w:val="003A2E9A"/>
    <w:rsid w:val="003A2ED4"/>
    <w:rsid w:val="003A4384"/>
    <w:rsid w:val="003A47D5"/>
    <w:rsid w:val="003A48CC"/>
    <w:rsid w:val="003A4C1A"/>
    <w:rsid w:val="003A4C42"/>
    <w:rsid w:val="003A66D2"/>
    <w:rsid w:val="003A696E"/>
    <w:rsid w:val="003A6A3F"/>
    <w:rsid w:val="003A6B7A"/>
    <w:rsid w:val="003B0184"/>
    <w:rsid w:val="003B177F"/>
    <w:rsid w:val="003B1CAE"/>
    <w:rsid w:val="003B3079"/>
    <w:rsid w:val="003B457F"/>
    <w:rsid w:val="003B4BAF"/>
    <w:rsid w:val="003B5A24"/>
    <w:rsid w:val="003B5DD0"/>
    <w:rsid w:val="003B708B"/>
    <w:rsid w:val="003B7A3A"/>
    <w:rsid w:val="003C0227"/>
    <w:rsid w:val="003C0BC8"/>
    <w:rsid w:val="003C1378"/>
    <w:rsid w:val="003C1681"/>
    <w:rsid w:val="003C1862"/>
    <w:rsid w:val="003C2894"/>
    <w:rsid w:val="003C2B24"/>
    <w:rsid w:val="003C39DB"/>
    <w:rsid w:val="003C410F"/>
    <w:rsid w:val="003C4C1B"/>
    <w:rsid w:val="003C6220"/>
    <w:rsid w:val="003C73AC"/>
    <w:rsid w:val="003D34D4"/>
    <w:rsid w:val="003D4DE2"/>
    <w:rsid w:val="003D5386"/>
    <w:rsid w:val="003D549A"/>
    <w:rsid w:val="003D6411"/>
    <w:rsid w:val="003D6AD1"/>
    <w:rsid w:val="003D6B39"/>
    <w:rsid w:val="003E0178"/>
    <w:rsid w:val="003E0296"/>
    <w:rsid w:val="003E18CF"/>
    <w:rsid w:val="003E3DDD"/>
    <w:rsid w:val="003E5B11"/>
    <w:rsid w:val="003E5FD4"/>
    <w:rsid w:val="003E6285"/>
    <w:rsid w:val="003E6501"/>
    <w:rsid w:val="003E6747"/>
    <w:rsid w:val="003E6929"/>
    <w:rsid w:val="003E7481"/>
    <w:rsid w:val="003F0E69"/>
    <w:rsid w:val="003F169E"/>
    <w:rsid w:val="003F1B16"/>
    <w:rsid w:val="003F30A5"/>
    <w:rsid w:val="003F4088"/>
    <w:rsid w:val="003F4D1D"/>
    <w:rsid w:val="003F54D8"/>
    <w:rsid w:val="003F77D9"/>
    <w:rsid w:val="003F78FB"/>
    <w:rsid w:val="003F7C27"/>
    <w:rsid w:val="003F7D61"/>
    <w:rsid w:val="003F7FD6"/>
    <w:rsid w:val="00401670"/>
    <w:rsid w:val="004030E1"/>
    <w:rsid w:val="0040451B"/>
    <w:rsid w:val="0040455C"/>
    <w:rsid w:val="00404C1C"/>
    <w:rsid w:val="004059FE"/>
    <w:rsid w:val="004067EA"/>
    <w:rsid w:val="004117A7"/>
    <w:rsid w:val="00411942"/>
    <w:rsid w:val="00411A30"/>
    <w:rsid w:val="00411F39"/>
    <w:rsid w:val="00412C62"/>
    <w:rsid w:val="0041360E"/>
    <w:rsid w:val="00414151"/>
    <w:rsid w:val="0041454B"/>
    <w:rsid w:val="00414943"/>
    <w:rsid w:val="00415B9F"/>
    <w:rsid w:val="00416CE4"/>
    <w:rsid w:val="00416DEA"/>
    <w:rsid w:val="00416EE3"/>
    <w:rsid w:val="00420331"/>
    <w:rsid w:val="00420E36"/>
    <w:rsid w:val="0042214C"/>
    <w:rsid w:val="004234B3"/>
    <w:rsid w:val="00423E2D"/>
    <w:rsid w:val="0042414B"/>
    <w:rsid w:val="00424A87"/>
    <w:rsid w:val="00424C66"/>
    <w:rsid w:val="004254AC"/>
    <w:rsid w:val="00425777"/>
    <w:rsid w:val="00426DE2"/>
    <w:rsid w:val="004276C6"/>
    <w:rsid w:val="0043014C"/>
    <w:rsid w:val="00430511"/>
    <w:rsid w:val="00431C9D"/>
    <w:rsid w:val="0043209F"/>
    <w:rsid w:val="0043488B"/>
    <w:rsid w:val="004357D6"/>
    <w:rsid w:val="00435B26"/>
    <w:rsid w:val="00435D3A"/>
    <w:rsid w:val="00435EF6"/>
    <w:rsid w:val="00436320"/>
    <w:rsid w:val="0043680D"/>
    <w:rsid w:val="0043755C"/>
    <w:rsid w:val="00437DBF"/>
    <w:rsid w:val="00440461"/>
    <w:rsid w:val="004404FA"/>
    <w:rsid w:val="0044194E"/>
    <w:rsid w:val="00442D9C"/>
    <w:rsid w:val="00442E92"/>
    <w:rsid w:val="00442F79"/>
    <w:rsid w:val="00443731"/>
    <w:rsid w:val="00443F8B"/>
    <w:rsid w:val="00444665"/>
    <w:rsid w:val="004446B2"/>
    <w:rsid w:val="00444F03"/>
    <w:rsid w:val="00445981"/>
    <w:rsid w:val="004463CE"/>
    <w:rsid w:val="004473CC"/>
    <w:rsid w:val="004509A5"/>
    <w:rsid w:val="00450BC2"/>
    <w:rsid w:val="00451107"/>
    <w:rsid w:val="004514E8"/>
    <w:rsid w:val="0045152D"/>
    <w:rsid w:val="004518C9"/>
    <w:rsid w:val="004520E5"/>
    <w:rsid w:val="00452322"/>
    <w:rsid w:val="004524C8"/>
    <w:rsid w:val="00453064"/>
    <w:rsid w:val="004531AF"/>
    <w:rsid w:val="00453475"/>
    <w:rsid w:val="0045415D"/>
    <w:rsid w:val="00454431"/>
    <w:rsid w:val="0045497F"/>
    <w:rsid w:val="004555B7"/>
    <w:rsid w:val="00455A74"/>
    <w:rsid w:val="00455D65"/>
    <w:rsid w:val="00456AA1"/>
    <w:rsid w:val="00457946"/>
    <w:rsid w:val="004600C8"/>
    <w:rsid w:val="0046019D"/>
    <w:rsid w:val="00460C2F"/>
    <w:rsid w:val="00462B32"/>
    <w:rsid w:val="00462BBE"/>
    <w:rsid w:val="0046421E"/>
    <w:rsid w:val="00465658"/>
    <w:rsid w:val="0046589A"/>
    <w:rsid w:val="0046646B"/>
    <w:rsid w:val="0046662A"/>
    <w:rsid w:val="004700E7"/>
    <w:rsid w:val="004713D9"/>
    <w:rsid w:val="00471AB2"/>
    <w:rsid w:val="00472722"/>
    <w:rsid w:val="00472D4E"/>
    <w:rsid w:val="00473774"/>
    <w:rsid w:val="00473A76"/>
    <w:rsid w:val="00473BA5"/>
    <w:rsid w:val="00473BBB"/>
    <w:rsid w:val="0047418B"/>
    <w:rsid w:val="0047725B"/>
    <w:rsid w:val="004777DB"/>
    <w:rsid w:val="004779C4"/>
    <w:rsid w:val="00480581"/>
    <w:rsid w:val="00482825"/>
    <w:rsid w:val="00482BC7"/>
    <w:rsid w:val="00482EA9"/>
    <w:rsid w:val="00483E71"/>
    <w:rsid w:val="00484F1B"/>
    <w:rsid w:val="004852D0"/>
    <w:rsid w:val="00485E1A"/>
    <w:rsid w:val="00486669"/>
    <w:rsid w:val="00486C05"/>
    <w:rsid w:val="0048781C"/>
    <w:rsid w:val="00487C42"/>
    <w:rsid w:val="004907FB"/>
    <w:rsid w:val="004916A3"/>
    <w:rsid w:val="00491A7A"/>
    <w:rsid w:val="00491CC1"/>
    <w:rsid w:val="004926D1"/>
    <w:rsid w:val="0049299C"/>
    <w:rsid w:val="0049301E"/>
    <w:rsid w:val="0049373A"/>
    <w:rsid w:val="0049399F"/>
    <w:rsid w:val="00494A7A"/>
    <w:rsid w:val="004958B1"/>
    <w:rsid w:val="00495A6D"/>
    <w:rsid w:val="00496468"/>
    <w:rsid w:val="00497120"/>
    <w:rsid w:val="00497226"/>
    <w:rsid w:val="004979FC"/>
    <w:rsid w:val="00497CAC"/>
    <w:rsid w:val="00497EFA"/>
    <w:rsid w:val="004A07B9"/>
    <w:rsid w:val="004A1800"/>
    <w:rsid w:val="004A201E"/>
    <w:rsid w:val="004A20B9"/>
    <w:rsid w:val="004A2237"/>
    <w:rsid w:val="004A2EC2"/>
    <w:rsid w:val="004A373D"/>
    <w:rsid w:val="004A3D57"/>
    <w:rsid w:val="004A4424"/>
    <w:rsid w:val="004A4A8C"/>
    <w:rsid w:val="004A5342"/>
    <w:rsid w:val="004A5B6C"/>
    <w:rsid w:val="004A77DE"/>
    <w:rsid w:val="004B0407"/>
    <w:rsid w:val="004B13CF"/>
    <w:rsid w:val="004B190B"/>
    <w:rsid w:val="004B2B1F"/>
    <w:rsid w:val="004B378D"/>
    <w:rsid w:val="004B37DC"/>
    <w:rsid w:val="004B4077"/>
    <w:rsid w:val="004B5619"/>
    <w:rsid w:val="004B5EE9"/>
    <w:rsid w:val="004B609F"/>
    <w:rsid w:val="004B6806"/>
    <w:rsid w:val="004B684E"/>
    <w:rsid w:val="004B6C1C"/>
    <w:rsid w:val="004B6D81"/>
    <w:rsid w:val="004B7305"/>
    <w:rsid w:val="004B7C90"/>
    <w:rsid w:val="004B7F8A"/>
    <w:rsid w:val="004C0707"/>
    <w:rsid w:val="004C093A"/>
    <w:rsid w:val="004C0DA4"/>
    <w:rsid w:val="004C0F05"/>
    <w:rsid w:val="004C144D"/>
    <w:rsid w:val="004C1639"/>
    <w:rsid w:val="004C1929"/>
    <w:rsid w:val="004C215B"/>
    <w:rsid w:val="004C254E"/>
    <w:rsid w:val="004C27E4"/>
    <w:rsid w:val="004C2AD6"/>
    <w:rsid w:val="004C464E"/>
    <w:rsid w:val="004C4E34"/>
    <w:rsid w:val="004C5BFA"/>
    <w:rsid w:val="004C5EB3"/>
    <w:rsid w:val="004C6D30"/>
    <w:rsid w:val="004C75BE"/>
    <w:rsid w:val="004D21B2"/>
    <w:rsid w:val="004D2775"/>
    <w:rsid w:val="004D2782"/>
    <w:rsid w:val="004D3481"/>
    <w:rsid w:val="004D379F"/>
    <w:rsid w:val="004D3DA3"/>
    <w:rsid w:val="004D5C82"/>
    <w:rsid w:val="004D5F96"/>
    <w:rsid w:val="004D72F5"/>
    <w:rsid w:val="004E06A0"/>
    <w:rsid w:val="004E071F"/>
    <w:rsid w:val="004E0C93"/>
    <w:rsid w:val="004E106F"/>
    <w:rsid w:val="004E1098"/>
    <w:rsid w:val="004E1DFF"/>
    <w:rsid w:val="004E220E"/>
    <w:rsid w:val="004E2ECF"/>
    <w:rsid w:val="004E3D58"/>
    <w:rsid w:val="004E431B"/>
    <w:rsid w:val="004E46B2"/>
    <w:rsid w:val="004E4E2C"/>
    <w:rsid w:val="004E5293"/>
    <w:rsid w:val="004E5A83"/>
    <w:rsid w:val="004F08B1"/>
    <w:rsid w:val="004F0B18"/>
    <w:rsid w:val="004F1F47"/>
    <w:rsid w:val="004F26FB"/>
    <w:rsid w:val="004F31BC"/>
    <w:rsid w:val="004F32A2"/>
    <w:rsid w:val="004F4215"/>
    <w:rsid w:val="004F4373"/>
    <w:rsid w:val="004F484A"/>
    <w:rsid w:val="004F4C12"/>
    <w:rsid w:val="004F51D5"/>
    <w:rsid w:val="004F625C"/>
    <w:rsid w:val="00500909"/>
    <w:rsid w:val="005014FB"/>
    <w:rsid w:val="00501697"/>
    <w:rsid w:val="005017E8"/>
    <w:rsid w:val="00502A21"/>
    <w:rsid w:val="00505E91"/>
    <w:rsid w:val="00506987"/>
    <w:rsid w:val="00507B51"/>
    <w:rsid w:val="00510AD1"/>
    <w:rsid w:val="00511B57"/>
    <w:rsid w:val="00511CB7"/>
    <w:rsid w:val="00512150"/>
    <w:rsid w:val="005130CF"/>
    <w:rsid w:val="00513178"/>
    <w:rsid w:val="00513BBF"/>
    <w:rsid w:val="00513C6B"/>
    <w:rsid w:val="00515A38"/>
    <w:rsid w:val="00515E45"/>
    <w:rsid w:val="00517BE2"/>
    <w:rsid w:val="00517F75"/>
    <w:rsid w:val="005214E1"/>
    <w:rsid w:val="00523C46"/>
    <w:rsid w:val="0052406C"/>
    <w:rsid w:val="0052435D"/>
    <w:rsid w:val="00524822"/>
    <w:rsid w:val="00524B00"/>
    <w:rsid w:val="00524D4D"/>
    <w:rsid w:val="005258CF"/>
    <w:rsid w:val="005279B5"/>
    <w:rsid w:val="005306E5"/>
    <w:rsid w:val="00532167"/>
    <w:rsid w:val="00532643"/>
    <w:rsid w:val="00532F9A"/>
    <w:rsid w:val="00533059"/>
    <w:rsid w:val="005330C2"/>
    <w:rsid w:val="00533185"/>
    <w:rsid w:val="0053425E"/>
    <w:rsid w:val="0053470D"/>
    <w:rsid w:val="00535082"/>
    <w:rsid w:val="0053517D"/>
    <w:rsid w:val="005369E6"/>
    <w:rsid w:val="00536CC3"/>
    <w:rsid w:val="005379C0"/>
    <w:rsid w:val="00537A0A"/>
    <w:rsid w:val="00537A91"/>
    <w:rsid w:val="00540273"/>
    <w:rsid w:val="00540434"/>
    <w:rsid w:val="005406BE"/>
    <w:rsid w:val="00542E65"/>
    <w:rsid w:val="00542EBE"/>
    <w:rsid w:val="005437C9"/>
    <w:rsid w:val="00543906"/>
    <w:rsid w:val="00543D59"/>
    <w:rsid w:val="00544802"/>
    <w:rsid w:val="00545186"/>
    <w:rsid w:val="005451FA"/>
    <w:rsid w:val="0054799D"/>
    <w:rsid w:val="00550417"/>
    <w:rsid w:val="00550AD2"/>
    <w:rsid w:val="00550C75"/>
    <w:rsid w:val="00550D58"/>
    <w:rsid w:val="00551592"/>
    <w:rsid w:val="005527D0"/>
    <w:rsid w:val="00553871"/>
    <w:rsid w:val="00553F22"/>
    <w:rsid w:val="00553F66"/>
    <w:rsid w:val="00554E75"/>
    <w:rsid w:val="00554F14"/>
    <w:rsid w:val="00555326"/>
    <w:rsid w:val="005553CD"/>
    <w:rsid w:val="00555BAA"/>
    <w:rsid w:val="005579D6"/>
    <w:rsid w:val="005600CE"/>
    <w:rsid w:val="00560BC6"/>
    <w:rsid w:val="0056186E"/>
    <w:rsid w:val="0056196B"/>
    <w:rsid w:val="00563CA8"/>
    <w:rsid w:val="005641F8"/>
    <w:rsid w:val="00564F47"/>
    <w:rsid w:val="005654B8"/>
    <w:rsid w:val="00565E58"/>
    <w:rsid w:val="00566CA2"/>
    <w:rsid w:val="0056703E"/>
    <w:rsid w:val="00567280"/>
    <w:rsid w:val="005673E6"/>
    <w:rsid w:val="005702B3"/>
    <w:rsid w:val="00570ACB"/>
    <w:rsid w:val="00570CC9"/>
    <w:rsid w:val="0057161C"/>
    <w:rsid w:val="00571C5A"/>
    <w:rsid w:val="005720B2"/>
    <w:rsid w:val="005731FA"/>
    <w:rsid w:val="00573332"/>
    <w:rsid w:val="005743AF"/>
    <w:rsid w:val="0057456C"/>
    <w:rsid w:val="00574CE7"/>
    <w:rsid w:val="00575809"/>
    <w:rsid w:val="00575EA4"/>
    <w:rsid w:val="00575F2C"/>
    <w:rsid w:val="00576B9C"/>
    <w:rsid w:val="00576BCF"/>
    <w:rsid w:val="00576F31"/>
    <w:rsid w:val="00577DEA"/>
    <w:rsid w:val="005807BB"/>
    <w:rsid w:val="005822E6"/>
    <w:rsid w:val="00582F4D"/>
    <w:rsid w:val="0058376D"/>
    <w:rsid w:val="00584051"/>
    <w:rsid w:val="0058427C"/>
    <w:rsid w:val="005860C0"/>
    <w:rsid w:val="0058617F"/>
    <w:rsid w:val="005861DA"/>
    <w:rsid w:val="00586389"/>
    <w:rsid w:val="005866A3"/>
    <w:rsid w:val="005868CE"/>
    <w:rsid w:val="00587269"/>
    <w:rsid w:val="00587B68"/>
    <w:rsid w:val="00587CA3"/>
    <w:rsid w:val="00590EE9"/>
    <w:rsid w:val="00591009"/>
    <w:rsid w:val="005911F5"/>
    <w:rsid w:val="005918CD"/>
    <w:rsid w:val="00591E12"/>
    <w:rsid w:val="00592032"/>
    <w:rsid w:val="00592297"/>
    <w:rsid w:val="005923FE"/>
    <w:rsid w:val="005924A9"/>
    <w:rsid w:val="0059286A"/>
    <w:rsid w:val="00592B16"/>
    <w:rsid w:val="00592DAE"/>
    <w:rsid w:val="005934CA"/>
    <w:rsid w:val="0059360F"/>
    <w:rsid w:val="00593B68"/>
    <w:rsid w:val="00593DF6"/>
    <w:rsid w:val="00594E07"/>
    <w:rsid w:val="00594E14"/>
    <w:rsid w:val="0059538C"/>
    <w:rsid w:val="00595D61"/>
    <w:rsid w:val="00596CF6"/>
    <w:rsid w:val="00597057"/>
    <w:rsid w:val="00597148"/>
    <w:rsid w:val="0059723C"/>
    <w:rsid w:val="005973F3"/>
    <w:rsid w:val="0059772B"/>
    <w:rsid w:val="00597754"/>
    <w:rsid w:val="005979BA"/>
    <w:rsid w:val="00597A82"/>
    <w:rsid w:val="00597E0E"/>
    <w:rsid w:val="005A003B"/>
    <w:rsid w:val="005A1D5A"/>
    <w:rsid w:val="005A28B0"/>
    <w:rsid w:val="005A2EB5"/>
    <w:rsid w:val="005A2F89"/>
    <w:rsid w:val="005A368A"/>
    <w:rsid w:val="005A398C"/>
    <w:rsid w:val="005A3B70"/>
    <w:rsid w:val="005A3FD8"/>
    <w:rsid w:val="005A4B44"/>
    <w:rsid w:val="005A4E23"/>
    <w:rsid w:val="005A69F0"/>
    <w:rsid w:val="005A7208"/>
    <w:rsid w:val="005A7CEA"/>
    <w:rsid w:val="005B0ED4"/>
    <w:rsid w:val="005B20E6"/>
    <w:rsid w:val="005B2335"/>
    <w:rsid w:val="005B2CEE"/>
    <w:rsid w:val="005B568D"/>
    <w:rsid w:val="005B6AB3"/>
    <w:rsid w:val="005B713C"/>
    <w:rsid w:val="005B77D0"/>
    <w:rsid w:val="005B7AE3"/>
    <w:rsid w:val="005B7CC7"/>
    <w:rsid w:val="005C06FF"/>
    <w:rsid w:val="005C090D"/>
    <w:rsid w:val="005C0BA6"/>
    <w:rsid w:val="005C140C"/>
    <w:rsid w:val="005C1BD9"/>
    <w:rsid w:val="005C1FFD"/>
    <w:rsid w:val="005C2D74"/>
    <w:rsid w:val="005C3310"/>
    <w:rsid w:val="005C36BB"/>
    <w:rsid w:val="005C36C2"/>
    <w:rsid w:val="005C4BD3"/>
    <w:rsid w:val="005C5B33"/>
    <w:rsid w:val="005C78AD"/>
    <w:rsid w:val="005C78CD"/>
    <w:rsid w:val="005D0171"/>
    <w:rsid w:val="005D05C4"/>
    <w:rsid w:val="005D0B27"/>
    <w:rsid w:val="005D0F2A"/>
    <w:rsid w:val="005D144C"/>
    <w:rsid w:val="005D20BD"/>
    <w:rsid w:val="005D30D3"/>
    <w:rsid w:val="005D3E49"/>
    <w:rsid w:val="005D517E"/>
    <w:rsid w:val="005D51AC"/>
    <w:rsid w:val="005D5220"/>
    <w:rsid w:val="005D5853"/>
    <w:rsid w:val="005D68F9"/>
    <w:rsid w:val="005D6E16"/>
    <w:rsid w:val="005D744E"/>
    <w:rsid w:val="005D79A4"/>
    <w:rsid w:val="005E00D6"/>
    <w:rsid w:val="005E0104"/>
    <w:rsid w:val="005E06A4"/>
    <w:rsid w:val="005E1229"/>
    <w:rsid w:val="005E152C"/>
    <w:rsid w:val="005E1ECB"/>
    <w:rsid w:val="005E21CB"/>
    <w:rsid w:val="005E297E"/>
    <w:rsid w:val="005E29B8"/>
    <w:rsid w:val="005E3D7B"/>
    <w:rsid w:val="005E45EA"/>
    <w:rsid w:val="005E5849"/>
    <w:rsid w:val="005E6809"/>
    <w:rsid w:val="005E6BF7"/>
    <w:rsid w:val="005E71AF"/>
    <w:rsid w:val="005E7944"/>
    <w:rsid w:val="005E7C07"/>
    <w:rsid w:val="005E7FD1"/>
    <w:rsid w:val="005F1C3C"/>
    <w:rsid w:val="005F3C63"/>
    <w:rsid w:val="005F3FA6"/>
    <w:rsid w:val="005F41D6"/>
    <w:rsid w:val="005F575D"/>
    <w:rsid w:val="005F6710"/>
    <w:rsid w:val="005F6F40"/>
    <w:rsid w:val="005F6F9D"/>
    <w:rsid w:val="005F7157"/>
    <w:rsid w:val="006006B1"/>
    <w:rsid w:val="00600A04"/>
    <w:rsid w:val="00601C15"/>
    <w:rsid w:val="00602842"/>
    <w:rsid w:val="00602ECA"/>
    <w:rsid w:val="006032C2"/>
    <w:rsid w:val="006056E6"/>
    <w:rsid w:val="00605F40"/>
    <w:rsid w:val="00606C51"/>
    <w:rsid w:val="00606E89"/>
    <w:rsid w:val="006100E7"/>
    <w:rsid w:val="006108D4"/>
    <w:rsid w:val="00610D1E"/>
    <w:rsid w:val="00611239"/>
    <w:rsid w:val="00612350"/>
    <w:rsid w:val="006126A6"/>
    <w:rsid w:val="006137D0"/>
    <w:rsid w:val="00613AD3"/>
    <w:rsid w:val="00613BEF"/>
    <w:rsid w:val="006148C7"/>
    <w:rsid w:val="006153F0"/>
    <w:rsid w:val="00615745"/>
    <w:rsid w:val="00615780"/>
    <w:rsid w:val="00615B8F"/>
    <w:rsid w:val="00616B57"/>
    <w:rsid w:val="006178B8"/>
    <w:rsid w:val="00617B5D"/>
    <w:rsid w:val="006207F4"/>
    <w:rsid w:val="00621696"/>
    <w:rsid w:val="00622478"/>
    <w:rsid w:val="006225BF"/>
    <w:rsid w:val="00622783"/>
    <w:rsid w:val="00622824"/>
    <w:rsid w:val="00622A4A"/>
    <w:rsid w:val="00622B9F"/>
    <w:rsid w:val="0062345E"/>
    <w:rsid w:val="006235B2"/>
    <w:rsid w:val="00624D74"/>
    <w:rsid w:val="006253F3"/>
    <w:rsid w:val="00625A9B"/>
    <w:rsid w:val="00625C41"/>
    <w:rsid w:val="006266C0"/>
    <w:rsid w:val="00627F01"/>
    <w:rsid w:val="0063084E"/>
    <w:rsid w:val="0063189C"/>
    <w:rsid w:val="00634A06"/>
    <w:rsid w:val="00635636"/>
    <w:rsid w:val="00635D59"/>
    <w:rsid w:val="006361C2"/>
    <w:rsid w:val="00636659"/>
    <w:rsid w:val="00636ACF"/>
    <w:rsid w:val="00636F3C"/>
    <w:rsid w:val="00637185"/>
    <w:rsid w:val="006372F9"/>
    <w:rsid w:val="00637E93"/>
    <w:rsid w:val="0064003C"/>
    <w:rsid w:val="00640E12"/>
    <w:rsid w:val="0064111F"/>
    <w:rsid w:val="006420A9"/>
    <w:rsid w:val="00642B77"/>
    <w:rsid w:val="00642C23"/>
    <w:rsid w:val="00642E5C"/>
    <w:rsid w:val="00644D5B"/>
    <w:rsid w:val="00644DD5"/>
    <w:rsid w:val="00645900"/>
    <w:rsid w:val="006460BC"/>
    <w:rsid w:val="0064729C"/>
    <w:rsid w:val="006474F0"/>
    <w:rsid w:val="006511D1"/>
    <w:rsid w:val="0065190A"/>
    <w:rsid w:val="00651F60"/>
    <w:rsid w:val="00652A1E"/>
    <w:rsid w:val="00652FD7"/>
    <w:rsid w:val="00653546"/>
    <w:rsid w:val="00653817"/>
    <w:rsid w:val="00653892"/>
    <w:rsid w:val="00655EB5"/>
    <w:rsid w:val="00657887"/>
    <w:rsid w:val="0066049B"/>
    <w:rsid w:val="0066078D"/>
    <w:rsid w:val="00660B97"/>
    <w:rsid w:val="00663A8D"/>
    <w:rsid w:val="00664608"/>
    <w:rsid w:val="00664932"/>
    <w:rsid w:val="00664F2D"/>
    <w:rsid w:val="006654FC"/>
    <w:rsid w:val="00666D27"/>
    <w:rsid w:val="00667BF6"/>
    <w:rsid w:val="00667F22"/>
    <w:rsid w:val="0067066A"/>
    <w:rsid w:val="00670E56"/>
    <w:rsid w:val="006711E7"/>
    <w:rsid w:val="00671208"/>
    <w:rsid w:val="006712A4"/>
    <w:rsid w:val="006719C7"/>
    <w:rsid w:val="00671FF5"/>
    <w:rsid w:val="00672107"/>
    <w:rsid w:val="006726B4"/>
    <w:rsid w:val="00672800"/>
    <w:rsid w:val="00672B0E"/>
    <w:rsid w:val="006761C5"/>
    <w:rsid w:val="00676912"/>
    <w:rsid w:val="00677A01"/>
    <w:rsid w:val="00677BCC"/>
    <w:rsid w:val="00680B0E"/>
    <w:rsid w:val="006820D6"/>
    <w:rsid w:val="006828B7"/>
    <w:rsid w:val="00682C52"/>
    <w:rsid w:val="006869CC"/>
    <w:rsid w:val="00687AF1"/>
    <w:rsid w:val="00687B2D"/>
    <w:rsid w:val="00690892"/>
    <w:rsid w:val="00690DCC"/>
    <w:rsid w:val="00691BC8"/>
    <w:rsid w:val="006923D9"/>
    <w:rsid w:val="006926DE"/>
    <w:rsid w:val="00692D89"/>
    <w:rsid w:val="00692F61"/>
    <w:rsid w:val="00693AAD"/>
    <w:rsid w:val="00693BA5"/>
    <w:rsid w:val="00694829"/>
    <w:rsid w:val="00694B06"/>
    <w:rsid w:val="0069553E"/>
    <w:rsid w:val="00695689"/>
    <w:rsid w:val="0069637C"/>
    <w:rsid w:val="00697A0A"/>
    <w:rsid w:val="006A125C"/>
    <w:rsid w:val="006A1400"/>
    <w:rsid w:val="006A141B"/>
    <w:rsid w:val="006A1D83"/>
    <w:rsid w:val="006A1FF2"/>
    <w:rsid w:val="006A277E"/>
    <w:rsid w:val="006A3840"/>
    <w:rsid w:val="006A5689"/>
    <w:rsid w:val="006A6176"/>
    <w:rsid w:val="006A61B9"/>
    <w:rsid w:val="006A6531"/>
    <w:rsid w:val="006A6745"/>
    <w:rsid w:val="006A6A3A"/>
    <w:rsid w:val="006B019D"/>
    <w:rsid w:val="006B4359"/>
    <w:rsid w:val="006B5635"/>
    <w:rsid w:val="006B6057"/>
    <w:rsid w:val="006B7334"/>
    <w:rsid w:val="006C156B"/>
    <w:rsid w:val="006C19F7"/>
    <w:rsid w:val="006C24E3"/>
    <w:rsid w:val="006C32AB"/>
    <w:rsid w:val="006C59A6"/>
    <w:rsid w:val="006C5BF8"/>
    <w:rsid w:val="006C61DD"/>
    <w:rsid w:val="006C759A"/>
    <w:rsid w:val="006D021B"/>
    <w:rsid w:val="006D02DC"/>
    <w:rsid w:val="006D0432"/>
    <w:rsid w:val="006D05CD"/>
    <w:rsid w:val="006D0A93"/>
    <w:rsid w:val="006D0FA0"/>
    <w:rsid w:val="006D1028"/>
    <w:rsid w:val="006D109A"/>
    <w:rsid w:val="006D28F6"/>
    <w:rsid w:val="006D3276"/>
    <w:rsid w:val="006D3B66"/>
    <w:rsid w:val="006D4791"/>
    <w:rsid w:val="006D547A"/>
    <w:rsid w:val="006D55EB"/>
    <w:rsid w:val="006D5667"/>
    <w:rsid w:val="006D5DD0"/>
    <w:rsid w:val="006D705A"/>
    <w:rsid w:val="006E098F"/>
    <w:rsid w:val="006E11FC"/>
    <w:rsid w:val="006E171E"/>
    <w:rsid w:val="006E2165"/>
    <w:rsid w:val="006E22EB"/>
    <w:rsid w:val="006E247A"/>
    <w:rsid w:val="006E2EA4"/>
    <w:rsid w:val="006E3040"/>
    <w:rsid w:val="006E323B"/>
    <w:rsid w:val="006E3C71"/>
    <w:rsid w:val="006E478E"/>
    <w:rsid w:val="006E4CA4"/>
    <w:rsid w:val="006E7132"/>
    <w:rsid w:val="006E74BA"/>
    <w:rsid w:val="006E77DA"/>
    <w:rsid w:val="006E7A7F"/>
    <w:rsid w:val="006E7A98"/>
    <w:rsid w:val="006F11C3"/>
    <w:rsid w:val="006F1B43"/>
    <w:rsid w:val="006F25AB"/>
    <w:rsid w:val="006F2A29"/>
    <w:rsid w:val="006F2FC6"/>
    <w:rsid w:val="006F395C"/>
    <w:rsid w:val="006F3C31"/>
    <w:rsid w:val="006F3C3E"/>
    <w:rsid w:val="006F3F25"/>
    <w:rsid w:val="006F3F6F"/>
    <w:rsid w:val="006F419A"/>
    <w:rsid w:val="006F472D"/>
    <w:rsid w:val="006F47B9"/>
    <w:rsid w:val="006F47ED"/>
    <w:rsid w:val="006F5070"/>
    <w:rsid w:val="006F5464"/>
    <w:rsid w:val="006F5A51"/>
    <w:rsid w:val="006F5E1E"/>
    <w:rsid w:val="006F5FCB"/>
    <w:rsid w:val="006F62BB"/>
    <w:rsid w:val="006F6C6F"/>
    <w:rsid w:val="006F7F68"/>
    <w:rsid w:val="00701654"/>
    <w:rsid w:val="00701D35"/>
    <w:rsid w:val="007020FB"/>
    <w:rsid w:val="007023CD"/>
    <w:rsid w:val="00702574"/>
    <w:rsid w:val="00703206"/>
    <w:rsid w:val="00703B8F"/>
    <w:rsid w:val="00705820"/>
    <w:rsid w:val="00705CC9"/>
    <w:rsid w:val="00707D26"/>
    <w:rsid w:val="00710B35"/>
    <w:rsid w:val="00716003"/>
    <w:rsid w:val="00716380"/>
    <w:rsid w:val="00720DE2"/>
    <w:rsid w:val="007216D3"/>
    <w:rsid w:val="00722E29"/>
    <w:rsid w:val="00723BFC"/>
    <w:rsid w:val="00723C5F"/>
    <w:rsid w:val="00723E19"/>
    <w:rsid w:val="00723E36"/>
    <w:rsid w:val="00723EE7"/>
    <w:rsid w:val="00724992"/>
    <w:rsid w:val="00724DDC"/>
    <w:rsid w:val="0072504B"/>
    <w:rsid w:val="0072585D"/>
    <w:rsid w:val="007259F3"/>
    <w:rsid w:val="00726FAC"/>
    <w:rsid w:val="00727239"/>
    <w:rsid w:val="0072744E"/>
    <w:rsid w:val="007274F0"/>
    <w:rsid w:val="00727D8D"/>
    <w:rsid w:val="00730390"/>
    <w:rsid w:val="0073083B"/>
    <w:rsid w:val="00730931"/>
    <w:rsid w:val="007309BB"/>
    <w:rsid w:val="007310F2"/>
    <w:rsid w:val="00731C08"/>
    <w:rsid w:val="0073239D"/>
    <w:rsid w:val="00732811"/>
    <w:rsid w:val="00732D89"/>
    <w:rsid w:val="007330D3"/>
    <w:rsid w:val="00733E5C"/>
    <w:rsid w:val="00734DA7"/>
    <w:rsid w:val="0073649A"/>
    <w:rsid w:val="00736A33"/>
    <w:rsid w:val="0073728D"/>
    <w:rsid w:val="00737658"/>
    <w:rsid w:val="00737920"/>
    <w:rsid w:val="00737C83"/>
    <w:rsid w:val="00740DE5"/>
    <w:rsid w:val="00741536"/>
    <w:rsid w:val="007419A3"/>
    <w:rsid w:val="00741EC8"/>
    <w:rsid w:val="00742CD3"/>
    <w:rsid w:val="00742FE4"/>
    <w:rsid w:val="00743330"/>
    <w:rsid w:val="00743BA2"/>
    <w:rsid w:val="007461DD"/>
    <w:rsid w:val="00746907"/>
    <w:rsid w:val="00746EE2"/>
    <w:rsid w:val="00747A52"/>
    <w:rsid w:val="00750D78"/>
    <w:rsid w:val="00750E3D"/>
    <w:rsid w:val="00751908"/>
    <w:rsid w:val="0075586B"/>
    <w:rsid w:val="00756708"/>
    <w:rsid w:val="00756B83"/>
    <w:rsid w:val="00757513"/>
    <w:rsid w:val="007576C4"/>
    <w:rsid w:val="00760427"/>
    <w:rsid w:val="00761560"/>
    <w:rsid w:val="00762CB2"/>
    <w:rsid w:val="007635BA"/>
    <w:rsid w:val="00763C96"/>
    <w:rsid w:val="00763F65"/>
    <w:rsid w:val="00764631"/>
    <w:rsid w:val="00764D6B"/>
    <w:rsid w:val="00765A90"/>
    <w:rsid w:val="00765B7D"/>
    <w:rsid w:val="00765B8F"/>
    <w:rsid w:val="007661BB"/>
    <w:rsid w:val="0076650C"/>
    <w:rsid w:val="00766B9D"/>
    <w:rsid w:val="00767AE9"/>
    <w:rsid w:val="00767B52"/>
    <w:rsid w:val="00771490"/>
    <w:rsid w:val="00771536"/>
    <w:rsid w:val="00771B4C"/>
    <w:rsid w:val="00771B69"/>
    <w:rsid w:val="00771C6F"/>
    <w:rsid w:val="00771D95"/>
    <w:rsid w:val="00771FE2"/>
    <w:rsid w:val="0077314D"/>
    <w:rsid w:val="00773644"/>
    <w:rsid w:val="00773C1C"/>
    <w:rsid w:val="00774B3E"/>
    <w:rsid w:val="0077534C"/>
    <w:rsid w:val="007753F0"/>
    <w:rsid w:val="007758F0"/>
    <w:rsid w:val="00777569"/>
    <w:rsid w:val="007813A8"/>
    <w:rsid w:val="00782BF0"/>
    <w:rsid w:val="007831EF"/>
    <w:rsid w:val="00783AEF"/>
    <w:rsid w:val="00783DA7"/>
    <w:rsid w:val="00784BEF"/>
    <w:rsid w:val="00785A4E"/>
    <w:rsid w:val="00785EA8"/>
    <w:rsid w:val="00786E41"/>
    <w:rsid w:val="00787B77"/>
    <w:rsid w:val="0079043C"/>
    <w:rsid w:val="007905DC"/>
    <w:rsid w:val="007911F0"/>
    <w:rsid w:val="00791C90"/>
    <w:rsid w:val="00791D9F"/>
    <w:rsid w:val="007922AA"/>
    <w:rsid w:val="00792E62"/>
    <w:rsid w:val="00793804"/>
    <w:rsid w:val="00794A4B"/>
    <w:rsid w:val="007951CA"/>
    <w:rsid w:val="00795395"/>
    <w:rsid w:val="00795A73"/>
    <w:rsid w:val="00795C9A"/>
    <w:rsid w:val="00796559"/>
    <w:rsid w:val="007A18D2"/>
    <w:rsid w:val="007A1EC6"/>
    <w:rsid w:val="007A200F"/>
    <w:rsid w:val="007A268C"/>
    <w:rsid w:val="007A3087"/>
    <w:rsid w:val="007A3306"/>
    <w:rsid w:val="007A4916"/>
    <w:rsid w:val="007A60B7"/>
    <w:rsid w:val="007A6824"/>
    <w:rsid w:val="007A6996"/>
    <w:rsid w:val="007A6FF0"/>
    <w:rsid w:val="007B24BD"/>
    <w:rsid w:val="007B28C1"/>
    <w:rsid w:val="007B2DC4"/>
    <w:rsid w:val="007B3561"/>
    <w:rsid w:val="007B46E4"/>
    <w:rsid w:val="007B525F"/>
    <w:rsid w:val="007B5F1F"/>
    <w:rsid w:val="007B6D47"/>
    <w:rsid w:val="007B72E6"/>
    <w:rsid w:val="007B742D"/>
    <w:rsid w:val="007C1FDA"/>
    <w:rsid w:val="007C20A1"/>
    <w:rsid w:val="007C24A5"/>
    <w:rsid w:val="007C3B21"/>
    <w:rsid w:val="007C492D"/>
    <w:rsid w:val="007C5517"/>
    <w:rsid w:val="007C603A"/>
    <w:rsid w:val="007C615B"/>
    <w:rsid w:val="007C63F4"/>
    <w:rsid w:val="007C76BD"/>
    <w:rsid w:val="007C7848"/>
    <w:rsid w:val="007C7DC3"/>
    <w:rsid w:val="007C7E04"/>
    <w:rsid w:val="007D012C"/>
    <w:rsid w:val="007D0745"/>
    <w:rsid w:val="007D1245"/>
    <w:rsid w:val="007D13C6"/>
    <w:rsid w:val="007D348D"/>
    <w:rsid w:val="007D3841"/>
    <w:rsid w:val="007D41B8"/>
    <w:rsid w:val="007D4B38"/>
    <w:rsid w:val="007D53EB"/>
    <w:rsid w:val="007D555E"/>
    <w:rsid w:val="007D63FA"/>
    <w:rsid w:val="007D68F7"/>
    <w:rsid w:val="007D766A"/>
    <w:rsid w:val="007D77C1"/>
    <w:rsid w:val="007D7FDD"/>
    <w:rsid w:val="007E0604"/>
    <w:rsid w:val="007E0CE2"/>
    <w:rsid w:val="007E0D8B"/>
    <w:rsid w:val="007E15AA"/>
    <w:rsid w:val="007E2018"/>
    <w:rsid w:val="007E2B8C"/>
    <w:rsid w:val="007E4843"/>
    <w:rsid w:val="007E5921"/>
    <w:rsid w:val="007E6276"/>
    <w:rsid w:val="007E7748"/>
    <w:rsid w:val="007E7E1B"/>
    <w:rsid w:val="007F0144"/>
    <w:rsid w:val="007F17CB"/>
    <w:rsid w:val="007F1F53"/>
    <w:rsid w:val="007F40B8"/>
    <w:rsid w:val="007F47B5"/>
    <w:rsid w:val="007F48E8"/>
    <w:rsid w:val="007F50D4"/>
    <w:rsid w:val="007F5290"/>
    <w:rsid w:val="007F5E5D"/>
    <w:rsid w:val="007F6443"/>
    <w:rsid w:val="007F657D"/>
    <w:rsid w:val="007F6F31"/>
    <w:rsid w:val="007F7F65"/>
    <w:rsid w:val="008009B8"/>
    <w:rsid w:val="00800FE1"/>
    <w:rsid w:val="00802667"/>
    <w:rsid w:val="008044E4"/>
    <w:rsid w:val="00804AB1"/>
    <w:rsid w:val="00805541"/>
    <w:rsid w:val="00806066"/>
    <w:rsid w:val="00806232"/>
    <w:rsid w:val="008067B3"/>
    <w:rsid w:val="00806AA5"/>
    <w:rsid w:val="008071F4"/>
    <w:rsid w:val="008101BD"/>
    <w:rsid w:val="00810EB1"/>
    <w:rsid w:val="008118A2"/>
    <w:rsid w:val="00811F09"/>
    <w:rsid w:val="0081243E"/>
    <w:rsid w:val="00812C70"/>
    <w:rsid w:val="0081367A"/>
    <w:rsid w:val="00813BFB"/>
    <w:rsid w:val="008146E3"/>
    <w:rsid w:val="00814C0C"/>
    <w:rsid w:val="00814ED7"/>
    <w:rsid w:val="00815FFC"/>
    <w:rsid w:val="008168A6"/>
    <w:rsid w:val="00816D6A"/>
    <w:rsid w:val="0081742E"/>
    <w:rsid w:val="00817535"/>
    <w:rsid w:val="008176F0"/>
    <w:rsid w:val="0082041E"/>
    <w:rsid w:val="008207D8"/>
    <w:rsid w:val="00821BFB"/>
    <w:rsid w:val="0082285B"/>
    <w:rsid w:val="008235F9"/>
    <w:rsid w:val="00823B27"/>
    <w:rsid w:val="00823F7D"/>
    <w:rsid w:val="00824F08"/>
    <w:rsid w:val="00825ABB"/>
    <w:rsid w:val="00825D61"/>
    <w:rsid w:val="0082640F"/>
    <w:rsid w:val="0082647D"/>
    <w:rsid w:val="008275D6"/>
    <w:rsid w:val="00827781"/>
    <w:rsid w:val="00827B16"/>
    <w:rsid w:val="00827CE0"/>
    <w:rsid w:val="00830E25"/>
    <w:rsid w:val="0083228C"/>
    <w:rsid w:val="00832AF9"/>
    <w:rsid w:val="00832F37"/>
    <w:rsid w:val="008347E1"/>
    <w:rsid w:val="00835A6D"/>
    <w:rsid w:val="00835CEF"/>
    <w:rsid w:val="00835FE4"/>
    <w:rsid w:val="008362CD"/>
    <w:rsid w:val="008364E7"/>
    <w:rsid w:val="0083661E"/>
    <w:rsid w:val="00836F3B"/>
    <w:rsid w:val="00840E75"/>
    <w:rsid w:val="00840E76"/>
    <w:rsid w:val="00840ED1"/>
    <w:rsid w:val="00841282"/>
    <w:rsid w:val="00841668"/>
    <w:rsid w:val="0084191E"/>
    <w:rsid w:val="00841A96"/>
    <w:rsid w:val="00842FFE"/>
    <w:rsid w:val="0084330C"/>
    <w:rsid w:val="008435D6"/>
    <w:rsid w:val="00843E65"/>
    <w:rsid w:val="008440FA"/>
    <w:rsid w:val="00844B4F"/>
    <w:rsid w:val="00844C5D"/>
    <w:rsid w:val="008451BC"/>
    <w:rsid w:val="00845C6C"/>
    <w:rsid w:val="00845E86"/>
    <w:rsid w:val="00846A4C"/>
    <w:rsid w:val="00846A9F"/>
    <w:rsid w:val="008502BC"/>
    <w:rsid w:val="008514D1"/>
    <w:rsid w:val="0085178A"/>
    <w:rsid w:val="00851CC5"/>
    <w:rsid w:val="00851FDA"/>
    <w:rsid w:val="0085274E"/>
    <w:rsid w:val="00853088"/>
    <w:rsid w:val="00853B58"/>
    <w:rsid w:val="0085439A"/>
    <w:rsid w:val="008549D7"/>
    <w:rsid w:val="00854C07"/>
    <w:rsid w:val="008602B1"/>
    <w:rsid w:val="00860476"/>
    <w:rsid w:val="00860731"/>
    <w:rsid w:val="0086097D"/>
    <w:rsid w:val="008616E7"/>
    <w:rsid w:val="00861CFE"/>
    <w:rsid w:val="0086322A"/>
    <w:rsid w:val="00863360"/>
    <w:rsid w:val="00863820"/>
    <w:rsid w:val="0086630B"/>
    <w:rsid w:val="00867BD3"/>
    <w:rsid w:val="008703C2"/>
    <w:rsid w:val="008706B6"/>
    <w:rsid w:val="00870F85"/>
    <w:rsid w:val="00871A21"/>
    <w:rsid w:val="008730B5"/>
    <w:rsid w:val="008733A3"/>
    <w:rsid w:val="008739F0"/>
    <w:rsid w:val="00873D83"/>
    <w:rsid w:val="00875196"/>
    <w:rsid w:val="00876A67"/>
    <w:rsid w:val="00880FCB"/>
    <w:rsid w:val="0088174C"/>
    <w:rsid w:val="00881980"/>
    <w:rsid w:val="0088264A"/>
    <w:rsid w:val="00882890"/>
    <w:rsid w:val="00882F50"/>
    <w:rsid w:val="00883FE8"/>
    <w:rsid w:val="008844C2"/>
    <w:rsid w:val="00884AA8"/>
    <w:rsid w:val="00884B90"/>
    <w:rsid w:val="00884F63"/>
    <w:rsid w:val="0088554E"/>
    <w:rsid w:val="00885737"/>
    <w:rsid w:val="0088633E"/>
    <w:rsid w:val="00887FA4"/>
    <w:rsid w:val="008900FB"/>
    <w:rsid w:val="00890D04"/>
    <w:rsid w:val="00892045"/>
    <w:rsid w:val="008926BE"/>
    <w:rsid w:val="008927B3"/>
    <w:rsid w:val="00892819"/>
    <w:rsid w:val="00892B5F"/>
    <w:rsid w:val="00892E8A"/>
    <w:rsid w:val="0089307F"/>
    <w:rsid w:val="00894016"/>
    <w:rsid w:val="00894121"/>
    <w:rsid w:val="008945F0"/>
    <w:rsid w:val="00896773"/>
    <w:rsid w:val="00896C3D"/>
    <w:rsid w:val="0089752D"/>
    <w:rsid w:val="00897539"/>
    <w:rsid w:val="008A0F9A"/>
    <w:rsid w:val="008A1E87"/>
    <w:rsid w:val="008A1EB7"/>
    <w:rsid w:val="008A2591"/>
    <w:rsid w:val="008A334C"/>
    <w:rsid w:val="008A3414"/>
    <w:rsid w:val="008A347C"/>
    <w:rsid w:val="008A3AED"/>
    <w:rsid w:val="008A3B00"/>
    <w:rsid w:val="008A4A9B"/>
    <w:rsid w:val="008A6931"/>
    <w:rsid w:val="008A6B77"/>
    <w:rsid w:val="008A71EF"/>
    <w:rsid w:val="008A7801"/>
    <w:rsid w:val="008A7C8D"/>
    <w:rsid w:val="008B07BD"/>
    <w:rsid w:val="008B1CD1"/>
    <w:rsid w:val="008B2C96"/>
    <w:rsid w:val="008B2DBE"/>
    <w:rsid w:val="008B2E36"/>
    <w:rsid w:val="008B3B0D"/>
    <w:rsid w:val="008B4AC7"/>
    <w:rsid w:val="008B4D8D"/>
    <w:rsid w:val="008B548A"/>
    <w:rsid w:val="008B5527"/>
    <w:rsid w:val="008B5693"/>
    <w:rsid w:val="008B5CF5"/>
    <w:rsid w:val="008B5DF2"/>
    <w:rsid w:val="008B64C7"/>
    <w:rsid w:val="008B6E94"/>
    <w:rsid w:val="008B757C"/>
    <w:rsid w:val="008B796A"/>
    <w:rsid w:val="008B7D41"/>
    <w:rsid w:val="008C0CC9"/>
    <w:rsid w:val="008C17DD"/>
    <w:rsid w:val="008C30CA"/>
    <w:rsid w:val="008C440A"/>
    <w:rsid w:val="008C51DC"/>
    <w:rsid w:val="008C5304"/>
    <w:rsid w:val="008C5497"/>
    <w:rsid w:val="008C59C5"/>
    <w:rsid w:val="008C5AA1"/>
    <w:rsid w:val="008C5DF4"/>
    <w:rsid w:val="008D00F6"/>
    <w:rsid w:val="008D0443"/>
    <w:rsid w:val="008D0822"/>
    <w:rsid w:val="008D0B68"/>
    <w:rsid w:val="008D16E0"/>
    <w:rsid w:val="008D2802"/>
    <w:rsid w:val="008D2E3A"/>
    <w:rsid w:val="008D41AE"/>
    <w:rsid w:val="008D5618"/>
    <w:rsid w:val="008D594C"/>
    <w:rsid w:val="008D61CD"/>
    <w:rsid w:val="008D6300"/>
    <w:rsid w:val="008D673D"/>
    <w:rsid w:val="008D6EB2"/>
    <w:rsid w:val="008D7850"/>
    <w:rsid w:val="008D7BDF"/>
    <w:rsid w:val="008E11E7"/>
    <w:rsid w:val="008E1EA6"/>
    <w:rsid w:val="008E38E5"/>
    <w:rsid w:val="008E4E28"/>
    <w:rsid w:val="008E6C0B"/>
    <w:rsid w:val="008F0632"/>
    <w:rsid w:val="008F0ADD"/>
    <w:rsid w:val="008F1469"/>
    <w:rsid w:val="008F22A1"/>
    <w:rsid w:val="008F2DAB"/>
    <w:rsid w:val="008F3863"/>
    <w:rsid w:val="008F3A00"/>
    <w:rsid w:val="008F3B5F"/>
    <w:rsid w:val="008F4C3E"/>
    <w:rsid w:val="008F4F15"/>
    <w:rsid w:val="008F5814"/>
    <w:rsid w:val="008F61BD"/>
    <w:rsid w:val="008F798C"/>
    <w:rsid w:val="00900A57"/>
    <w:rsid w:val="00901E35"/>
    <w:rsid w:val="00901FDA"/>
    <w:rsid w:val="00902207"/>
    <w:rsid w:val="00904106"/>
    <w:rsid w:val="0090473E"/>
    <w:rsid w:val="00905192"/>
    <w:rsid w:val="009056C7"/>
    <w:rsid w:val="009068CC"/>
    <w:rsid w:val="00906E7A"/>
    <w:rsid w:val="0090731C"/>
    <w:rsid w:val="00907D44"/>
    <w:rsid w:val="009102F6"/>
    <w:rsid w:val="00910866"/>
    <w:rsid w:val="00911107"/>
    <w:rsid w:val="00911181"/>
    <w:rsid w:val="0091271D"/>
    <w:rsid w:val="00912E7A"/>
    <w:rsid w:val="00914BF0"/>
    <w:rsid w:val="009151C2"/>
    <w:rsid w:val="0091613E"/>
    <w:rsid w:val="00916461"/>
    <w:rsid w:val="00921140"/>
    <w:rsid w:val="009216F5"/>
    <w:rsid w:val="00921F7E"/>
    <w:rsid w:val="009229FE"/>
    <w:rsid w:val="00923950"/>
    <w:rsid w:val="00924AF4"/>
    <w:rsid w:val="00925BEE"/>
    <w:rsid w:val="009264AC"/>
    <w:rsid w:val="00927069"/>
    <w:rsid w:val="009273A8"/>
    <w:rsid w:val="009273B5"/>
    <w:rsid w:val="00930CE2"/>
    <w:rsid w:val="00932510"/>
    <w:rsid w:val="009330AE"/>
    <w:rsid w:val="009345EE"/>
    <w:rsid w:val="009346B4"/>
    <w:rsid w:val="00940C73"/>
    <w:rsid w:val="00940DB9"/>
    <w:rsid w:val="00941A59"/>
    <w:rsid w:val="00941C8F"/>
    <w:rsid w:val="0094209B"/>
    <w:rsid w:val="009423C8"/>
    <w:rsid w:val="00942732"/>
    <w:rsid w:val="0094283D"/>
    <w:rsid w:val="0094312E"/>
    <w:rsid w:val="00943218"/>
    <w:rsid w:val="00943F8A"/>
    <w:rsid w:val="009444C8"/>
    <w:rsid w:val="00944A69"/>
    <w:rsid w:val="00944C33"/>
    <w:rsid w:val="00944E1D"/>
    <w:rsid w:val="00946D34"/>
    <w:rsid w:val="00946E39"/>
    <w:rsid w:val="0094719E"/>
    <w:rsid w:val="009473D1"/>
    <w:rsid w:val="009478D6"/>
    <w:rsid w:val="00947A26"/>
    <w:rsid w:val="00950BC9"/>
    <w:rsid w:val="00951CEE"/>
    <w:rsid w:val="00951E3B"/>
    <w:rsid w:val="00951F31"/>
    <w:rsid w:val="0095238E"/>
    <w:rsid w:val="00952F35"/>
    <w:rsid w:val="00952FF7"/>
    <w:rsid w:val="009537E5"/>
    <w:rsid w:val="009540A3"/>
    <w:rsid w:val="0095528A"/>
    <w:rsid w:val="00955480"/>
    <w:rsid w:val="009561B1"/>
    <w:rsid w:val="00956A29"/>
    <w:rsid w:val="009614C7"/>
    <w:rsid w:val="00963869"/>
    <w:rsid w:val="00963BC7"/>
    <w:rsid w:val="00963E75"/>
    <w:rsid w:val="00964014"/>
    <w:rsid w:val="00964189"/>
    <w:rsid w:val="00965262"/>
    <w:rsid w:val="00965C38"/>
    <w:rsid w:val="00970C60"/>
    <w:rsid w:val="00971BC1"/>
    <w:rsid w:val="0097203A"/>
    <w:rsid w:val="0097217D"/>
    <w:rsid w:val="00972C7D"/>
    <w:rsid w:val="00974038"/>
    <w:rsid w:val="00974897"/>
    <w:rsid w:val="00974D1F"/>
    <w:rsid w:val="00975D58"/>
    <w:rsid w:val="00975EB7"/>
    <w:rsid w:val="00975F9B"/>
    <w:rsid w:val="0097613E"/>
    <w:rsid w:val="0097629F"/>
    <w:rsid w:val="00977BAA"/>
    <w:rsid w:val="00980002"/>
    <w:rsid w:val="0098064F"/>
    <w:rsid w:val="00980E58"/>
    <w:rsid w:val="009814EF"/>
    <w:rsid w:val="00981F07"/>
    <w:rsid w:val="0098434D"/>
    <w:rsid w:val="009843D0"/>
    <w:rsid w:val="00984855"/>
    <w:rsid w:val="00984F1E"/>
    <w:rsid w:val="00985675"/>
    <w:rsid w:val="009859A4"/>
    <w:rsid w:val="00986204"/>
    <w:rsid w:val="0098649A"/>
    <w:rsid w:val="00986845"/>
    <w:rsid w:val="00986DD9"/>
    <w:rsid w:val="00986E74"/>
    <w:rsid w:val="00987249"/>
    <w:rsid w:val="009873B9"/>
    <w:rsid w:val="00987F64"/>
    <w:rsid w:val="00990A48"/>
    <w:rsid w:val="00990B64"/>
    <w:rsid w:val="009912A5"/>
    <w:rsid w:val="009913C0"/>
    <w:rsid w:val="009922EC"/>
    <w:rsid w:val="009924B2"/>
    <w:rsid w:val="00992787"/>
    <w:rsid w:val="00992837"/>
    <w:rsid w:val="009929E9"/>
    <w:rsid w:val="00992BB2"/>
    <w:rsid w:val="00993418"/>
    <w:rsid w:val="00993456"/>
    <w:rsid w:val="00993796"/>
    <w:rsid w:val="00993806"/>
    <w:rsid w:val="00993D41"/>
    <w:rsid w:val="00994774"/>
    <w:rsid w:val="0099625B"/>
    <w:rsid w:val="00996D85"/>
    <w:rsid w:val="00997177"/>
    <w:rsid w:val="00997912"/>
    <w:rsid w:val="00997956"/>
    <w:rsid w:val="00997C1B"/>
    <w:rsid w:val="00997C6F"/>
    <w:rsid w:val="009A0EAC"/>
    <w:rsid w:val="009A2A5D"/>
    <w:rsid w:val="009A2AEC"/>
    <w:rsid w:val="009A4EFA"/>
    <w:rsid w:val="009A7384"/>
    <w:rsid w:val="009B2C8A"/>
    <w:rsid w:val="009B3C6A"/>
    <w:rsid w:val="009B53BE"/>
    <w:rsid w:val="009B7EF2"/>
    <w:rsid w:val="009C0CD1"/>
    <w:rsid w:val="009C1458"/>
    <w:rsid w:val="009C2C4F"/>
    <w:rsid w:val="009C2D7E"/>
    <w:rsid w:val="009C313C"/>
    <w:rsid w:val="009C32D5"/>
    <w:rsid w:val="009C4170"/>
    <w:rsid w:val="009C4EEF"/>
    <w:rsid w:val="009C50B9"/>
    <w:rsid w:val="009D047A"/>
    <w:rsid w:val="009D0AD7"/>
    <w:rsid w:val="009D0C08"/>
    <w:rsid w:val="009D1DFD"/>
    <w:rsid w:val="009D20DB"/>
    <w:rsid w:val="009D2DEB"/>
    <w:rsid w:val="009D37A3"/>
    <w:rsid w:val="009D3ACB"/>
    <w:rsid w:val="009D4B0C"/>
    <w:rsid w:val="009D5269"/>
    <w:rsid w:val="009D5582"/>
    <w:rsid w:val="009D79E5"/>
    <w:rsid w:val="009D7AB0"/>
    <w:rsid w:val="009D7D6A"/>
    <w:rsid w:val="009E00EC"/>
    <w:rsid w:val="009E040F"/>
    <w:rsid w:val="009E0FA2"/>
    <w:rsid w:val="009E1001"/>
    <w:rsid w:val="009E1054"/>
    <w:rsid w:val="009E15C9"/>
    <w:rsid w:val="009E2416"/>
    <w:rsid w:val="009E252C"/>
    <w:rsid w:val="009E2B70"/>
    <w:rsid w:val="009E381F"/>
    <w:rsid w:val="009E4062"/>
    <w:rsid w:val="009E49E6"/>
    <w:rsid w:val="009E4E8B"/>
    <w:rsid w:val="009E6022"/>
    <w:rsid w:val="009E616D"/>
    <w:rsid w:val="009E69C2"/>
    <w:rsid w:val="009F03C9"/>
    <w:rsid w:val="009F16E0"/>
    <w:rsid w:val="009F206B"/>
    <w:rsid w:val="009F2E6D"/>
    <w:rsid w:val="009F357D"/>
    <w:rsid w:val="009F3A2F"/>
    <w:rsid w:val="009F45EF"/>
    <w:rsid w:val="009F4C63"/>
    <w:rsid w:val="009F51A3"/>
    <w:rsid w:val="009F5401"/>
    <w:rsid w:val="009F61BC"/>
    <w:rsid w:val="009F6FDE"/>
    <w:rsid w:val="009F7A7D"/>
    <w:rsid w:val="00A00015"/>
    <w:rsid w:val="00A00114"/>
    <w:rsid w:val="00A0109F"/>
    <w:rsid w:val="00A01361"/>
    <w:rsid w:val="00A014C9"/>
    <w:rsid w:val="00A03199"/>
    <w:rsid w:val="00A035F9"/>
    <w:rsid w:val="00A03B35"/>
    <w:rsid w:val="00A04082"/>
    <w:rsid w:val="00A040EE"/>
    <w:rsid w:val="00A04276"/>
    <w:rsid w:val="00A053C8"/>
    <w:rsid w:val="00A06532"/>
    <w:rsid w:val="00A100B0"/>
    <w:rsid w:val="00A10950"/>
    <w:rsid w:val="00A10C86"/>
    <w:rsid w:val="00A11E94"/>
    <w:rsid w:val="00A126DB"/>
    <w:rsid w:val="00A12BFC"/>
    <w:rsid w:val="00A13387"/>
    <w:rsid w:val="00A13F4C"/>
    <w:rsid w:val="00A13F4D"/>
    <w:rsid w:val="00A1437D"/>
    <w:rsid w:val="00A15456"/>
    <w:rsid w:val="00A15864"/>
    <w:rsid w:val="00A15EF0"/>
    <w:rsid w:val="00A162FC"/>
    <w:rsid w:val="00A165D8"/>
    <w:rsid w:val="00A16F3C"/>
    <w:rsid w:val="00A17A6E"/>
    <w:rsid w:val="00A20872"/>
    <w:rsid w:val="00A209AB"/>
    <w:rsid w:val="00A20E09"/>
    <w:rsid w:val="00A224AA"/>
    <w:rsid w:val="00A22623"/>
    <w:rsid w:val="00A22B7B"/>
    <w:rsid w:val="00A230BB"/>
    <w:rsid w:val="00A23267"/>
    <w:rsid w:val="00A237BE"/>
    <w:rsid w:val="00A25FA8"/>
    <w:rsid w:val="00A261A1"/>
    <w:rsid w:val="00A265D4"/>
    <w:rsid w:val="00A27A7B"/>
    <w:rsid w:val="00A3039F"/>
    <w:rsid w:val="00A30639"/>
    <w:rsid w:val="00A32090"/>
    <w:rsid w:val="00A32F30"/>
    <w:rsid w:val="00A33312"/>
    <w:rsid w:val="00A3375C"/>
    <w:rsid w:val="00A33DBE"/>
    <w:rsid w:val="00A3527A"/>
    <w:rsid w:val="00A35F3A"/>
    <w:rsid w:val="00A365AE"/>
    <w:rsid w:val="00A3717E"/>
    <w:rsid w:val="00A37301"/>
    <w:rsid w:val="00A40328"/>
    <w:rsid w:val="00A411C0"/>
    <w:rsid w:val="00A41B7E"/>
    <w:rsid w:val="00A421F2"/>
    <w:rsid w:val="00A43204"/>
    <w:rsid w:val="00A434C4"/>
    <w:rsid w:val="00A443CC"/>
    <w:rsid w:val="00A445D8"/>
    <w:rsid w:val="00A44CF5"/>
    <w:rsid w:val="00A45812"/>
    <w:rsid w:val="00A45BE7"/>
    <w:rsid w:val="00A50581"/>
    <w:rsid w:val="00A528DD"/>
    <w:rsid w:val="00A529D8"/>
    <w:rsid w:val="00A529F7"/>
    <w:rsid w:val="00A52D1B"/>
    <w:rsid w:val="00A53236"/>
    <w:rsid w:val="00A54931"/>
    <w:rsid w:val="00A55043"/>
    <w:rsid w:val="00A55974"/>
    <w:rsid w:val="00A55AEE"/>
    <w:rsid w:val="00A55EA7"/>
    <w:rsid w:val="00A571ED"/>
    <w:rsid w:val="00A578F8"/>
    <w:rsid w:val="00A57AB0"/>
    <w:rsid w:val="00A57BA6"/>
    <w:rsid w:val="00A6096D"/>
    <w:rsid w:val="00A61C17"/>
    <w:rsid w:val="00A62934"/>
    <w:rsid w:val="00A62A00"/>
    <w:rsid w:val="00A63E74"/>
    <w:rsid w:val="00A641BD"/>
    <w:rsid w:val="00A6499E"/>
    <w:rsid w:val="00A6521E"/>
    <w:rsid w:val="00A67633"/>
    <w:rsid w:val="00A677BE"/>
    <w:rsid w:val="00A67CA8"/>
    <w:rsid w:val="00A7120C"/>
    <w:rsid w:val="00A7181F"/>
    <w:rsid w:val="00A71D82"/>
    <w:rsid w:val="00A73487"/>
    <w:rsid w:val="00A7373B"/>
    <w:rsid w:val="00A73CAD"/>
    <w:rsid w:val="00A743E7"/>
    <w:rsid w:val="00A74D2C"/>
    <w:rsid w:val="00A74EE8"/>
    <w:rsid w:val="00A750B6"/>
    <w:rsid w:val="00A751C5"/>
    <w:rsid w:val="00A75A4B"/>
    <w:rsid w:val="00A76234"/>
    <w:rsid w:val="00A76975"/>
    <w:rsid w:val="00A7714C"/>
    <w:rsid w:val="00A77754"/>
    <w:rsid w:val="00A7788C"/>
    <w:rsid w:val="00A80AB1"/>
    <w:rsid w:val="00A819EB"/>
    <w:rsid w:val="00A830A4"/>
    <w:rsid w:val="00A8321D"/>
    <w:rsid w:val="00A843A1"/>
    <w:rsid w:val="00A843BF"/>
    <w:rsid w:val="00A846ED"/>
    <w:rsid w:val="00A855F8"/>
    <w:rsid w:val="00A85664"/>
    <w:rsid w:val="00A85CA2"/>
    <w:rsid w:val="00A8632A"/>
    <w:rsid w:val="00A864EB"/>
    <w:rsid w:val="00A86FFE"/>
    <w:rsid w:val="00A87536"/>
    <w:rsid w:val="00A901A5"/>
    <w:rsid w:val="00A91610"/>
    <w:rsid w:val="00A91864"/>
    <w:rsid w:val="00A92280"/>
    <w:rsid w:val="00A92526"/>
    <w:rsid w:val="00A92CA7"/>
    <w:rsid w:val="00A92D66"/>
    <w:rsid w:val="00A9302A"/>
    <w:rsid w:val="00A93429"/>
    <w:rsid w:val="00A93A58"/>
    <w:rsid w:val="00A94766"/>
    <w:rsid w:val="00A94C1B"/>
    <w:rsid w:val="00A94FCD"/>
    <w:rsid w:val="00A94FE0"/>
    <w:rsid w:val="00A95106"/>
    <w:rsid w:val="00A956BD"/>
    <w:rsid w:val="00A95E28"/>
    <w:rsid w:val="00A96B89"/>
    <w:rsid w:val="00A96DD8"/>
    <w:rsid w:val="00A97AEA"/>
    <w:rsid w:val="00A97B54"/>
    <w:rsid w:val="00A97E8F"/>
    <w:rsid w:val="00AA1480"/>
    <w:rsid w:val="00AA26E7"/>
    <w:rsid w:val="00AA2A9D"/>
    <w:rsid w:val="00AA2D6B"/>
    <w:rsid w:val="00AA35D9"/>
    <w:rsid w:val="00AA5016"/>
    <w:rsid w:val="00AA5017"/>
    <w:rsid w:val="00AA54F0"/>
    <w:rsid w:val="00AA5910"/>
    <w:rsid w:val="00AA688B"/>
    <w:rsid w:val="00AA6B7A"/>
    <w:rsid w:val="00AA6F63"/>
    <w:rsid w:val="00AB08D1"/>
    <w:rsid w:val="00AB0EEC"/>
    <w:rsid w:val="00AB2093"/>
    <w:rsid w:val="00AB3E38"/>
    <w:rsid w:val="00AB43FD"/>
    <w:rsid w:val="00AB55F5"/>
    <w:rsid w:val="00AB5AA2"/>
    <w:rsid w:val="00AB5AE2"/>
    <w:rsid w:val="00AB5BD3"/>
    <w:rsid w:val="00AB5F69"/>
    <w:rsid w:val="00AB6064"/>
    <w:rsid w:val="00AB62CE"/>
    <w:rsid w:val="00AB6856"/>
    <w:rsid w:val="00AB6E58"/>
    <w:rsid w:val="00AB77F7"/>
    <w:rsid w:val="00AB7E11"/>
    <w:rsid w:val="00AC13F4"/>
    <w:rsid w:val="00AC2975"/>
    <w:rsid w:val="00AC3756"/>
    <w:rsid w:val="00AC420E"/>
    <w:rsid w:val="00AC5065"/>
    <w:rsid w:val="00AC5247"/>
    <w:rsid w:val="00AC57E9"/>
    <w:rsid w:val="00AC645E"/>
    <w:rsid w:val="00AC6EFC"/>
    <w:rsid w:val="00AC717F"/>
    <w:rsid w:val="00AC78FA"/>
    <w:rsid w:val="00AD27AC"/>
    <w:rsid w:val="00AD3835"/>
    <w:rsid w:val="00AD4339"/>
    <w:rsid w:val="00AD4A76"/>
    <w:rsid w:val="00AD5854"/>
    <w:rsid w:val="00AD5936"/>
    <w:rsid w:val="00AD5FBA"/>
    <w:rsid w:val="00AD777A"/>
    <w:rsid w:val="00AE087E"/>
    <w:rsid w:val="00AE0B43"/>
    <w:rsid w:val="00AE1FA1"/>
    <w:rsid w:val="00AE2A92"/>
    <w:rsid w:val="00AE5070"/>
    <w:rsid w:val="00AE52A9"/>
    <w:rsid w:val="00AE63BB"/>
    <w:rsid w:val="00AE73FA"/>
    <w:rsid w:val="00AE75BF"/>
    <w:rsid w:val="00AF0208"/>
    <w:rsid w:val="00AF1251"/>
    <w:rsid w:val="00AF1D7E"/>
    <w:rsid w:val="00AF1DDF"/>
    <w:rsid w:val="00AF247C"/>
    <w:rsid w:val="00AF2746"/>
    <w:rsid w:val="00AF4194"/>
    <w:rsid w:val="00AF4DCB"/>
    <w:rsid w:val="00AF6046"/>
    <w:rsid w:val="00AF6250"/>
    <w:rsid w:val="00AF660D"/>
    <w:rsid w:val="00AF66F4"/>
    <w:rsid w:val="00AF705E"/>
    <w:rsid w:val="00B00350"/>
    <w:rsid w:val="00B0040B"/>
    <w:rsid w:val="00B004A9"/>
    <w:rsid w:val="00B00943"/>
    <w:rsid w:val="00B00BC0"/>
    <w:rsid w:val="00B00BF1"/>
    <w:rsid w:val="00B014EA"/>
    <w:rsid w:val="00B01F26"/>
    <w:rsid w:val="00B025AA"/>
    <w:rsid w:val="00B02D05"/>
    <w:rsid w:val="00B030B3"/>
    <w:rsid w:val="00B030C2"/>
    <w:rsid w:val="00B0371C"/>
    <w:rsid w:val="00B0388F"/>
    <w:rsid w:val="00B04160"/>
    <w:rsid w:val="00B04815"/>
    <w:rsid w:val="00B04C28"/>
    <w:rsid w:val="00B05531"/>
    <w:rsid w:val="00B05B10"/>
    <w:rsid w:val="00B072D9"/>
    <w:rsid w:val="00B076B3"/>
    <w:rsid w:val="00B10565"/>
    <w:rsid w:val="00B1056C"/>
    <w:rsid w:val="00B10E88"/>
    <w:rsid w:val="00B1228D"/>
    <w:rsid w:val="00B124E3"/>
    <w:rsid w:val="00B1292C"/>
    <w:rsid w:val="00B14C34"/>
    <w:rsid w:val="00B155C7"/>
    <w:rsid w:val="00B161EF"/>
    <w:rsid w:val="00B16E4E"/>
    <w:rsid w:val="00B176DF"/>
    <w:rsid w:val="00B17AC8"/>
    <w:rsid w:val="00B20392"/>
    <w:rsid w:val="00B2039E"/>
    <w:rsid w:val="00B2151C"/>
    <w:rsid w:val="00B21C50"/>
    <w:rsid w:val="00B21D6D"/>
    <w:rsid w:val="00B223AB"/>
    <w:rsid w:val="00B2285E"/>
    <w:rsid w:val="00B22B1A"/>
    <w:rsid w:val="00B22C03"/>
    <w:rsid w:val="00B22D68"/>
    <w:rsid w:val="00B22F70"/>
    <w:rsid w:val="00B2385C"/>
    <w:rsid w:val="00B23DC6"/>
    <w:rsid w:val="00B24298"/>
    <w:rsid w:val="00B2432F"/>
    <w:rsid w:val="00B24733"/>
    <w:rsid w:val="00B249E5"/>
    <w:rsid w:val="00B2553B"/>
    <w:rsid w:val="00B25576"/>
    <w:rsid w:val="00B2596D"/>
    <w:rsid w:val="00B259CE"/>
    <w:rsid w:val="00B25EFB"/>
    <w:rsid w:val="00B261CD"/>
    <w:rsid w:val="00B2665C"/>
    <w:rsid w:val="00B26893"/>
    <w:rsid w:val="00B26A6D"/>
    <w:rsid w:val="00B2727B"/>
    <w:rsid w:val="00B30BA3"/>
    <w:rsid w:val="00B30BED"/>
    <w:rsid w:val="00B311D3"/>
    <w:rsid w:val="00B31246"/>
    <w:rsid w:val="00B31837"/>
    <w:rsid w:val="00B318F9"/>
    <w:rsid w:val="00B32669"/>
    <w:rsid w:val="00B337E3"/>
    <w:rsid w:val="00B33C33"/>
    <w:rsid w:val="00B33E07"/>
    <w:rsid w:val="00B3491E"/>
    <w:rsid w:val="00B35091"/>
    <w:rsid w:val="00B357FD"/>
    <w:rsid w:val="00B3719C"/>
    <w:rsid w:val="00B41D76"/>
    <w:rsid w:val="00B4321A"/>
    <w:rsid w:val="00B432BE"/>
    <w:rsid w:val="00B44CA3"/>
    <w:rsid w:val="00B44F0C"/>
    <w:rsid w:val="00B464F6"/>
    <w:rsid w:val="00B46E23"/>
    <w:rsid w:val="00B470BF"/>
    <w:rsid w:val="00B47EB6"/>
    <w:rsid w:val="00B509E0"/>
    <w:rsid w:val="00B526CA"/>
    <w:rsid w:val="00B526FE"/>
    <w:rsid w:val="00B53D5C"/>
    <w:rsid w:val="00B53F1F"/>
    <w:rsid w:val="00B54103"/>
    <w:rsid w:val="00B5457C"/>
    <w:rsid w:val="00B545A6"/>
    <w:rsid w:val="00B5512A"/>
    <w:rsid w:val="00B559E7"/>
    <w:rsid w:val="00B5679B"/>
    <w:rsid w:val="00B5738E"/>
    <w:rsid w:val="00B57637"/>
    <w:rsid w:val="00B604E0"/>
    <w:rsid w:val="00B61F89"/>
    <w:rsid w:val="00B6233B"/>
    <w:rsid w:val="00B6292F"/>
    <w:rsid w:val="00B6327C"/>
    <w:rsid w:val="00B63579"/>
    <w:rsid w:val="00B65067"/>
    <w:rsid w:val="00B6506C"/>
    <w:rsid w:val="00B65C38"/>
    <w:rsid w:val="00B66512"/>
    <w:rsid w:val="00B668D0"/>
    <w:rsid w:val="00B669F7"/>
    <w:rsid w:val="00B674C5"/>
    <w:rsid w:val="00B67FF3"/>
    <w:rsid w:val="00B7059F"/>
    <w:rsid w:val="00B70A29"/>
    <w:rsid w:val="00B71828"/>
    <w:rsid w:val="00B71F21"/>
    <w:rsid w:val="00B72938"/>
    <w:rsid w:val="00B767E2"/>
    <w:rsid w:val="00B76BB1"/>
    <w:rsid w:val="00B77050"/>
    <w:rsid w:val="00B8003A"/>
    <w:rsid w:val="00B80041"/>
    <w:rsid w:val="00B80D13"/>
    <w:rsid w:val="00B810D7"/>
    <w:rsid w:val="00B813A8"/>
    <w:rsid w:val="00B820EB"/>
    <w:rsid w:val="00B8246D"/>
    <w:rsid w:val="00B82518"/>
    <w:rsid w:val="00B8345C"/>
    <w:rsid w:val="00B8353A"/>
    <w:rsid w:val="00B837DB"/>
    <w:rsid w:val="00B843DE"/>
    <w:rsid w:val="00B849C9"/>
    <w:rsid w:val="00B84A7B"/>
    <w:rsid w:val="00B84CC5"/>
    <w:rsid w:val="00B84F2D"/>
    <w:rsid w:val="00B8660B"/>
    <w:rsid w:val="00B86E8C"/>
    <w:rsid w:val="00B871CC"/>
    <w:rsid w:val="00B87DAA"/>
    <w:rsid w:val="00B87FD2"/>
    <w:rsid w:val="00B9003E"/>
    <w:rsid w:val="00B91180"/>
    <w:rsid w:val="00B91412"/>
    <w:rsid w:val="00B91919"/>
    <w:rsid w:val="00B92023"/>
    <w:rsid w:val="00B92080"/>
    <w:rsid w:val="00B93074"/>
    <w:rsid w:val="00B93191"/>
    <w:rsid w:val="00B947F9"/>
    <w:rsid w:val="00B94998"/>
    <w:rsid w:val="00B955E1"/>
    <w:rsid w:val="00B955F7"/>
    <w:rsid w:val="00B95AF7"/>
    <w:rsid w:val="00B95E85"/>
    <w:rsid w:val="00B96BEC"/>
    <w:rsid w:val="00B9732B"/>
    <w:rsid w:val="00B97577"/>
    <w:rsid w:val="00B978E5"/>
    <w:rsid w:val="00B9790D"/>
    <w:rsid w:val="00BA0286"/>
    <w:rsid w:val="00BA0846"/>
    <w:rsid w:val="00BA1E57"/>
    <w:rsid w:val="00BA269D"/>
    <w:rsid w:val="00BA2CA9"/>
    <w:rsid w:val="00BA32EC"/>
    <w:rsid w:val="00BA3E30"/>
    <w:rsid w:val="00BA41AC"/>
    <w:rsid w:val="00BA4C27"/>
    <w:rsid w:val="00BA53E2"/>
    <w:rsid w:val="00BA53F3"/>
    <w:rsid w:val="00BA57C9"/>
    <w:rsid w:val="00BA5D5B"/>
    <w:rsid w:val="00BA687C"/>
    <w:rsid w:val="00BA747D"/>
    <w:rsid w:val="00BA7A30"/>
    <w:rsid w:val="00BB08A8"/>
    <w:rsid w:val="00BB0B06"/>
    <w:rsid w:val="00BB1DCB"/>
    <w:rsid w:val="00BB25ED"/>
    <w:rsid w:val="00BB2D81"/>
    <w:rsid w:val="00BB3160"/>
    <w:rsid w:val="00BB3551"/>
    <w:rsid w:val="00BB37B1"/>
    <w:rsid w:val="00BB4802"/>
    <w:rsid w:val="00BB5736"/>
    <w:rsid w:val="00BB62B6"/>
    <w:rsid w:val="00BB7070"/>
    <w:rsid w:val="00BB76CA"/>
    <w:rsid w:val="00BB77BB"/>
    <w:rsid w:val="00BB78D8"/>
    <w:rsid w:val="00BC0C44"/>
    <w:rsid w:val="00BC189A"/>
    <w:rsid w:val="00BC284F"/>
    <w:rsid w:val="00BC2E60"/>
    <w:rsid w:val="00BC2F19"/>
    <w:rsid w:val="00BC3BDE"/>
    <w:rsid w:val="00BC51CD"/>
    <w:rsid w:val="00BC5421"/>
    <w:rsid w:val="00BC60C3"/>
    <w:rsid w:val="00BC7064"/>
    <w:rsid w:val="00BC7AE5"/>
    <w:rsid w:val="00BD0850"/>
    <w:rsid w:val="00BD08A3"/>
    <w:rsid w:val="00BD21A0"/>
    <w:rsid w:val="00BD298E"/>
    <w:rsid w:val="00BD2A44"/>
    <w:rsid w:val="00BD4312"/>
    <w:rsid w:val="00BD516D"/>
    <w:rsid w:val="00BD51E8"/>
    <w:rsid w:val="00BD6334"/>
    <w:rsid w:val="00BD6848"/>
    <w:rsid w:val="00BD6A5D"/>
    <w:rsid w:val="00BD7E72"/>
    <w:rsid w:val="00BE25E8"/>
    <w:rsid w:val="00BE382C"/>
    <w:rsid w:val="00BE469D"/>
    <w:rsid w:val="00BE51B7"/>
    <w:rsid w:val="00BE5324"/>
    <w:rsid w:val="00BE581D"/>
    <w:rsid w:val="00BE5C9C"/>
    <w:rsid w:val="00BE6895"/>
    <w:rsid w:val="00BE6FA8"/>
    <w:rsid w:val="00BE7954"/>
    <w:rsid w:val="00BF01D8"/>
    <w:rsid w:val="00BF069E"/>
    <w:rsid w:val="00BF1E49"/>
    <w:rsid w:val="00BF2D73"/>
    <w:rsid w:val="00BF2F3E"/>
    <w:rsid w:val="00BF311F"/>
    <w:rsid w:val="00BF3F48"/>
    <w:rsid w:val="00BF5543"/>
    <w:rsid w:val="00BF5550"/>
    <w:rsid w:val="00BF5A7F"/>
    <w:rsid w:val="00BF5C4E"/>
    <w:rsid w:val="00BF60A4"/>
    <w:rsid w:val="00BF7067"/>
    <w:rsid w:val="00BF730E"/>
    <w:rsid w:val="00C0008F"/>
    <w:rsid w:val="00C0012E"/>
    <w:rsid w:val="00C013A1"/>
    <w:rsid w:val="00C01FF9"/>
    <w:rsid w:val="00C02EB3"/>
    <w:rsid w:val="00C03363"/>
    <w:rsid w:val="00C04A88"/>
    <w:rsid w:val="00C04C90"/>
    <w:rsid w:val="00C04CD2"/>
    <w:rsid w:val="00C05870"/>
    <w:rsid w:val="00C05D23"/>
    <w:rsid w:val="00C062B8"/>
    <w:rsid w:val="00C1030B"/>
    <w:rsid w:val="00C103A8"/>
    <w:rsid w:val="00C1064E"/>
    <w:rsid w:val="00C117C2"/>
    <w:rsid w:val="00C119ED"/>
    <w:rsid w:val="00C12046"/>
    <w:rsid w:val="00C135C8"/>
    <w:rsid w:val="00C152A9"/>
    <w:rsid w:val="00C15662"/>
    <w:rsid w:val="00C15E3C"/>
    <w:rsid w:val="00C168FC"/>
    <w:rsid w:val="00C204A9"/>
    <w:rsid w:val="00C20C6A"/>
    <w:rsid w:val="00C245EA"/>
    <w:rsid w:val="00C246F1"/>
    <w:rsid w:val="00C259A1"/>
    <w:rsid w:val="00C25B06"/>
    <w:rsid w:val="00C266E6"/>
    <w:rsid w:val="00C275C4"/>
    <w:rsid w:val="00C27F0E"/>
    <w:rsid w:val="00C27FFC"/>
    <w:rsid w:val="00C30131"/>
    <w:rsid w:val="00C307AA"/>
    <w:rsid w:val="00C30CED"/>
    <w:rsid w:val="00C327B7"/>
    <w:rsid w:val="00C3283F"/>
    <w:rsid w:val="00C33122"/>
    <w:rsid w:val="00C3368E"/>
    <w:rsid w:val="00C3383B"/>
    <w:rsid w:val="00C33A6D"/>
    <w:rsid w:val="00C349C9"/>
    <w:rsid w:val="00C35F20"/>
    <w:rsid w:val="00C36A72"/>
    <w:rsid w:val="00C36FCE"/>
    <w:rsid w:val="00C3723C"/>
    <w:rsid w:val="00C37940"/>
    <w:rsid w:val="00C40642"/>
    <w:rsid w:val="00C4075D"/>
    <w:rsid w:val="00C41300"/>
    <w:rsid w:val="00C41957"/>
    <w:rsid w:val="00C41A8C"/>
    <w:rsid w:val="00C424AE"/>
    <w:rsid w:val="00C43986"/>
    <w:rsid w:val="00C44A4D"/>
    <w:rsid w:val="00C454D3"/>
    <w:rsid w:val="00C45780"/>
    <w:rsid w:val="00C45E8D"/>
    <w:rsid w:val="00C46F88"/>
    <w:rsid w:val="00C476EA"/>
    <w:rsid w:val="00C4780E"/>
    <w:rsid w:val="00C47C38"/>
    <w:rsid w:val="00C47FA0"/>
    <w:rsid w:val="00C502E0"/>
    <w:rsid w:val="00C51DF9"/>
    <w:rsid w:val="00C51FD5"/>
    <w:rsid w:val="00C52FCE"/>
    <w:rsid w:val="00C530CA"/>
    <w:rsid w:val="00C548DF"/>
    <w:rsid w:val="00C55B85"/>
    <w:rsid w:val="00C56BE8"/>
    <w:rsid w:val="00C57515"/>
    <w:rsid w:val="00C5791B"/>
    <w:rsid w:val="00C57E70"/>
    <w:rsid w:val="00C6120F"/>
    <w:rsid w:val="00C62463"/>
    <w:rsid w:val="00C63961"/>
    <w:rsid w:val="00C63B21"/>
    <w:rsid w:val="00C64218"/>
    <w:rsid w:val="00C65B56"/>
    <w:rsid w:val="00C660C5"/>
    <w:rsid w:val="00C66D3C"/>
    <w:rsid w:val="00C67DEC"/>
    <w:rsid w:val="00C70074"/>
    <w:rsid w:val="00C701D5"/>
    <w:rsid w:val="00C708D4"/>
    <w:rsid w:val="00C70932"/>
    <w:rsid w:val="00C71040"/>
    <w:rsid w:val="00C71333"/>
    <w:rsid w:val="00C7176E"/>
    <w:rsid w:val="00C71DC2"/>
    <w:rsid w:val="00C71FF6"/>
    <w:rsid w:val="00C724AA"/>
    <w:rsid w:val="00C72BAB"/>
    <w:rsid w:val="00C72F15"/>
    <w:rsid w:val="00C74047"/>
    <w:rsid w:val="00C74152"/>
    <w:rsid w:val="00C745A2"/>
    <w:rsid w:val="00C74731"/>
    <w:rsid w:val="00C76D01"/>
    <w:rsid w:val="00C779FA"/>
    <w:rsid w:val="00C804C8"/>
    <w:rsid w:val="00C813AE"/>
    <w:rsid w:val="00C82936"/>
    <w:rsid w:val="00C82EAF"/>
    <w:rsid w:val="00C83974"/>
    <w:rsid w:val="00C83B9E"/>
    <w:rsid w:val="00C84FC6"/>
    <w:rsid w:val="00C85242"/>
    <w:rsid w:val="00C85BD1"/>
    <w:rsid w:val="00C85E7D"/>
    <w:rsid w:val="00C86BB1"/>
    <w:rsid w:val="00C86C41"/>
    <w:rsid w:val="00C871F0"/>
    <w:rsid w:val="00C8722C"/>
    <w:rsid w:val="00C90045"/>
    <w:rsid w:val="00C907CB"/>
    <w:rsid w:val="00C90BA7"/>
    <w:rsid w:val="00C91D07"/>
    <w:rsid w:val="00C91F82"/>
    <w:rsid w:val="00C921BD"/>
    <w:rsid w:val="00C92AE6"/>
    <w:rsid w:val="00C934EB"/>
    <w:rsid w:val="00C94CF6"/>
    <w:rsid w:val="00C95563"/>
    <w:rsid w:val="00C9604B"/>
    <w:rsid w:val="00C96375"/>
    <w:rsid w:val="00C978AD"/>
    <w:rsid w:val="00C97C58"/>
    <w:rsid w:val="00CA02FB"/>
    <w:rsid w:val="00CA04BE"/>
    <w:rsid w:val="00CA0EDF"/>
    <w:rsid w:val="00CA21B3"/>
    <w:rsid w:val="00CA35A7"/>
    <w:rsid w:val="00CA3A38"/>
    <w:rsid w:val="00CA465D"/>
    <w:rsid w:val="00CA4E43"/>
    <w:rsid w:val="00CA753D"/>
    <w:rsid w:val="00CA7AD8"/>
    <w:rsid w:val="00CB1601"/>
    <w:rsid w:val="00CB3DA3"/>
    <w:rsid w:val="00CB3DE2"/>
    <w:rsid w:val="00CB40AB"/>
    <w:rsid w:val="00CB451E"/>
    <w:rsid w:val="00CB543B"/>
    <w:rsid w:val="00CB6FAE"/>
    <w:rsid w:val="00CC14A0"/>
    <w:rsid w:val="00CC1638"/>
    <w:rsid w:val="00CC2061"/>
    <w:rsid w:val="00CC36EE"/>
    <w:rsid w:val="00CC3BC8"/>
    <w:rsid w:val="00CC5599"/>
    <w:rsid w:val="00CC60DB"/>
    <w:rsid w:val="00CD12BF"/>
    <w:rsid w:val="00CD17AB"/>
    <w:rsid w:val="00CD184E"/>
    <w:rsid w:val="00CD1E0E"/>
    <w:rsid w:val="00CD2078"/>
    <w:rsid w:val="00CD228A"/>
    <w:rsid w:val="00CD25C7"/>
    <w:rsid w:val="00CD419A"/>
    <w:rsid w:val="00CD46EA"/>
    <w:rsid w:val="00CD522F"/>
    <w:rsid w:val="00CD56E3"/>
    <w:rsid w:val="00CD5983"/>
    <w:rsid w:val="00CD6D28"/>
    <w:rsid w:val="00CD7C60"/>
    <w:rsid w:val="00CE029F"/>
    <w:rsid w:val="00CE02A6"/>
    <w:rsid w:val="00CE059F"/>
    <w:rsid w:val="00CE172A"/>
    <w:rsid w:val="00CE304C"/>
    <w:rsid w:val="00CE305E"/>
    <w:rsid w:val="00CE492E"/>
    <w:rsid w:val="00CE4A21"/>
    <w:rsid w:val="00CE4A89"/>
    <w:rsid w:val="00CE650A"/>
    <w:rsid w:val="00CE6742"/>
    <w:rsid w:val="00CE6F75"/>
    <w:rsid w:val="00CE6F76"/>
    <w:rsid w:val="00CE76CA"/>
    <w:rsid w:val="00CF00E9"/>
    <w:rsid w:val="00CF0428"/>
    <w:rsid w:val="00CF057B"/>
    <w:rsid w:val="00CF073D"/>
    <w:rsid w:val="00CF1B2D"/>
    <w:rsid w:val="00CF1D6E"/>
    <w:rsid w:val="00CF1D8A"/>
    <w:rsid w:val="00CF24FD"/>
    <w:rsid w:val="00CF2D8B"/>
    <w:rsid w:val="00CF304D"/>
    <w:rsid w:val="00CF3B15"/>
    <w:rsid w:val="00CF3EBE"/>
    <w:rsid w:val="00CF4CA8"/>
    <w:rsid w:val="00CF62D0"/>
    <w:rsid w:val="00CF7664"/>
    <w:rsid w:val="00D00058"/>
    <w:rsid w:val="00D029C8"/>
    <w:rsid w:val="00D02E51"/>
    <w:rsid w:val="00D0374E"/>
    <w:rsid w:val="00D03925"/>
    <w:rsid w:val="00D04595"/>
    <w:rsid w:val="00D05A9A"/>
    <w:rsid w:val="00D07893"/>
    <w:rsid w:val="00D0797E"/>
    <w:rsid w:val="00D11F40"/>
    <w:rsid w:val="00D127EF"/>
    <w:rsid w:val="00D139E9"/>
    <w:rsid w:val="00D13FCD"/>
    <w:rsid w:val="00D13FDD"/>
    <w:rsid w:val="00D14B2E"/>
    <w:rsid w:val="00D14F48"/>
    <w:rsid w:val="00D15109"/>
    <w:rsid w:val="00D15D24"/>
    <w:rsid w:val="00D16329"/>
    <w:rsid w:val="00D17322"/>
    <w:rsid w:val="00D1772C"/>
    <w:rsid w:val="00D20196"/>
    <w:rsid w:val="00D213FF"/>
    <w:rsid w:val="00D223E2"/>
    <w:rsid w:val="00D23ED4"/>
    <w:rsid w:val="00D23F7B"/>
    <w:rsid w:val="00D24438"/>
    <w:rsid w:val="00D24916"/>
    <w:rsid w:val="00D24CDD"/>
    <w:rsid w:val="00D26787"/>
    <w:rsid w:val="00D26C3E"/>
    <w:rsid w:val="00D27F07"/>
    <w:rsid w:val="00D30F2D"/>
    <w:rsid w:val="00D31244"/>
    <w:rsid w:val="00D31308"/>
    <w:rsid w:val="00D3144A"/>
    <w:rsid w:val="00D32079"/>
    <w:rsid w:val="00D323A4"/>
    <w:rsid w:val="00D3272B"/>
    <w:rsid w:val="00D331B1"/>
    <w:rsid w:val="00D333BE"/>
    <w:rsid w:val="00D341D2"/>
    <w:rsid w:val="00D354FD"/>
    <w:rsid w:val="00D36575"/>
    <w:rsid w:val="00D377DD"/>
    <w:rsid w:val="00D37A3B"/>
    <w:rsid w:val="00D37C4B"/>
    <w:rsid w:val="00D40BF8"/>
    <w:rsid w:val="00D41883"/>
    <w:rsid w:val="00D41C01"/>
    <w:rsid w:val="00D41DBA"/>
    <w:rsid w:val="00D41E3A"/>
    <w:rsid w:val="00D42559"/>
    <w:rsid w:val="00D43023"/>
    <w:rsid w:val="00D44599"/>
    <w:rsid w:val="00D45555"/>
    <w:rsid w:val="00D45A24"/>
    <w:rsid w:val="00D466D6"/>
    <w:rsid w:val="00D51874"/>
    <w:rsid w:val="00D52D6C"/>
    <w:rsid w:val="00D5407D"/>
    <w:rsid w:val="00D540C1"/>
    <w:rsid w:val="00D545E5"/>
    <w:rsid w:val="00D550D0"/>
    <w:rsid w:val="00D55DA9"/>
    <w:rsid w:val="00D56AA5"/>
    <w:rsid w:val="00D56B9F"/>
    <w:rsid w:val="00D56BF3"/>
    <w:rsid w:val="00D56D40"/>
    <w:rsid w:val="00D605CA"/>
    <w:rsid w:val="00D609FB"/>
    <w:rsid w:val="00D60CF2"/>
    <w:rsid w:val="00D6101D"/>
    <w:rsid w:val="00D61127"/>
    <w:rsid w:val="00D614FA"/>
    <w:rsid w:val="00D621A6"/>
    <w:rsid w:val="00D629EE"/>
    <w:rsid w:val="00D632FB"/>
    <w:rsid w:val="00D638AC"/>
    <w:rsid w:val="00D640D6"/>
    <w:rsid w:val="00D64B14"/>
    <w:rsid w:val="00D66EBE"/>
    <w:rsid w:val="00D67E4B"/>
    <w:rsid w:val="00D7067E"/>
    <w:rsid w:val="00D70AB6"/>
    <w:rsid w:val="00D72722"/>
    <w:rsid w:val="00D72982"/>
    <w:rsid w:val="00D72DC9"/>
    <w:rsid w:val="00D72FAB"/>
    <w:rsid w:val="00D73553"/>
    <w:rsid w:val="00D73EE1"/>
    <w:rsid w:val="00D740DC"/>
    <w:rsid w:val="00D74648"/>
    <w:rsid w:val="00D747BC"/>
    <w:rsid w:val="00D74ED1"/>
    <w:rsid w:val="00D7545D"/>
    <w:rsid w:val="00D756F2"/>
    <w:rsid w:val="00D75945"/>
    <w:rsid w:val="00D766CF"/>
    <w:rsid w:val="00D76987"/>
    <w:rsid w:val="00D76B6C"/>
    <w:rsid w:val="00D7713C"/>
    <w:rsid w:val="00D80491"/>
    <w:rsid w:val="00D805B3"/>
    <w:rsid w:val="00D81609"/>
    <w:rsid w:val="00D817DF"/>
    <w:rsid w:val="00D8187F"/>
    <w:rsid w:val="00D81FD5"/>
    <w:rsid w:val="00D829C2"/>
    <w:rsid w:val="00D83723"/>
    <w:rsid w:val="00D844A8"/>
    <w:rsid w:val="00D84B05"/>
    <w:rsid w:val="00D85D76"/>
    <w:rsid w:val="00D864D1"/>
    <w:rsid w:val="00D86868"/>
    <w:rsid w:val="00D90B42"/>
    <w:rsid w:val="00D90B9D"/>
    <w:rsid w:val="00D90F31"/>
    <w:rsid w:val="00D91B20"/>
    <w:rsid w:val="00D92116"/>
    <w:rsid w:val="00D93091"/>
    <w:rsid w:val="00D9431E"/>
    <w:rsid w:val="00D94F5D"/>
    <w:rsid w:val="00D959FD"/>
    <w:rsid w:val="00D96655"/>
    <w:rsid w:val="00D972F7"/>
    <w:rsid w:val="00D97766"/>
    <w:rsid w:val="00DA0884"/>
    <w:rsid w:val="00DA14E3"/>
    <w:rsid w:val="00DA1885"/>
    <w:rsid w:val="00DA2632"/>
    <w:rsid w:val="00DA2857"/>
    <w:rsid w:val="00DA2DC5"/>
    <w:rsid w:val="00DA4978"/>
    <w:rsid w:val="00DA5426"/>
    <w:rsid w:val="00DA6087"/>
    <w:rsid w:val="00DA6388"/>
    <w:rsid w:val="00DA6789"/>
    <w:rsid w:val="00DA6A18"/>
    <w:rsid w:val="00DA7D61"/>
    <w:rsid w:val="00DA7F70"/>
    <w:rsid w:val="00DB017B"/>
    <w:rsid w:val="00DB0246"/>
    <w:rsid w:val="00DB0919"/>
    <w:rsid w:val="00DB0D26"/>
    <w:rsid w:val="00DB0F64"/>
    <w:rsid w:val="00DB1043"/>
    <w:rsid w:val="00DB1502"/>
    <w:rsid w:val="00DB1514"/>
    <w:rsid w:val="00DB1B77"/>
    <w:rsid w:val="00DB1D5B"/>
    <w:rsid w:val="00DB2ED7"/>
    <w:rsid w:val="00DB36EB"/>
    <w:rsid w:val="00DB3DD1"/>
    <w:rsid w:val="00DB3FB2"/>
    <w:rsid w:val="00DB423C"/>
    <w:rsid w:val="00DB4FF2"/>
    <w:rsid w:val="00DB72CE"/>
    <w:rsid w:val="00DB7A4C"/>
    <w:rsid w:val="00DB7E72"/>
    <w:rsid w:val="00DC04E6"/>
    <w:rsid w:val="00DC1F90"/>
    <w:rsid w:val="00DC2F9A"/>
    <w:rsid w:val="00DC3202"/>
    <w:rsid w:val="00DC3825"/>
    <w:rsid w:val="00DC39C7"/>
    <w:rsid w:val="00DC3E6F"/>
    <w:rsid w:val="00DC44CC"/>
    <w:rsid w:val="00DC44F3"/>
    <w:rsid w:val="00DC5E6F"/>
    <w:rsid w:val="00DC6290"/>
    <w:rsid w:val="00DC6F2F"/>
    <w:rsid w:val="00DC7185"/>
    <w:rsid w:val="00DC7556"/>
    <w:rsid w:val="00DC7AB4"/>
    <w:rsid w:val="00DC7D7F"/>
    <w:rsid w:val="00DD0D13"/>
    <w:rsid w:val="00DD0E6E"/>
    <w:rsid w:val="00DD1D0B"/>
    <w:rsid w:val="00DD2ABE"/>
    <w:rsid w:val="00DD32F8"/>
    <w:rsid w:val="00DD34EE"/>
    <w:rsid w:val="00DD3E7A"/>
    <w:rsid w:val="00DD606C"/>
    <w:rsid w:val="00DD61F7"/>
    <w:rsid w:val="00DD66D5"/>
    <w:rsid w:val="00DD6F53"/>
    <w:rsid w:val="00DD7731"/>
    <w:rsid w:val="00DD7857"/>
    <w:rsid w:val="00DD7E5C"/>
    <w:rsid w:val="00DD7F8F"/>
    <w:rsid w:val="00DE023C"/>
    <w:rsid w:val="00DE05D9"/>
    <w:rsid w:val="00DE092B"/>
    <w:rsid w:val="00DE0947"/>
    <w:rsid w:val="00DE0C63"/>
    <w:rsid w:val="00DE195B"/>
    <w:rsid w:val="00DE1AFB"/>
    <w:rsid w:val="00DE1E38"/>
    <w:rsid w:val="00DE4983"/>
    <w:rsid w:val="00DE4B67"/>
    <w:rsid w:val="00DE4F1A"/>
    <w:rsid w:val="00DE5226"/>
    <w:rsid w:val="00DE53DC"/>
    <w:rsid w:val="00DE5975"/>
    <w:rsid w:val="00DE5C6E"/>
    <w:rsid w:val="00DE6567"/>
    <w:rsid w:val="00DE755B"/>
    <w:rsid w:val="00DF0A76"/>
    <w:rsid w:val="00DF13BE"/>
    <w:rsid w:val="00DF25BE"/>
    <w:rsid w:val="00DF2BF9"/>
    <w:rsid w:val="00DF37D1"/>
    <w:rsid w:val="00DF3E4D"/>
    <w:rsid w:val="00DF5A53"/>
    <w:rsid w:val="00DF6580"/>
    <w:rsid w:val="00DF76F7"/>
    <w:rsid w:val="00DF78DB"/>
    <w:rsid w:val="00E01727"/>
    <w:rsid w:val="00E0245D"/>
    <w:rsid w:val="00E02FC4"/>
    <w:rsid w:val="00E03384"/>
    <w:rsid w:val="00E04912"/>
    <w:rsid w:val="00E04B60"/>
    <w:rsid w:val="00E057E0"/>
    <w:rsid w:val="00E059FB"/>
    <w:rsid w:val="00E05ABB"/>
    <w:rsid w:val="00E1027E"/>
    <w:rsid w:val="00E107A3"/>
    <w:rsid w:val="00E10DD6"/>
    <w:rsid w:val="00E11B8F"/>
    <w:rsid w:val="00E11CBE"/>
    <w:rsid w:val="00E12419"/>
    <w:rsid w:val="00E126E0"/>
    <w:rsid w:val="00E13264"/>
    <w:rsid w:val="00E136E6"/>
    <w:rsid w:val="00E141C6"/>
    <w:rsid w:val="00E142EA"/>
    <w:rsid w:val="00E14397"/>
    <w:rsid w:val="00E14816"/>
    <w:rsid w:val="00E14E1A"/>
    <w:rsid w:val="00E15C96"/>
    <w:rsid w:val="00E15D16"/>
    <w:rsid w:val="00E1728C"/>
    <w:rsid w:val="00E1797D"/>
    <w:rsid w:val="00E207A4"/>
    <w:rsid w:val="00E2164A"/>
    <w:rsid w:val="00E21F35"/>
    <w:rsid w:val="00E23A9E"/>
    <w:rsid w:val="00E23E13"/>
    <w:rsid w:val="00E23E67"/>
    <w:rsid w:val="00E240C6"/>
    <w:rsid w:val="00E2461C"/>
    <w:rsid w:val="00E246B9"/>
    <w:rsid w:val="00E249FC"/>
    <w:rsid w:val="00E24B5F"/>
    <w:rsid w:val="00E25044"/>
    <w:rsid w:val="00E25594"/>
    <w:rsid w:val="00E26247"/>
    <w:rsid w:val="00E26595"/>
    <w:rsid w:val="00E27E1B"/>
    <w:rsid w:val="00E31366"/>
    <w:rsid w:val="00E31AE4"/>
    <w:rsid w:val="00E322A1"/>
    <w:rsid w:val="00E35DA5"/>
    <w:rsid w:val="00E36021"/>
    <w:rsid w:val="00E3656C"/>
    <w:rsid w:val="00E36AF0"/>
    <w:rsid w:val="00E37F83"/>
    <w:rsid w:val="00E40192"/>
    <w:rsid w:val="00E4032E"/>
    <w:rsid w:val="00E41542"/>
    <w:rsid w:val="00E415A4"/>
    <w:rsid w:val="00E41625"/>
    <w:rsid w:val="00E41CAC"/>
    <w:rsid w:val="00E4244D"/>
    <w:rsid w:val="00E446BE"/>
    <w:rsid w:val="00E44B25"/>
    <w:rsid w:val="00E45C91"/>
    <w:rsid w:val="00E45CFD"/>
    <w:rsid w:val="00E46132"/>
    <w:rsid w:val="00E46589"/>
    <w:rsid w:val="00E46914"/>
    <w:rsid w:val="00E46EE2"/>
    <w:rsid w:val="00E50243"/>
    <w:rsid w:val="00E50294"/>
    <w:rsid w:val="00E5094E"/>
    <w:rsid w:val="00E50AB2"/>
    <w:rsid w:val="00E50C71"/>
    <w:rsid w:val="00E51092"/>
    <w:rsid w:val="00E5112B"/>
    <w:rsid w:val="00E51D18"/>
    <w:rsid w:val="00E52082"/>
    <w:rsid w:val="00E52289"/>
    <w:rsid w:val="00E5289D"/>
    <w:rsid w:val="00E52B57"/>
    <w:rsid w:val="00E52DB5"/>
    <w:rsid w:val="00E54170"/>
    <w:rsid w:val="00E54612"/>
    <w:rsid w:val="00E547F4"/>
    <w:rsid w:val="00E549F0"/>
    <w:rsid w:val="00E55F27"/>
    <w:rsid w:val="00E56648"/>
    <w:rsid w:val="00E56804"/>
    <w:rsid w:val="00E5744C"/>
    <w:rsid w:val="00E57964"/>
    <w:rsid w:val="00E605D2"/>
    <w:rsid w:val="00E61B41"/>
    <w:rsid w:val="00E61E5D"/>
    <w:rsid w:val="00E6225E"/>
    <w:rsid w:val="00E6442F"/>
    <w:rsid w:val="00E64648"/>
    <w:rsid w:val="00E668A3"/>
    <w:rsid w:val="00E66B89"/>
    <w:rsid w:val="00E66CD7"/>
    <w:rsid w:val="00E674D6"/>
    <w:rsid w:val="00E67C64"/>
    <w:rsid w:val="00E706A5"/>
    <w:rsid w:val="00E71A61"/>
    <w:rsid w:val="00E72FA6"/>
    <w:rsid w:val="00E737F8"/>
    <w:rsid w:val="00E7485F"/>
    <w:rsid w:val="00E7522B"/>
    <w:rsid w:val="00E759E6"/>
    <w:rsid w:val="00E76048"/>
    <w:rsid w:val="00E76588"/>
    <w:rsid w:val="00E772DE"/>
    <w:rsid w:val="00E77334"/>
    <w:rsid w:val="00E775D6"/>
    <w:rsid w:val="00E807A5"/>
    <w:rsid w:val="00E8084E"/>
    <w:rsid w:val="00E80B30"/>
    <w:rsid w:val="00E80C2A"/>
    <w:rsid w:val="00E82062"/>
    <w:rsid w:val="00E83C03"/>
    <w:rsid w:val="00E85468"/>
    <w:rsid w:val="00E8748B"/>
    <w:rsid w:val="00E87C9C"/>
    <w:rsid w:val="00E9022B"/>
    <w:rsid w:val="00E90525"/>
    <w:rsid w:val="00E90672"/>
    <w:rsid w:val="00E91107"/>
    <w:rsid w:val="00E91638"/>
    <w:rsid w:val="00E922F6"/>
    <w:rsid w:val="00E924D4"/>
    <w:rsid w:val="00E92BC6"/>
    <w:rsid w:val="00E92CCF"/>
    <w:rsid w:val="00E932D3"/>
    <w:rsid w:val="00E9347C"/>
    <w:rsid w:val="00E9457E"/>
    <w:rsid w:val="00E95191"/>
    <w:rsid w:val="00E956AB"/>
    <w:rsid w:val="00E96CAB"/>
    <w:rsid w:val="00E96E9B"/>
    <w:rsid w:val="00E97492"/>
    <w:rsid w:val="00EA0EE3"/>
    <w:rsid w:val="00EA0F80"/>
    <w:rsid w:val="00EA3B1C"/>
    <w:rsid w:val="00EA499F"/>
    <w:rsid w:val="00EA6B69"/>
    <w:rsid w:val="00EB1476"/>
    <w:rsid w:val="00EB1479"/>
    <w:rsid w:val="00EB16FF"/>
    <w:rsid w:val="00EB2A07"/>
    <w:rsid w:val="00EB4FAC"/>
    <w:rsid w:val="00EB51D1"/>
    <w:rsid w:val="00EB54D4"/>
    <w:rsid w:val="00EB7552"/>
    <w:rsid w:val="00EB7899"/>
    <w:rsid w:val="00EC05DA"/>
    <w:rsid w:val="00EC06F9"/>
    <w:rsid w:val="00EC0CB8"/>
    <w:rsid w:val="00EC0D6C"/>
    <w:rsid w:val="00EC1452"/>
    <w:rsid w:val="00EC1787"/>
    <w:rsid w:val="00EC195D"/>
    <w:rsid w:val="00EC29A3"/>
    <w:rsid w:val="00EC2C2E"/>
    <w:rsid w:val="00EC3537"/>
    <w:rsid w:val="00EC3713"/>
    <w:rsid w:val="00EC3D0C"/>
    <w:rsid w:val="00EC4C19"/>
    <w:rsid w:val="00EC5371"/>
    <w:rsid w:val="00EC61CA"/>
    <w:rsid w:val="00EC6334"/>
    <w:rsid w:val="00EC747F"/>
    <w:rsid w:val="00EC7CD7"/>
    <w:rsid w:val="00ED0FFE"/>
    <w:rsid w:val="00ED151D"/>
    <w:rsid w:val="00ED1AAB"/>
    <w:rsid w:val="00ED1BB6"/>
    <w:rsid w:val="00ED2586"/>
    <w:rsid w:val="00ED327A"/>
    <w:rsid w:val="00ED3694"/>
    <w:rsid w:val="00ED375E"/>
    <w:rsid w:val="00ED377A"/>
    <w:rsid w:val="00ED38C4"/>
    <w:rsid w:val="00ED4498"/>
    <w:rsid w:val="00ED4D12"/>
    <w:rsid w:val="00ED54A4"/>
    <w:rsid w:val="00ED571C"/>
    <w:rsid w:val="00ED652E"/>
    <w:rsid w:val="00ED6B44"/>
    <w:rsid w:val="00ED75DF"/>
    <w:rsid w:val="00EE0136"/>
    <w:rsid w:val="00EE0A08"/>
    <w:rsid w:val="00EE15CD"/>
    <w:rsid w:val="00EE1A8E"/>
    <w:rsid w:val="00EE2933"/>
    <w:rsid w:val="00EE5535"/>
    <w:rsid w:val="00EE76C9"/>
    <w:rsid w:val="00EF0D2C"/>
    <w:rsid w:val="00EF23D4"/>
    <w:rsid w:val="00EF37BB"/>
    <w:rsid w:val="00EF3DD7"/>
    <w:rsid w:val="00EF49A8"/>
    <w:rsid w:val="00EF58C8"/>
    <w:rsid w:val="00EF60CE"/>
    <w:rsid w:val="00EF60F8"/>
    <w:rsid w:val="00EF69B1"/>
    <w:rsid w:val="00EF7772"/>
    <w:rsid w:val="00F0094B"/>
    <w:rsid w:val="00F014CE"/>
    <w:rsid w:val="00F056EC"/>
    <w:rsid w:val="00F05718"/>
    <w:rsid w:val="00F05809"/>
    <w:rsid w:val="00F05FA8"/>
    <w:rsid w:val="00F0654F"/>
    <w:rsid w:val="00F0680C"/>
    <w:rsid w:val="00F06C7F"/>
    <w:rsid w:val="00F0798D"/>
    <w:rsid w:val="00F07C62"/>
    <w:rsid w:val="00F10901"/>
    <w:rsid w:val="00F10FCE"/>
    <w:rsid w:val="00F12D6B"/>
    <w:rsid w:val="00F12D9B"/>
    <w:rsid w:val="00F13754"/>
    <w:rsid w:val="00F13969"/>
    <w:rsid w:val="00F14A1F"/>
    <w:rsid w:val="00F14A92"/>
    <w:rsid w:val="00F14FAB"/>
    <w:rsid w:val="00F15090"/>
    <w:rsid w:val="00F176B9"/>
    <w:rsid w:val="00F17848"/>
    <w:rsid w:val="00F20D65"/>
    <w:rsid w:val="00F213AE"/>
    <w:rsid w:val="00F221BC"/>
    <w:rsid w:val="00F22414"/>
    <w:rsid w:val="00F22F79"/>
    <w:rsid w:val="00F23958"/>
    <w:rsid w:val="00F23CF4"/>
    <w:rsid w:val="00F24A2B"/>
    <w:rsid w:val="00F25679"/>
    <w:rsid w:val="00F258FA"/>
    <w:rsid w:val="00F25CFB"/>
    <w:rsid w:val="00F25F13"/>
    <w:rsid w:val="00F25FCE"/>
    <w:rsid w:val="00F26124"/>
    <w:rsid w:val="00F3193E"/>
    <w:rsid w:val="00F31A79"/>
    <w:rsid w:val="00F31BCD"/>
    <w:rsid w:val="00F335C1"/>
    <w:rsid w:val="00F340F8"/>
    <w:rsid w:val="00F34B28"/>
    <w:rsid w:val="00F34E6F"/>
    <w:rsid w:val="00F35889"/>
    <w:rsid w:val="00F36208"/>
    <w:rsid w:val="00F36886"/>
    <w:rsid w:val="00F36E3C"/>
    <w:rsid w:val="00F36FA6"/>
    <w:rsid w:val="00F3705D"/>
    <w:rsid w:val="00F371BA"/>
    <w:rsid w:val="00F3729C"/>
    <w:rsid w:val="00F403D1"/>
    <w:rsid w:val="00F40C7F"/>
    <w:rsid w:val="00F41273"/>
    <w:rsid w:val="00F415CF"/>
    <w:rsid w:val="00F41E76"/>
    <w:rsid w:val="00F4309A"/>
    <w:rsid w:val="00F43EE3"/>
    <w:rsid w:val="00F43FD9"/>
    <w:rsid w:val="00F4517F"/>
    <w:rsid w:val="00F45D2C"/>
    <w:rsid w:val="00F46B57"/>
    <w:rsid w:val="00F46FE1"/>
    <w:rsid w:val="00F47ADE"/>
    <w:rsid w:val="00F47CFF"/>
    <w:rsid w:val="00F51614"/>
    <w:rsid w:val="00F51F1B"/>
    <w:rsid w:val="00F524D6"/>
    <w:rsid w:val="00F52518"/>
    <w:rsid w:val="00F52805"/>
    <w:rsid w:val="00F52B84"/>
    <w:rsid w:val="00F52C54"/>
    <w:rsid w:val="00F533B5"/>
    <w:rsid w:val="00F542E1"/>
    <w:rsid w:val="00F559AC"/>
    <w:rsid w:val="00F56BBE"/>
    <w:rsid w:val="00F572E5"/>
    <w:rsid w:val="00F60A14"/>
    <w:rsid w:val="00F61708"/>
    <w:rsid w:val="00F617AA"/>
    <w:rsid w:val="00F6440D"/>
    <w:rsid w:val="00F64D88"/>
    <w:rsid w:val="00F66D2F"/>
    <w:rsid w:val="00F66DFD"/>
    <w:rsid w:val="00F67F65"/>
    <w:rsid w:val="00F700AE"/>
    <w:rsid w:val="00F70345"/>
    <w:rsid w:val="00F7081D"/>
    <w:rsid w:val="00F709AA"/>
    <w:rsid w:val="00F71DC2"/>
    <w:rsid w:val="00F71F0F"/>
    <w:rsid w:val="00F7238B"/>
    <w:rsid w:val="00F72B19"/>
    <w:rsid w:val="00F72B4D"/>
    <w:rsid w:val="00F72EAB"/>
    <w:rsid w:val="00F738AD"/>
    <w:rsid w:val="00F738EA"/>
    <w:rsid w:val="00F742B8"/>
    <w:rsid w:val="00F745D2"/>
    <w:rsid w:val="00F7629E"/>
    <w:rsid w:val="00F76622"/>
    <w:rsid w:val="00F805E0"/>
    <w:rsid w:val="00F81C9E"/>
    <w:rsid w:val="00F826C3"/>
    <w:rsid w:val="00F831C3"/>
    <w:rsid w:val="00F832ED"/>
    <w:rsid w:val="00F8533B"/>
    <w:rsid w:val="00F8591D"/>
    <w:rsid w:val="00F8652A"/>
    <w:rsid w:val="00F86781"/>
    <w:rsid w:val="00F86B73"/>
    <w:rsid w:val="00F8703C"/>
    <w:rsid w:val="00F8718B"/>
    <w:rsid w:val="00F874AE"/>
    <w:rsid w:val="00F87669"/>
    <w:rsid w:val="00F87E99"/>
    <w:rsid w:val="00F87EDF"/>
    <w:rsid w:val="00F90707"/>
    <w:rsid w:val="00F91565"/>
    <w:rsid w:val="00F91B05"/>
    <w:rsid w:val="00F929A7"/>
    <w:rsid w:val="00F937E7"/>
    <w:rsid w:val="00F938EE"/>
    <w:rsid w:val="00F93E0B"/>
    <w:rsid w:val="00F94060"/>
    <w:rsid w:val="00F949F6"/>
    <w:rsid w:val="00F94D97"/>
    <w:rsid w:val="00F95BEC"/>
    <w:rsid w:val="00F96DD4"/>
    <w:rsid w:val="00F97085"/>
    <w:rsid w:val="00F97792"/>
    <w:rsid w:val="00FA1B17"/>
    <w:rsid w:val="00FA26E1"/>
    <w:rsid w:val="00FA2ED8"/>
    <w:rsid w:val="00FA53CD"/>
    <w:rsid w:val="00FA5F9F"/>
    <w:rsid w:val="00FA6D05"/>
    <w:rsid w:val="00FB09C1"/>
    <w:rsid w:val="00FB1083"/>
    <w:rsid w:val="00FB13EF"/>
    <w:rsid w:val="00FB2CFC"/>
    <w:rsid w:val="00FB3124"/>
    <w:rsid w:val="00FB3795"/>
    <w:rsid w:val="00FB40E4"/>
    <w:rsid w:val="00FB52A1"/>
    <w:rsid w:val="00FB5468"/>
    <w:rsid w:val="00FB5484"/>
    <w:rsid w:val="00FB5874"/>
    <w:rsid w:val="00FB5E6A"/>
    <w:rsid w:val="00FB6269"/>
    <w:rsid w:val="00FB644D"/>
    <w:rsid w:val="00FB66F1"/>
    <w:rsid w:val="00FB71B9"/>
    <w:rsid w:val="00FB731E"/>
    <w:rsid w:val="00FC02A7"/>
    <w:rsid w:val="00FC0688"/>
    <w:rsid w:val="00FC206D"/>
    <w:rsid w:val="00FC2415"/>
    <w:rsid w:val="00FC31B9"/>
    <w:rsid w:val="00FC37EF"/>
    <w:rsid w:val="00FC3983"/>
    <w:rsid w:val="00FC5686"/>
    <w:rsid w:val="00FC57AB"/>
    <w:rsid w:val="00FC5FCC"/>
    <w:rsid w:val="00FC6BFE"/>
    <w:rsid w:val="00FC6E6D"/>
    <w:rsid w:val="00FC73C1"/>
    <w:rsid w:val="00FC7BC8"/>
    <w:rsid w:val="00FD0FCD"/>
    <w:rsid w:val="00FD1874"/>
    <w:rsid w:val="00FD2550"/>
    <w:rsid w:val="00FD2EDF"/>
    <w:rsid w:val="00FD2F4C"/>
    <w:rsid w:val="00FD3173"/>
    <w:rsid w:val="00FD3E9F"/>
    <w:rsid w:val="00FD4494"/>
    <w:rsid w:val="00FD48F3"/>
    <w:rsid w:val="00FD4D2A"/>
    <w:rsid w:val="00FD54AE"/>
    <w:rsid w:val="00FD7276"/>
    <w:rsid w:val="00FD7FD7"/>
    <w:rsid w:val="00FE067C"/>
    <w:rsid w:val="00FE0FAF"/>
    <w:rsid w:val="00FE1222"/>
    <w:rsid w:val="00FE1567"/>
    <w:rsid w:val="00FE2664"/>
    <w:rsid w:val="00FE2B21"/>
    <w:rsid w:val="00FE4408"/>
    <w:rsid w:val="00FE4A8C"/>
    <w:rsid w:val="00FE4AC9"/>
    <w:rsid w:val="00FE4E8F"/>
    <w:rsid w:val="00FE5909"/>
    <w:rsid w:val="00FE64DD"/>
    <w:rsid w:val="00FE65BA"/>
    <w:rsid w:val="00FE7437"/>
    <w:rsid w:val="00FE7B12"/>
    <w:rsid w:val="00FE7EA6"/>
    <w:rsid w:val="00FF1291"/>
    <w:rsid w:val="00FF131B"/>
    <w:rsid w:val="00FF1562"/>
    <w:rsid w:val="00FF1A3B"/>
    <w:rsid w:val="00FF1B4C"/>
    <w:rsid w:val="00FF1B87"/>
    <w:rsid w:val="00FF1E2B"/>
    <w:rsid w:val="00FF3E29"/>
    <w:rsid w:val="00FF3E4B"/>
    <w:rsid w:val="00FF4257"/>
    <w:rsid w:val="00FF61DB"/>
    <w:rsid w:val="00FF654B"/>
    <w:rsid w:val="00FF66A2"/>
    <w:rsid w:val="00FF6CD5"/>
    <w:rsid w:val="00FF7204"/>
    <w:rsid w:val="00FF726E"/>
    <w:rsid w:val="01431A4A"/>
    <w:rsid w:val="01635C49"/>
    <w:rsid w:val="017C22CA"/>
    <w:rsid w:val="017D66E9"/>
    <w:rsid w:val="018A58CB"/>
    <w:rsid w:val="019B57A0"/>
    <w:rsid w:val="01A06E9D"/>
    <w:rsid w:val="01A3073B"/>
    <w:rsid w:val="01A324E9"/>
    <w:rsid w:val="01A33087"/>
    <w:rsid w:val="01D134FA"/>
    <w:rsid w:val="01D63F6D"/>
    <w:rsid w:val="01D6466C"/>
    <w:rsid w:val="01DF58FF"/>
    <w:rsid w:val="01FA65AD"/>
    <w:rsid w:val="021533E7"/>
    <w:rsid w:val="02497534"/>
    <w:rsid w:val="024C0DD3"/>
    <w:rsid w:val="024D4A7D"/>
    <w:rsid w:val="025609B1"/>
    <w:rsid w:val="027F6AB2"/>
    <w:rsid w:val="02A145DE"/>
    <w:rsid w:val="02B26E88"/>
    <w:rsid w:val="02CB7F49"/>
    <w:rsid w:val="02E146F9"/>
    <w:rsid w:val="02E334E5"/>
    <w:rsid w:val="02E80AFB"/>
    <w:rsid w:val="02E903CF"/>
    <w:rsid w:val="02EC1E69"/>
    <w:rsid w:val="02ED4364"/>
    <w:rsid w:val="030671D3"/>
    <w:rsid w:val="030B2A3C"/>
    <w:rsid w:val="03103BAE"/>
    <w:rsid w:val="031F181B"/>
    <w:rsid w:val="032A4C70"/>
    <w:rsid w:val="035D5C1E"/>
    <w:rsid w:val="0361440A"/>
    <w:rsid w:val="03630182"/>
    <w:rsid w:val="0374413D"/>
    <w:rsid w:val="038C7F52"/>
    <w:rsid w:val="03920A67"/>
    <w:rsid w:val="03CF41F6"/>
    <w:rsid w:val="03D130C9"/>
    <w:rsid w:val="03D1333D"/>
    <w:rsid w:val="03DE3CAC"/>
    <w:rsid w:val="03F80913"/>
    <w:rsid w:val="040A2CF3"/>
    <w:rsid w:val="04194CE4"/>
    <w:rsid w:val="041B6CAE"/>
    <w:rsid w:val="04446205"/>
    <w:rsid w:val="044B7594"/>
    <w:rsid w:val="044F3EF5"/>
    <w:rsid w:val="046046C1"/>
    <w:rsid w:val="04650E5C"/>
    <w:rsid w:val="04820ADC"/>
    <w:rsid w:val="048C06BB"/>
    <w:rsid w:val="04B35139"/>
    <w:rsid w:val="04BA2023"/>
    <w:rsid w:val="04DC52CD"/>
    <w:rsid w:val="04E42BB1"/>
    <w:rsid w:val="04F4568F"/>
    <w:rsid w:val="04F75026"/>
    <w:rsid w:val="04FA2D68"/>
    <w:rsid w:val="04FC3176"/>
    <w:rsid w:val="050B6D23"/>
    <w:rsid w:val="05177476"/>
    <w:rsid w:val="05371E56"/>
    <w:rsid w:val="053C512E"/>
    <w:rsid w:val="053F077B"/>
    <w:rsid w:val="05820D5B"/>
    <w:rsid w:val="05AD1B88"/>
    <w:rsid w:val="05BE78F1"/>
    <w:rsid w:val="05C018BB"/>
    <w:rsid w:val="05C25634"/>
    <w:rsid w:val="05CD3EB3"/>
    <w:rsid w:val="05DF272D"/>
    <w:rsid w:val="05E27A84"/>
    <w:rsid w:val="05E30006"/>
    <w:rsid w:val="05E80E12"/>
    <w:rsid w:val="06147D00"/>
    <w:rsid w:val="061A63D3"/>
    <w:rsid w:val="061E22CB"/>
    <w:rsid w:val="06205A83"/>
    <w:rsid w:val="06284D83"/>
    <w:rsid w:val="06585F98"/>
    <w:rsid w:val="065C36FD"/>
    <w:rsid w:val="06725B16"/>
    <w:rsid w:val="068154EF"/>
    <w:rsid w:val="06872D56"/>
    <w:rsid w:val="06913258"/>
    <w:rsid w:val="069536CD"/>
    <w:rsid w:val="06963510"/>
    <w:rsid w:val="06AA444A"/>
    <w:rsid w:val="06C254FC"/>
    <w:rsid w:val="06D66EBD"/>
    <w:rsid w:val="06E46DD6"/>
    <w:rsid w:val="06F2019A"/>
    <w:rsid w:val="06FD5623"/>
    <w:rsid w:val="07043A2A"/>
    <w:rsid w:val="071F1BF8"/>
    <w:rsid w:val="07320597"/>
    <w:rsid w:val="074402CA"/>
    <w:rsid w:val="07484826"/>
    <w:rsid w:val="074B228B"/>
    <w:rsid w:val="07504EC1"/>
    <w:rsid w:val="07533B82"/>
    <w:rsid w:val="07603356"/>
    <w:rsid w:val="076A5F83"/>
    <w:rsid w:val="07713FC0"/>
    <w:rsid w:val="07AF2CE8"/>
    <w:rsid w:val="07D478A0"/>
    <w:rsid w:val="0802440D"/>
    <w:rsid w:val="081D2FF5"/>
    <w:rsid w:val="0822151D"/>
    <w:rsid w:val="084A2E08"/>
    <w:rsid w:val="08626C5A"/>
    <w:rsid w:val="088210AA"/>
    <w:rsid w:val="08892439"/>
    <w:rsid w:val="088C017B"/>
    <w:rsid w:val="088E3EF3"/>
    <w:rsid w:val="08935065"/>
    <w:rsid w:val="08B2101C"/>
    <w:rsid w:val="08B6248C"/>
    <w:rsid w:val="08C0550B"/>
    <w:rsid w:val="08E27D9B"/>
    <w:rsid w:val="08E41D65"/>
    <w:rsid w:val="08FC70AE"/>
    <w:rsid w:val="08FF6B9F"/>
    <w:rsid w:val="09044651"/>
    <w:rsid w:val="090827CD"/>
    <w:rsid w:val="09095327"/>
    <w:rsid w:val="09246605"/>
    <w:rsid w:val="094B5940"/>
    <w:rsid w:val="09540C99"/>
    <w:rsid w:val="09615163"/>
    <w:rsid w:val="09641372"/>
    <w:rsid w:val="09736C45"/>
    <w:rsid w:val="09774987"/>
    <w:rsid w:val="09CA0F5B"/>
    <w:rsid w:val="09D74EF0"/>
    <w:rsid w:val="09E3201C"/>
    <w:rsid w:val="09FD1E6C"/>
    <w:rsid w:val="0A014251"/>
    <w:rsid w:val="0A0B50CF"/>
    <w:rsid w:val="0A0E1031"/>
    <w:rsid w:val="0A0F2E11"/>
    <w:rsid w:val="0A0F696E"/>
    <w:rsid w:val="0A3A1420"/>
    <w:rsid w:val="0A682522"/>
    <w:rsid w:val="0A6848D8"/>
    <w:rsid w:val="0A6F565E"/>
    <w:rsid w:val="0A742C74"/>
    <w:rsid w:val="0A7C5EE5"/>
    <w:rsid w:val="0A854E82"/>
    <w:rsid w:val="0AA338DC"/>
    <w:rsid w:val="0ABD286D"/>
    <w:rsid w:val="0ADD6A6C"/>
    <w:rsid w:val="0B057D70"/>
    <w:rsid w:val="0BAF665A"/>
    <w:rsid w:val="0BB63CDC"/>
    <w:rsid w:val="0BEB340A"/>
    <w:rsid w:val="0BED2CDE"/>
    <w:rsid w:val="0C153703"/>
    <w:rsid w:val="0C1A784C"/>
    <w:rsid w:val="0C1B09F4"/>
    <w:rsid w:val="0C1B1D9B"/>
    <w:rsid w:val="0C1D11D3"/>
    <w:rsid w:val="0C405504"/>
    <w:rsid w:val="0C5A7EA4"/>
    <w:rsid w:val="0C60563C"/>
    <w:rsid w:val="0C686809"/>
    <w:rsid w:val="0C6E24FB"/>
    <w:rsid w:val="0C6F4365"/>
    <w:rsid w:val="0C7117A3"/>
    <w:rsid w:val="0C7B02EA"/>
    <w:rsid w:val="0C923886"/>
    <w:rsid w:val="0C965124"/>
    <w:rsid w:val="0C992C37"/>
    <w:rsid w:val="0C9A5ED3"/>
    <w:rsid w:val="0CF01B55"/>
    <w:rsid w:val="0CF647D3"/>
    <w:rsid w:val="0D0A78C0"/>
    <w:rsid w:val="0D0C188A"/>
    <w:rsid w:val="0D1129FD"/>
    <w:rsid w:val="0D132C19"/>
    <w:rsid w:val="0D18770F"/>
    <w:rsid w:val="0D305579"/>
    <w:rsid w:val="0D4252AC"/>
    <w:rsid w:val="0D4947F0"/>
    <w:rsid w:val="0D5374B9"/>
    <w:rsid w:val="0D613984"/>
    <w:rsid w:val="0D6C574D"/>
    <w:rsid w:val="0D7D475F"/>
    <w:rsid w:val="0D883FB7"/>
    <w:rsid w:val="0D8B0A01"/>
    <w:rsid w:val="0DCB704F"/>
    <w:rsid w:val="0DE56FDE"/>
    <w:rsid w:val="0DF447F8"/>
    <w:rsid w:val="0DF90060"/>
    <w:rsid w:val="0E0D58BA"/>
    <w:rsid w:val="0E285928"/>
    <w:rsid w:val="0E2A1FC8"/>
    <w:rsid w:val="0E2D7D0A"/>
    <w:rsid w:val="0E552DBD"/>
    <w:rsid w:val="0E8E0E46"/>
    <w:rsid w:val="0EA578A0"/>
    <w:rsid w:val="0EA83079"/>
    <w:rsid w:val="0F1C785D"/>
    <w:rsid w:val="0F203F97"/>
    <w:rsid w:val="0F3330FE"/>
    <w:rsid w:val="0F3B6457"/>
    <w:rsid w:val="0F3C7BE4"/>
    <w:rsid w:val="0F3E3367"/>
    <w:rsid w:val="0F40581B"/>
    <w:rsid w:val="0F4075C9"/>
    <w:rsid w:val="0F515C7A"/>
    <w:rsid w:val="0F517A28"/>
    <w:rsid w:val="0F535F76"/>
    <w:rsid w:val="0F5A0DB5"/>
    <w:rsid w:val="0F6B6D3C"/>
    <w:rsid w:val="0F8266D9"/>
    <w:rsid w:val="0F9F0794"/>
    <w:rsid w:val="0FA31024"/>
    <w:rsid w:val="0FBD6E6C"/>
    <w:rsid w:val="0FD7617F"/>
    <w:rsid w:val="0FDE19F7"/>
    <w:rsid w:val="0FF46D31"/>
    <w:rsid w:val="10044A9B"/>
    <w:rsid w:val="100D73B8"/>
    <w:rsid w:val="1019169C"/>
    <w:rsid w:val="101A42BE"/>
    <w:rsid w:val="101C0036"/>
    <w:rsid w:val="102D02A1"/>
    <w:rsid w:val="102D3FF1"/>
    <w:rsid w:val="102E38C6"/>
    <w:rsid w:val="103E1D5B"/>
    <w:rsid w:val="10675755"/>
    <w:rsid w:val="1077526D"/>
    <w:rsid w:val="108160EB"/>
    <w:rsid w:val="109E740F"/>
    <w:rsid w:val="10AB4F16"/>
    <w:rsid w:val="10AC760C"/>
    <w:rsid w:val="10BB784F"/>
    <w:rsid w:val="10C83D1A"/>
    <w:rsid w:val="10CD30DE"/>
    <w:rsid w:val="10E723F2"/>
    <w:rsid w:val="10EC0872"/>
    <w:rsid w:val="111451B1"/>
    <w:rsid w:val="11215B10"/>
    <w:rsid w:val="112E79F7"/>
    <w:rsid w:val="1144495B"/>
    <w:rsid w:val="11515ABE"/>
    <w:rsid w:val="115F45E5"/>
    <w:rsid w:val="116A36A9"/>
    <w:rsid w:val="116E48C1"/>
    <w:rsid w:val="116F4196"/>
    <w:rsid w:val="119500A0"/>
    <w:rsid w:val="119E3805"/>
    <w:rsid w:val="11D34725"/>
    <w:rsid w:val="11D861DF"/>
    <w:rsid w:val="12107F7D"/>
    <w:rsid w:val="121B0CC5"/>
    <w:rsid w:val="12266F4A"/>
    <w:rsid w:val="126B2BAF"/>
    <w:rsid w:val="12744159"/>
    <w:rsid w:val="127A1044"/>
    <w:rsid w:val="129836AF"/>
    <w:rsid w:val="12A146D5"/>
    <w:rsid w:val="12A85BB1"/>
    <w:rsid w:val="12B10F0A"/>
    <w:rsid w:val="12B81C4A"/>
    <w:rsid w:val="12C50511"/>
    <w:rsid w:val="12E360E4"/>
    <w:rsid w:val="12E60488"/>
    <w:rsid w:val="12E62106"/>
    <w:rsid w:val="12F901BB"/>
    <w:rsid w:val="13182D37"/>
    <w:rsid w:val="13373653"/>
    <w:rsid w:val="133D454B"/>
    <w:rsid w:val="133E2072"/>
    <w:rsid w:val="134773B0"/>
    <w:rsid w:val="135950FD"/>
    <w:rsid w:val="13616DDA"/>
    <w:rsid w:val="137B32C6"/>
    <w:rsid w:val="13826402"/>
    <w:rsid w:val="13916645"/>
    <w:rsid w:val="13AC7923"/>
    <w:rsid w:val="13D44C16"/>
    <w:rsid w:val="13D5487D"/>
    <w:rsid w:val="13EE11F1"/>
    <w:rsid w:val="13F57B76"/>
    <w:rsid w:val="141259D8"/>
    <w:rsid w:val="1419582F"/>
    <w:rsid w:val="141C1100"/>
    <w:rsid w:val="141F6347"/>
    <w:rsid w:val="1441006B"/>
    <w:rsid w:val="144C06BE"/>
    <w:rsid w:val="14531B4D"/>
    <w:rsid w:val="14641FAC"/>
    <w:rsid w:val="14697BE6"/>
    <w:rsid w:val="147742FE"/>
    <w:rsid w:val="147A7DFA"/>
    <w:rsid w:val="14A56265"/>
    <w:rsid w:val="14B9397D"/>
    <w:rsid w:val="14C23DCA"/>
    <w:rsid w:val="14DB7F08"/>
    <w:rsid w:val="14E62BE7"/>
    <w:rsid w:val="14EE4B79"/>
    <w:rsid w:val="15051C81"/>
    <w:rsid w:val="1517701E"/>
    <w:rsid w:val="15200D24"/>
    <w:rsid w:val="15221996"/>
    <w:rsid w:val="153D4CD7"/>
    <w:rsid w:val="154A257C"/>
    <w:rsid w:val="1555400F"/>
    <w:rsid w:val="15597637"/>
    <w:rsid w:val="155E4C4D"/>
    <w:rsid w:val="15610299"/>
    <w:rsid w:val="15910B7E"/>
    <w:rsid w:val="15915022"/>
    <w:rsid w:val="159D7523"/>
    <w:rsid w:val="15D56295"/>
    <w:rsid w:val="15D867AD"/>
    <w:rsid w:val="15F74643"/>
    <w:rsid w:val="160457D1"/>
    <w:rsid w:val="160752E5"/>
    <w:rsid w:val="161D1CE9"/>
    <w:rsid w:val="161E0A1B"/>
    <w:rsid w:val="163A2FC4"/>
    <w:rsid w:val="1647748F"/>
    <w:rsid w:val="16492A93"/>
    <w:rsid w:val="166D15EC"/>
    <w:rsid w:val="16734728"/>
    <w:rsid w:val="167C35DD"/>
    <w:rsid w:val="16806E74"/>
    <w:rsid w:val="16866209"/>
    <w:rsid w:val="16930926"/>
    <w:rsid w:val="169C3C7F"/>
    <w:rsid w:val="169E512A"/>
    <w:rsid w:val="16A9014A"/>
    <w:rsid w:val="16C7230D"/>
    <w:rsid w:val="16D90A2F"/>
    <w:rsid w:val="16E86EC4"/>
    <w:rsid w:val="16F77107"/>
    <w:rsid w:val="1703785A"/>
    <w:rsid w:val="17117C38"/>
    <w:rsid w:val="17143815"/>
    <w:rsid w:val="171B1FE3"/>
    <w:rsid w:val="17285513"/>
    <w:rsid w:val="17571954"/>
    <w:rsid w:val="177A04F8"/>
    <w:rsid w:val="17A133F8"/>
    <w:rsid w:val="17A56B63"/>
    <w:rsid w:val="17DE54CF"/>
    <w:rsid w:val="17E4768B"/>
    <w:rsid w:val="17FD65D0"/>
    <w:rsid w:val="18025D64"/>
    <w:rsid w:val="180715CC"/>
    <w:rsid w:val="180A2E6A"/>
    <w:rsid w:val="181F6915"/>
    <w:rsid w:val="18216B7B"/>
    <w:rsid w:val="182C1032"/>
    <w:rsid w:val="18394B6A"/>
    <w:rsid w:val="18441ED8"/>
    <w:rsid w:val="184A2F88"/>
    <w:rsid w:val="184B74E5"/>
    <w:rsid w:val="18664544"/>
    <w:rsid w:val="18730853"/>
    <w:rsid w:val="189D783A"/>
    <w:rsid w:val="18C306D1"/>
    <w:rsid w:val="18C354F3"/>
    <w:rsid w:val="18C7379E"/>
    <w:rsid w:val="18D771F0"/>
    <w:rsid w:val="18DA6CE0"/>
    <w:rsid w:val="1912647A"/>
    <w:rsid w:val="19263CD4"/>
    <w:rsid w:val="192B12EA"/>
    <w:rsid w:val="19452489"/>
    <w:rsid w:val="195F08E7"/>
    <w:rsid w:val="195F2D42"/>
    <w:rsid w:val="196333D9"/>
    <w:rsid w:val="196C5B8A"/>
    <w:rsid w:val="19742C91"/>
    <w:rsid w:val="19792055"/>
    <w:rsid w:val="197E141A"/>
    <w:rsid w:val="198D1C77"/>
    <w:rsid w:val="19A215AC"/>
    <w:rsid w:val="19B659E9"/>
    <w:rsid w:val="19CE38E9"/>
    <w:rsid w:val="19E576EB"/>
    <w:rsid w:val="19F704E3"/>
    <w:rsid w:val="1A1D79A0"/>
    <w:rsid w:val="1A757938"/>
    <w:rsid w:val="1A7D7923"/>
    <w:rsid w:val="1A892D71"/>
    <w:rsid w:val="1A98650B"/>
    <w:rsid w:val="1A9D1D74"/>
    <w:rsid w:val="1AD70FEB"/>
    <w:rsid w:val="1ADA70F7"/>
    <w:rsid w:val="1ADE52DA"/>
    <w:rsid w:val="1AFF4613"/>
    <w:rsid w:val="1B49619E"/>
    <w:rsid w:val="1B701236"/>
    <w:rsid w:val="1B744170"/>
    <w:rsid w:val="1B764FD5"/>
    <w:rsid w:val="1B812DCF"/>
    <w:rsid w:val="1BAC6712"/>
    <w:rsid w:val="1BB83309"/>
    <w:rsid w:val="1BD57D32"/>
    <w:rsid w:val="1BD712B5"/>
    <w:rsid w:val="1BE30BF5"/>
    <w:rsid w:val="1BF14125"/>
    <w:rsid w:val="1C12523F"/>
    <w:rsid w:val="1C16002F"/>
    <w:rsid w:val="1C1821EF"/>
    <w:rsid w:val="1C365FDC"/>
    <w:rsid w:val="1C395ACC"/>
    <w:rsid w:val="1C47643B"/>
    <w:rsid w:val="1C556DAA"/>
    <w:rsid w:val="1C5B4972"/>
    <w:rsid w:val="1C662D65"/>
    <w:rsid w:val="1C786A3B"/>
    <w:rsid w:val="1C84143D"/>
    <w:rsid w:val="1CA2751E"/>
    <w:rsid w:val="1CAC2742"/>
    <w:rsid w:val="1CB33AD0"/>
    <w:rsid w:val="1CC04712"/>
    <w:rsid w:val="1CD50903"/>
    <w:rsid w:val="1CE41EDC"/>
    <w:rsid w:val="1CE819CC"/>
    <w:rsid w:val="1CEF719F"/>
    <w:rsid w:val="1CFE1968"/>
    <w:rsid w:val="1D2E3157"/>
    <w:rsid w:val="1D327801"/>
    <w:rsid w:val="1D6D3BD2"/>
    <w:rsid w:val="1D8D43AF"/>
    <w:rsid w:val="1DA33B45"/>
    <w:rsid w:val="1DAD6772"/>
    <w:rsid w:val="1DAF4B38"/>
    <w:rsid w:val="1DDA0D6B"/>
    <w:rsid w:val="1DDF7A40"/>
    <w:rsid w:val="1DE228BA"/>
    <w:rsid w:val="1E0839A8"/>
    <w:rsid w:val="1E336DE1"/>
    <w:rsid w:val="1E363D71"/>
    <w:rsid w:val="1E41439B"/>
    <w:rsid w:val="1E5C55E9"/>
    <w:rsid w:val="1EB9030D"/>
    <w:rsid w:val="1EC91389"/>
    <w:rsid w:val="1EDA4679"/>
    <w:rsid w:val="1F03544E"/>
    <w:rsid w:val="1F0829B6"/>
    <w:rsid w:val="1F2C2D5F"/>
    <w:rsid w:val="1F470500"/>
    <w:rsid w:val="1F6327D6"/>
    <w:rsid w:val="1F6E513F"/>
    <w:rsid w:val="1FA0658E"/>
    <w:rsid w:val="1FB545F4"/>
    <w:rsid w:val="1FB65DB1"/>
    <w:rsid w:val="1FCF0C21"/>
    <w:rsid w:val="1FD16E47"/>
    <w:rsid w:val="1FDE70B6"/>
    <w:rsid w:val="1FE83A91"/>
    <w:rsid w:val="201605FE"/>
    <w:rsid w:val="201C3760"/>
    <w:rsid w:val="20210D51"/>
    <w:rsid w:val="202F2F0A"/>
    <w:rsid w:val="20322F5E"/>
    <w:rsid w:val="203B7DCD"/>
    <w:rsid w:val="2040567B"/>
    <w:rsid w:val="20407429"/>
    <w:rsid w:val="204A02A8"/>
    <w:rsid w:val="20717F2A"/>
    <w:rsid w:val="208F6602"/>
    <w:rsid w:val="209459C7"/>
    <w:rsid w:val="20996E25"/>
    <w:rsid w:val="20A420AE"/>
    <w:rsid w:val="20B322F1"/>
    <w:rsid w:val="20C067BC"/>
    <w:rsid w:val="20C242E2"/>
    <w:rsid w:val="20D44015"/>
    <w:rsid w:val="20E643A0"/>
    <w:rsid w:val="20FC4B29"/>
    <w:rsid w:val="20FD26FC"/>
    <w:rsid w:val="21070AB3"/>
    <w:rsid w:val="212E4EB0"/>
    <w:rsid w:val="2146615C"/>
    <w:rsid w:val="21505D92"/>
    <w:rsid w:val="215D400B"/>
    <w:rsid w:val="216A06D1"/>
    <w:rsid w:val="216D6919"/>
    <w:rsid w:val="21780E44"/>
    <w:rsid w:val="217F34CF"/>
    <w:rsid w:val="21863561"/>
    <w:rsid w:val="21933ED0"/>
    <w:rsid w:val="219F16C5"/>
    <w:rsid w:val="21B61F52"/>
    <w:rsid w:val="21C36564"/>
    <w:rsid w:val="21C81DCC"/>
    <w:rsid w:val="21D249F9"/>
    <w:rsid w:val="21DA38AD"/>
    <w:rsid w:val="21F20F37"/>
    <w:rsid w:val="21F84180"/>
    <w:rsid w:val="221D5BB5"/>
    <w:rsid w:val="22202C8C"/>
    <w:rsid w:val="22500474"/>
    <w:rsid w:val="22513B6F"/>
    <w:rsid w:val="22525B39"/>
    <w:rsid w:val="226D7A54"/>
    <w:rsid w:val="227B2926"/>
    <w:rsid w:val="22865684"/>
    <w:rsid w:val="228C104B"/>
    <w:rsid w:val="22BA5A10"/>
    <w:rsid w:val="22CF718A"/>
    <w:rsid w:val="22DF5FC4"/>
    <w:rsid w:val="233D40F4"/>
    <w:rsid w:val="23450EDC"/>
    <w:rsid w:val="23472FCD"/>
    <w:rsid w:val="23515DF1"/>
    <w:rsid w:val="23517B9F"/>
    <w:rsid w:val="23531B69"/>
    <w:rsid w:val="235356C5"/>
    <w:rsid w:val="235D02F2"/>
    <w:rsid w:val="235F406A"/>
    <w:rsid w:val="236B2E9C"/>
    <w:rsid w:val="238826AD"/>
    <w:rsid w:val="238B742E"/>
    <w:rsid w:val="23987286"/>
    <w:rsid w:val="23AD74CB"/>
    <w:rsid w:val="23D45DC0"/>
    <w:rsid w:val="23E1155B"/>
    <w:rsid w:val="23ED1676"/>
    <w:rsid w:val="23F724F4"/>
    <w:rsid w:val="24046882"/>
    <w:rsid w:val="241F1F15"/>
    <w:rsid w:val="242B4894"/>
    <w:rsid w:val="24310E92"/>
    <w:rsid w:val="243472A5"/>
    <w:rsid w:val="24376D95"/>
    <w:rsid w:val="245A4A6F"/>
    <w:rsid w:val="247A404C"/>
    <w:rsid w:val="24831A8A"/>
    <w:rsid w:val="249F7694"/>
    <w:rsid w:val="24A92885"/>
    <w:rsid w:val="24B05B8B"/>
    <w:rsid w:val="24C20D54"/>
    <w:rsid w:val="24F86524"/>
    <w:rsid w:val="25001B3E"/>
    <w:rsid w:val="250F1AC0"/>
    <w:rsid w:val="2513335E"/>
    <w:rsid w:val="251F61A7"/>
    <w:rsid w:val="252E0198"/>
    <w:rsid w:val="252E2410"/>
    <w:rsid w:val="25340E3D"/>
    <w:rsid w:val="254259F1"/>
    <w:rsid w:val="25545BB7"/>
    <w:rsid w:val="25550C1E"/>
    <w:rsid w:val="255D409B"/>
    <w:rsid w:val="256A4F48"/>
    <w:rsid w:val="25781413"/>
    <w:rsid w:val="258204E4"/>
    <w:rsid w:val="25867EF4"/>
    <w:rsid w:val="25A71CF8"/>
    <w:rsid w:val="25BD21AD"/>
    <w:rsid w:val="25CA6E09"/>
    <w:rsid w:val="25D6438C"/>
    <w:rsid w:val="25E25090"/>
    <w:rsid w:val="25F3318F"/>
    <w:rsid w:val="25F5515A"/>
    <w:rsid w:val="25F64996"/>
    <w:rsid w:val="262B0B7B"/>
    <w:rsid w:val="265A6D6B"/>
    <w:rsid w:val="266876DA"/>
    <w:rsid w:val="26720A0A"/>
    <w:rsid w:val="268C2968"/>
    <w:rsid w:val="26A56238"/>
    <w:rsid w:val="26B35A7B"/>
    <w:rsid w:val="26C708A4"/>
    <w:rsid w:val="26C757BD"/>
    <w:rsid w:val="26DB434F"/>
    <w:rsid w:val="26EA4592"/>
    <w:rsid w:val="26ED1D1A"/>
    <w:rsid w:val="26EE4083"/>
    <w:rsid w:val="26F7280B"/>
    <w:rsid w:val="26FB054E"/>
    <w:rsid w:val="27046DB7"/>
    <w:rsid w:val="271565FB"/>
    <w:rsid w:val="272B2AFB"/>
    <w:rsid w:val="27331D58"/>
    <w:rsid w:val="27391076"/>
    <w:rsid w:val="27391BD0"/>
    <w:rsid w:val="27426D58"/>
    <w:rsid w:val="274E6292"/>
    <w:rsid w:val="276C3F85"/>
    <w:rsid w:val="276E2ACE"/>
    <w:rsid w:val="27735B86"/>
    <w:rsid w:val="277B1EA4"/>
    <w:rsid w:val="278530EB"/>
    <w:rsid w:val="278D4EE0"/>
    <w:rsid w:val="27A961FC"/>
    <w:rsid w:val="27B626C7"/>
    <w:rsid w:val="27D95EBF"/>
    <w:rsid w:val="27DC037F"/>
    <w:rsid w:val="27EC31AA"/>
    <w:rsid w:val="27F54F9D"/>
    <w:rsid w:val="280A4686"/>
    <w:rsid w:val="281F026C"/>
    <w:rsid w:val="282349BD"/>
    <w:rsid w:val="283A284D"/>
    <w:rsid w:val="28595263"/>
    <w:rsid w:val="2868457E"/>
    <w:rsid w:val="28926CDF"/>
    <w:rsid w:val="2895372B"/>
    <w:rsid w:val="28AA222B"/>
    <w:rsid w:val="28C64DCA"/>
    <w:rsid w:val="28C802B7"/>
    <w:rsid w:val="28DE1ED5"/>
    <w:rsid w:val="28DF17A9"/>
    <w:rsid w:val="28F24E95"/>
    <w:rsid w:val="28FB65E3"/>
    <w:rsid w:val="29174AC8"/>
    <w:rsid w:val="2920429C"/>
    <w:rsid w:val="294B0A9B"/>
    <w:rsid w:val="29581C87"/>
    <w:rsid w:val="295C69FD"/>
    <w:rsid w:val="296D0CD1"/>
    <w:rsid w:val="296E14AB"/>
    <w:rsid w:val="299507E6"/>
    <w:rsid w:val="29AB625B"/>
    <w:rsid w:val="29CF181E"/>
    <w:rsid w:val="2A005E38"/>
    <w:rsid w:val="2A0F07CB"/>
    <w:rsid w:val="2A133E00"/>
    <w:rsid w:val="2A3873C3"/>
    <w:rsid w:val="2A58020F"/>
    <w:rsid w:val="2A75037D"/>
    <w:rsid w:val="2A756869"/>
    <w:rsid w:val="2A925337"/>
    <w:rsid w:val="2A965928"/>
    <w:rsid w:val="2A9F38E6"/>
    <w:rsid w:val="2AA8279A"/>
    <w:rsid w:val="2AB27C3C"/>
    <w:rsid w:val="2AB63109"/>
    <w:rsid w:val="2ABF7AE4"/>
    <w:rsid w:val="2ACB3FFA"/>
    <w:rsid w:val="2ACD0453"/>
    <w:rsid w:val="2AD322F2"/>
    <w:rsid w:val="2AF84EE9"/>
    <w:rsid w:val="2AFE23BA"/>
    <w:rsid w:val="2B0379D1"/>
    <w:rsid w:val="2B0C0F7B"/>
    <w:rsid w:val="2B397896"/>
    <w:rsid w:val="2B6D12EE"/>
    <w:rsid w:val="2B8E1990"/>
    <w:rsid w:val="2BA72A52"/>
    <w:rsid w:val="2BAA2542"/>
    <w:rsid w:val="2BAC62BA"/>
    <w:rsid w:val="2BAD7EEE"/>
    <w:rsid w:val="2BCA217D"/>
    <w:rsid w:val="2BD31A99"/>
    <w:rsid w:val="2BE45A54"/>
    <w:rsid w:val="2BF9180D"/>
    <w:rsid w:val="2C11611D"/>
    <w:rsid w:val="2C210F74"/>
    <w:rsid w:val="2C245E51"/>
    <w:rsid w:val="2C3116AB"/>
    <w:rsid w:val="2C3F2C8B"/>
    <w:rsid w:val="2C602C01"/>
    <w:rsid w:val="2C620DE5"/>
    <w:rsid w:val="2C697D08"/>
    <w:rsid w:val="2C6E5E3A"/>
    <w:rsid w:val="2C840FE5"/>
    <w:rsid w:val="2C8C39F6"/>
    <w:rsid w:val="2C974875"/>
    <w:rsid w:val="2C9A6113"/>
    <w:rsid w:val="2CBA5C99"/>
    <w:rsid w:val="2CD51841"/>
    <w:rsid w:val="2CF77EA3"/>
    <w:rsid w:val="2CFC6DCE"/>
    <w:rsid w:val="2D151C3D"/>
    <w:rsid w:val="2D26209C"/>
    <w:rsid w:val="2D32459D"/>
    <w:rsid w:val="2D406CBA"/>
    <w:rsid w:val="2D4300C9"/>
    <w:rsid w:val="2D430559"/>
    <w:rsid w:val="2D4C45A1"/>
    <w:rsid w:val="2D510EC7"/>
    <w:rsid w:val="2D6433CA"/>
    <w:rsid w:val="2D662499"/>
    <w:rsid w:val="2D666C9C"/>
    <w:rsid w:val="2D67693D"/>
    <w:rsid w:val="2D894D72"/>
    <w:rsid w:val="2DA47015"/>
    <w:rsid w:val="2DAD00C8"/>
    <w:rsid w:val="2DC44A4F"/>
    <w:rsid w:val="2DC55411"/>
    <w:rsid w:val="2DD12008"/>
    <w:rsid w:val="2DE67529"/>
    <w:rsid w:val="2E083F3B"/>
    <w:rsid w:val="2E0B376C"/>
    <w:rsid w:val="2E3507E9"/>
    <w:rsid w:val="2E5077D3"/>
    <w:rsid w:val="2E6A3E61"/>
    <w:rsid w:val="2E876B6B"/>
    <w:rsid w:val="2E954DE4"/>
    <w:rsid w:val="2E9C0E80"/>
    <w:rsid w:val="2EAD053B"/>
    <w:rsid w:val="2EBD258D"/>
    <w:rsid w:val="2EC03CB2"/>
    <w:rsid w:val="2EC67693"/>
    <w:rsid w:val="2EC8145A"/>
    <w:rsid w:val="2ED0766D"/>
    <w:rsid w:val="2EDD678B"/>
    <w:rsid w:val="2EF20132"/>
    <w:rsid w:val="2EF52C24"/>
    <w:rsid w:val="2F065870"/>
    <w:rsid w:val="2F166361"/>
    <w:rsid w:val="2F1869DF"/>
    <w:rsid w:val="2F2A2D4D"/>
    <w:rsid w:val="2F4A6121"/>
    <w:rsid w:val="2F6E759F"/>
    <w:rsid w:val="2F7D6EF5"/>
    <w:rsid w:val="2FA95B86"/>
    <w:rsid w:val="2FB83480"/>
    <w:rsid w:val="2FBF1DF3"/>
    <w:rsid w:val="2FC040E2"/>
    <w:rsid w:val="2FE54285"/>
    <w:rsid w:val="2FF80E15"/>
    <w:rsid w:val="2FFD79D3"/>
    <w:rsid w:val="300852DE"/>
    <w:rsid w:val="30087837"/>
    <w:rsid w:val="30182170"/>
    <w:rsid w:val="301B756B"/>
    <w:rsid w:val="302145DD"/>
    <w:rsid w:val="3025488D"/>
    <w:rsid w:val="3034687E"/>
    <w:rsid w:val="30523594"/>
    <w:rsid w:val="30546461"/>
    <w:rsid w:val="30752832"/>
    <w:rsid w:val="309C4B4F"/>
    <w:rsid w:val="30A734F4"/>
    <w:rsid w:val="30A9726C"/>
    <w:rsid w:val="30D51E0F"/>
    <w:rsid w:val="30DA7426"/>
    <w:rsid w:val="30DC13F0"/>
    <w:rsid w:val="30E738F1"/>
    <w:rsid w:val="30F8356E"/>
    <w:rsid w:val="30F85AFE"/>
    <w:rsid w:val="310D15A9"/>
    <w:rsid w:val="312C3DE1"/>
    <w:rsid w:val="313E3D90"/>
    <w:rsid w:val="314F3970"/>
    <w:rsid w:val="316C5EBB"/>
    <w:rsid w:val="318C4058"/>
    <w:rsid w:val="318C4BC4"/>
    <w:rsid w:val="31934EA0"/>
    <w:rsid w:val="31A87524"/>
    <w:rsid w:val="31AF28A2"/>
    <w:rsid w:val="31B639EF"/>
    <w:rsid w:val="31CC37A9"/>
    <w:rsid w:val="31D9592F"/>
    <w:rsid w:val="31E645B2"/>
    <w:rsid w:val="31EF083B"/>
    <w:rsid w:val="31F12C79"/>
    <w:rsid w:val="31F134B7"/>
    <w:rsid w:val="31F62138"/>
    <w:rsid w:val="32244DFC"/>
    <w:rsid w:val="322667B5"/>
    <w:rsid w:val="32315FC2"/>
    <w:rsid w:val="323C20D9"/>
    <w:rsid w:val="32494863"/>
    <w:rsid w:val="328303DD"/>
    <w:rsid w:val="328D3DC1"/>
    <w:rsid w:val="32C0264B"/>
    <w:rsid w:val="32E620B2"/>
    <w:rsid w:val="32EB3B6C"/>
    <w:rsid w:val="32EE0F67"/>
    <w:rsid w:val="32FD11AA"/>
    <w:rsid w:val="33024A12"/>
    <w:rsid w:val="33042511"/>
    <w:rsid w:val="33136C1F"/>
    <w:rsid w:val="331E015B"/>
    <w:rsid w:val="331E14BA"/>
    <w:rsid w:val="333746BC"/>
    <w:rsid w:val="33770F5C"/>
    <w:rsid w:val="33823753"/>
    <w:rsid w:val="338B2C59"/>
    <w:rsid w:val="33A65CE5"/>
    <w:rsid w:val="33AA05E8"/>
    <w:rsid w:val="33B169AF"/>
    <w:rsid w:val="33FB393B"/>
    <w:rsid w:val="34131B96"/>
    <w:rsid w:val="341B4D8B"/>
    <w:rsid w:val="3431795E"/>
    <w:rsid w:val="343D55E2"/>
    <w:rsid w:val="34452E08"/>
    <w:rsid w:val="34552B86"/>
    <w:rsid w:val="34627E5E"/>
    <w:rsid w:val="34980AC4"/>
    <w:rsid w:val="349D0E96"/>
    <w:rsid w:val="34E21963"/>
    <w:rsid w:val="34E50CCC"/>
    <w:rsid w:val="34F14D3E"/>
    <w:rsid w:val="34F62354"/>
    <w:rsid w:val="352D221A"/>
    <w:rsid w:val="35387D63"/>
    <w:rsid w:val="353A4937"/>
    <w:rsid w:val="353E1EDA"/>
    <w:rsid w:val="354D6418"/>
    <w:rsid w:val="358931C8"/>
    <w:rsid w:val="35A952DD"/>
    <w:rsid w:val="35BA7826"/>
    <w:rsid w:val="35C10BB4"/>
    <w:rsid w:val="35F5260C"/>
    <w:rsid w:val="35F70776"/>
    <w:rsid w:val="36070A15"/>
    <w:rsid w:val="362829E1"/>
    <w:rsid w:val="36405F7D"/>
    <w:rsid w:val="36427103"/>
    <w:rsid w:val="36454420"/>
    <w:rsid w:val="36633A19"/>
    <w:rsid w:val="367232C8"/>
    <w:rsid w:val="367664B1"/>
    <w:rsid w:val="367D1DCA"/>
    <w:rsid w:val="36A04C6E"/>
    <w:rsid w:val="36B9731B"/>
    <w:rsid w:val="36E508D2"/>
    <w:rsid w:val="36FF1994"/>
    <w:rsid w:val="371B152F"/>
    <w:rsid w:val="37384EA6"/>
    <w:rsid w:val="37427AD3"/>
    <w:rsid w:val="37643EED"/>
    <w:rsid w:val="376E6490"/>
    <w:rsid w:val="37904CE2"/>
    <w:rsid w:val="37A23B2A"/>
    <w:rsid w:val="37A7550F"/>
    <w:rsid w:val="37A83712"/>
    <w:rsid w:val="37B24AB3"/>
    <w:rsid w:val="37C130EE"/>
    <w:rsid w:val="37C640CA"/>
    <w:rsid w:val="37C8622A"/>
    <w:rsid w:val="37E42938"/>
    <w:rsid w:val="3809239F"/>
    <w:rsid w:val="38156F95"/>
    <w:rsid w:val="3826007B"/>
    <w:rsid w:val="38510CC6"/>
    <w:rsid w:val="389D18F0"/>
    <w:rsid w:val="38AC5B4C"/>
    <w:rsid w:val="38AD56EA"/>
    <w:rsid w:val="38BD38B5"/>
    <w:rsid w:val="38BE13DB"/>
    <w:rsid w:val="38CD7870"/>
    <w:rsid w:val="38E30E42"/>
    <w:rsid w:val="38F11583"/>
    <w:rsid w:val="38F20621"/>
    <w:rsid w:val="3911775D"/>
    <w:rsid w:val="391B682D"/>
    <w:rsid w:val="3932071F"/>
    <w:rsid w:val="39553AED"/>
    <w:rsid w:val="39A44A75"/>
    <w:rsid w:val="39A65FDC"/>
    <w:rsid w:val="39AE31FE"/>
    <w:rsid w:val="39B464B4"/>
    <w:rsid w:val="39BF2767"/>
    <w:rsid w:val="39CD3FCC"/>
    <w:rsid w:val="39CE564E"/>
    <w:rsid w:val="39D569DC"/>
    <w:rsid w:val="39E5694E"/>
    <w:rsid w:val="39E8099F"/>
    <w:rsid w:val="39E97BF2"/>
    <w:rsid w:val="39EB6200"/>
    <w:rsid w:val="39EC027C"/>
    <w:rsid w:val="39F448CD"/>
    <w:rsid w:val="3A1219DE"/>
    <w:rsid w:val="3A331955"/>
    <w:rsid w:val="3A4D0C68"/>
    <w:rsid w:val="3A5B6136"/>
    <w:rsid w:val="3A5C0EAC"/>
    <w:rsid w:val="3A690BB6"/>
    <w:rsid w:val="3A7A7584"/>
    <w:rsid w:val="3A850B77"/>
    <w:rsid w:val="3A887EF3"/>
    <w:rsid w:val="3AA20FB4"/>
    <w:rsid w:val="3AAA009C"/>
    <w:rsid w:val="3AD26631"/>
    <w:rsid w:val="3ADC2E01"/>
    <w:rsid w:val="3AEA295B"/>
    <w:rsid w:val="3AFC23EB"/>
    <w:rsid w:val="3B0E03F8"/>
    <w:rsid w:val="3B4200A1"/>
    <w:rsid w:val="3B4A51A8"/>
    <w:rsid w:val="3B4E4C98"/>
    <w:rsid w:val="3B7F12F6"/>
    <w:rsid w:val="3B800BCA"/>
    <w:rsid w:val="3B8333D5"/>
    <w:rsid w:val="3B8E7126"/>
    <w:rsid w:val="3B9D5C20"/>
    <w:rsid w:val="3BAB53BC"/>
    <w:rsid w:val="3BB15227"/>
    <w:rsid w:val="3BC136BC"/>
    <w:rsid w:val="3BC90B0B"/>
    <w:rsid w:val="3BDC22A4"/>
    <w:rsid w:val="3C261771"/>
    <w:rsid w:val="3C384E8C"/>
    <w:rsid w:val="3C3C2D43"/>
    <w:rsid w:val="3C636171"/>
    <w:rsid w:val="3C6D114E"/>
    <w:rsid w:val="3C770627"/>
    <w:rsid w:val="3C7A6130"/>
    <w:rsid w:val="3C917532"/>
    <w:rsid w:val="3CA863A8"/>
    <w:rsid w:val="3CB11983"/>
    <w:rsid w:val="3CD8017B"/>
    <w:rsid w:val="3CD90F2C"/>
    <w:rsid w:val="3CDE71C1"/>
    <w:rsid w:val="3CEB3FEF"/>
    <w:rsid w:val="3D08637F"/>
    <w:rsid w:val="3D0C6BB9"/>
    <w:rsid w:val="3D17730C"/>
    <w:rsid w:val="3D22018A"/>
    <w:rsid w:val="3D3805DF"/>
    <w:rsid w:val="3D3E0D3C"/>
    <w:rsid w:val="3D453E79"/>
    <w:rsid w:val="3D49647F"/>
    <w:rsid w:val="3D5A5871"/>
    <w:rsid w:val="3D5D11C3"/>
    <w:rsid w:val="3D6C7658"/>
    <w:rsid w:val="3D70539A"/>
    <w:rsid w:val="3D7E19AB"/>
    <w:rsid w:val="3D8F1598"/>
    <w:rsid w:val="3DAB4624"/>
    <w:rsid w:val="3DB66B25"/>
    <w:rsid w:val="3DC456E6"/>
    <w:rsid w:val="3DDB658B"/>
    <w:rsid w:val="3E0E4BB3"/>
    <w:rsid w:val="3E104487"/>
    <w:rsid w:val="3E2241BA"/>
    <w:rsid w:val="3E3D0FF4"/>
    <w:rsid w:val="3E483C21"/>
    <w:rsid w:val="3E5D51F2"/>
    <w:rsid w:val="3E7C7D6E"/>
    <w:rsid w:val="3E945C80"/>
    <w:rsid w:val="3EA90437"/>
    <w:rsid w:val="3EAB41B0"/>
    <w:rsid w:val="3EC82FB3"/>
    <w:rsid w:val="3EDC25BB"/>
    <w:rsid w:val="3EE651E8"/>
    <w:rsid w:val="3EF045C7"/>
    <w:rsid w:val="3EFB6EE5"/>
    <w:rsid w:val="3F033FEC"/>
    <w:rsid w:val="3F147857"/>
    <w:rsid w:val="3F2006FA"/>
    <w:rsid w:val="3F3044D0"/>
    <w:rsid w:val="3F395C5F"/>
    <w:rsid w:val="3F424B14"/>
    <w:rsid w:val="3F67457A"/>
    <w:rsid w:val="3F696545"/>
    <w:rsid w:val="3F6E5909"/>
    <w:rsid w:val="3F731171"/>
    <w:rsid w:val="3FA702E8"/>
    <w:rsid w:val="3FB377C0"/>
    <w:rsid w:val="3FBD063E"/>
    <w:rsid w:val="3FC512A1"/>
    <w:rsid w:val="3FC714BD"/>
    <w:rsid w:val="3FCB2D5B"/>
    <w:rsid w:val="3FDA34B1"/>
    <w:rsid w:val="3FDB2873"/>
    <w:rsid w:val="3FE931E1"/>
    <w:rsid w:val="3FF12096"/>
    <w:rsid w:val="40363F4D"/>
    <w:rsid w:val="40381A73"/>
    <w:rsid w:val="405C39B3"/>
    <w:rsid w:val="40662A84"/>
    <w:rsid w:val="40840E64"/>
    <w:rsid w:val="4084115C"/>
    <w:rsid w:val="408C3438"/>
    <w:rsid w:val="40923879"/>
    <w:rsid w:val="409F5F96"/>
    <w:rsid w:val="40A60C6A"/>
    <w:rsid w:val="40A62E81"/>
    <w:rsid w:val="40C81C57"/>
    <w:rsid w:val="40D20119"/>
    <w:rsid w:val="40DC4AF4"/>
    <w:rsid w:val="410A340F"/>
    <w:rsid w:val="410E7DF5"/>
    <w:rsid w:val="414A7CB0"/>
    <w:rsid w:val="414C1C7A"/>
    <w:rsid w:val="4154318A"/>
    <w:rsid w:val="41641184"/>
    <w:rsid w:val="41696778"/>
    <w:rsid w:val="416F5968"/>
    <w:rsid w:val="417B255F"/>
    <w:rsid w:val="419B050B"/>
    <w:rsid w:val="41AD09C3"/>
    <w:rsid w:val="41BC6021"/>
    <w:rsid w:val="41C05228"/>
    <w:rsid w:val="41CA04D7"/>
    <w:rsid w:val="41D43A1D"/>
    <w:rsid w:val="41DD28D2"/>
    <w:rsid w:val="42051E29"/>
    <w:rsid w:val="420662CD"/>
    <w:rsid w:val="4207456D"/>
    <w:rsid w:val="421502BE"/>
    <w:rsid w:val="425154F8"/>
    <w:rsid w:val="42644DA1"/>
    <w:rsid w:val="427B01C1"/>
    <w:rsid w:val="429A07C3"/>
    <w:rsid w:val="42A7230A"/>
    <w:rsid w:val="42ED2FE9"/>
    <w:rsid w:val="43000F6E"/>
    <w:rsid w:val="43030A5E"/>
    <w:rsid w:val="430F7403"/>
    <w:rsid w:val="431D422F"/>
    <w:rsid w:val="43346222"/>
    <w:rsid w:val="435F0AA0"/>
    <w:rsid w:val="437A5885"/>
    <w:rsid w:val="4389029A"/>
    <w:rsid w:val="439E6277"/>
    <w:rsid w:val="43B600AD"/>
    <w:rsid w:val="43E371ED"/>
    <w:rsid w:val="43EA7528"/>
    <w:rsid w:val="43F108B7"/>
    <w:rsid w:val="43FE4C25"/>
    <w:rsid w:val="43FF3BFE"/>
    <w:rsid w:val="441E4D86"/>
    <w:rsid w:val="4436451B"/>
    <w:rsid w:val="445B0426"/>
    <w:rsid w:val="446F063A"/>
    <w:rsid w:val="4484797D"/>
    <w:rsid w:val="44986059"/>
    <w:rsid w:val="44A818BD"/>
    <w:rsid w:val="44BA35B1"/>
    <w:rsid w:val="44CF19E1"/>
    <w:rsid w:val="44D0720B"/>
    <w:rsid w:val="44D07D4A"/>
    <w:rsid w:val="44D53D34"/>
    <w:rsid w:val="44D825E2"/>
    <w:rsid w:val="45442C68"/>
    <w:rsid w:val="454676EB"/>
    <w:rsid w:val="45487509"/>
    <w:rsid w:val="45541CEF"/>
    <w:rsid w:val="455753BC"/>
    <w:rsid w:val="45595DE5"/>
    <w:rsid w:val="456B4699"/>
    <w:rsid w:val="458F482B"/>
    <w:rsid w:val="45BB117C"/>
    <w:rsid w:val="45C06792"/>
    <w:rsid w:val="45F0690E"/>
    <w:rsid w:val="45F610F0"/>
    <w:rsid w:val="45FB3C6E"/>
    <w:rsid w:val="460366D7"/>
    <w:rsid w:val="4609638B"/>
    <w:rsid w:val="460C3316"/>
    <w:rsid w:val="461539E6"/>
    <w:rsid w:val="46280371"/>
    <w:rsid w:val="46325C58"/>
    <w:rsid w:val="463827CD"/>
    <w:rsid w:val="46431250"/>
    <w:rsid w:val="46530576"/>
    <w:rsid w:val="46582E6F"/>
    <w:rsid w:val="465D33BE"/>
    <w:rsid w:val="465D3D30"/>
    <w:rsid w:val="46647A66"/>
    <w:rsid w:val="466F7021"/>
    <w:rsid w:val="46776B76"/>
    <w:rsid w:val="46916381"/>
    <w:rsid w:val="46945A20"/>
    <w:rsid w:val="469D0869"/>
    <w:rsid w:val="46A3401E"/>
    <w:rsid w:val="46CC1167"/>
    <w:rsid w:val="46D85D5E"/>
    <w:rsid w:val="46FB137F"/>
    <w:rsid w:val="46FC37FA"/>
    <w:rsid w:val="471C718B"/>
    <w:rsid w:val="4738351D"/>
    <w:rsid w:val="475950F1"/>
    <w:rsid w:val="476D46F8"/>
    <w:rsid w:val="477261B2"/>
    <w:rsid w:val="477C3E4E"/>
    <w:rsid w:val="477E6905"/>
    <w:rsid w:val="47C65144"/>
    <w:rsid w:val="47D97FDF"/>
    <w:rsid w:val="47E32FBE"/>
    <w:rsid w:val="47E50732"/>
    <w:rsid w:val="48054198"/>
    <w:rsid w:val="481E3C44"/>
    <w:rsid w:val="482E1FB6"/>
    <w:rsid w:val="48380768"/>
    <w:rsid w:val="4840005F"/>
    <w:rsid w:val="484A4A39"/>
    <w:rsid w:val="484E277B"/>
    <w:rsid w:val="485E04E5"/>
    <w:rsid w:val="48735D3E"/>
    <w:rsid w:val="488C6E00"/>
    <w:rsid w:val="488F12B1"/>
    <w:rsid w:val="48F331AB"/>
    <w:rsid w:val="48F75EC4"/>
    <w:rsid w:val="48FF3A76"/>
    <w:rsid w:val="49227764"/>
    <w:rsid w:val="493C2BF3"/>
    <w:rsid w:val="4941408E"/>
    <w:rsid w:val="49431BB4"/>
    <w:rsid w:val="49601FEE"/>
    <w:rsid w:val="49853754"/>
    <w:rsid w:val="49BA799D"/>
    <w:rsid w:val="4A0D21C2"/>
    <w:rsid w:val="4A104F60"/>
    <w:rsid w:val="4A1134A2"/>
    <w:rsid w:val="4A2B43F6"/>
    <w:rsid w:val="4A4E23DD"/>
    <w:rsid w:val="4A5A3216"/>
    <w:rsid w:val="4A713F14"/>
    <w:rsid w:val="4A732ADF"/>
    <w:rsid w:val="4A7D4C52"/>
    <w:rsid w:val="4A963F66"/>
    <w:rsid w:val="4A96711A"/>
    <w:rsid w:val="4AB4049F"/>
    <w:rsid w:val="4AB80380"/>
    <w:rsid w:val="4AC81B75"/>
    <w:rsid w:val="4B0215FB"/>
    <w:rsid w:val="4B1A06F3"/>
    <w:rsid w:val="4B3B1EDD"/>
    <w:rsid w:val="4B5E6CDC"/>
    <w:rsid w:val="4B7A3887"/>
    <w:rsid w:val="4B7E5126"/>
    <w:rsid w:val="4B895879"/>
    <w:rsid w:val="4B8B339F"/>
    <w:rsid w:val="4B951B65"/>
    <w:rsid w:val="4BA570B3"/>
    <w:rsid w:val="4BAA66CF"/>
    <w:rsid w:val="4BB17956"/>
    <w:rsid w:val="4BC2462A"/>
    <w:rsid w:val="4BD05255"/>
    <w:rsid w:val="4BE807F1"/>
    <w:rsid w:val="4BFE5D6A"/>
    <w:rsid w:val="4C147916"/>
    <w:rsid w:val="4C3D6555"/>
    <w:rsid w:val="4C673E0C"/>
    <w:rsid w:val="4C6B2B37"/>
    <w:rsid w:val="4C6C1422"/>
    <w:rsid w:val="4CAF7561"/>
    <w:rsid w:val="4CE94821"/>
    <w:rsid w:val="4CEC4311"/>
    <w:rsid w:val="4CF308FD"/>
    <w:rsid w:val="4D0F4DC5"/>
    <w:rsid w:val="4D1F0243"/>
    <w:rsid w:val="4D562F06"/>
    <w:rsid w:val="4D6E4D26"/>
    <w:rsid w:val="4D901140"/>
    <w:rsid w:val="4D926C66"/>
    <w:rsid w:val="4DAB5F7A"/>
    <w:rsid w:val="4DB017E2"/>
    <w:rsid w:val="4DB01DC4"/>
    <w:rsid w:val="4DB4353A"/>
    <w:rsid w:val="4DC4528E"/>
    <w:rsid w:val="4DC863E5"/>
    <w:rsid w:val="4DCA5A51"/>
    <w:rsid w:val="4DE05CFA"/>
    <w:rsid w:val="4DE12E81"/>
    <w:rsid w:val="4E3621D3"/>
    <w:rsid w:val="4E7D7917"/>
    <w:rsid w:val="4EAC3D58"/>
    <w:rsid w:val="4EB61898"/>
    <w:rsid w:val="4EC015B1"/>
    <w:rsid w:val="4ECC43FA"/>
    <w:rsid w:val="4ED16A53"/>
    <w:rsid w:val="4EEB16E6"/>
    <w:rsid w:val="4EF43951"/>
    <w:rsid w:val="4F0B3174"/>
    <w:rsid w:val="4F2D7040"/>
    <w:rsid w:val="4F45117A"/>
    <w:rsid w:val="4F4626F3"/>
    <w:rsid w:val="4F4915A7"/>
    <w:rsid w:val="4F5D32A4"/>
    <w:rsid w:val="4F701229"/>
    <w:rsid w:val="4F727FD6"/>
    <w:rsid w:val="4F797EA5"/>
    <w:rsid w:val="4F824AB9"/>
    <w:rsid w:val="4F840831"/>
    <w:rsid w:val="4F876573"/>
    <w:rsid w:val="4FA26F09"/>
    <w:rsid w:val="4FAE58AE"/>
    <w:rsid w:val="4FB71297"/>
    <w:rsid w:val="4FD5108C"/>
    <w:rsid w:val="4FE92CD6"/>
    <w:rsid w:val="4FF613E8"/>
    <w:rsid w:val="50221C17"/>
    <w:rsid w:val="502C5EFA"/>
    <w:rsid w:val="502D0274"/>
    <w:rsid w:val="50354E77"/>
    <w:rsid w:val="50416722"/>
    <w:rsid w:val="50540ABA"/>
    <w:rsid w:val="50574197"/>
    <w:rsid w:val="506153AC"/>
    <w:rsid w:val="507620AE"/>
    <w:rsid w:val="507E34D2"/>
    <w:rsid w:val="5099655E"/>
    <w:rsid w:val="50A224C3"/>
    <w:rsid w:val="50E023DF"/>
    <w:rsid w:val="50E35A2B"/>
    <w:rsid w:val="50EE4AFC"/>
    <w:rsid w:val="50F1639A"/>
    <w:rsid w:val="51226553"/>
    <w:rsid w:val="51257DF2"/>
    <w:rsid w:val="51271DBC"/>
    <w:rsid w:val="513F7105"/>
    <w:rsid w:val="51477D68"/>
    <w:rsid w:val="514A5AAA"/>
    <w:rsid w:val="514C35D0"/>
    <w:rsid w:val="515801C7"/>
    <w:rsid w:val="51593B8D"/>
    <w:rsid w:val="516140B5"/>
    <w:rsid w:val="51644DBE"/>
    <w:rsid w:val="518C7E71"/>
    <w:rsid w:val="518F39BC"/>
    <w:rsid w:val="51B32158"/>
    <w:rsid w:val="51C969CF"/>
    <w:rsid w:val="51FA74D0"/>
    <w:rsid w:val="51FF6894"/>
    <w:rsid w:val="5200269E"/>
    <w:rsid w:val="5200380D"/>
    <w:rsid w:val="523227C6"/>
    <w:rsid w:val="523302EC"/>
    <w:rsid w:val="52374280"/>
    <w:rsid w:val="524D7600"/>
    <w:rsid w:val="527C3337"/>
    <w:rsid w:val="527E1EAF"/>
    <w:rsid w:val="52AF2069"/>
    <w:rsid w:val="52B7716F"/>
    <w:rsid w:val="52C673B2"/>
    <w:rsid w:val="52E4399A"/>
    <w:rsid w:val="531445C2"/>
    <w:rsid w:val="531935A4"/>
    <w:rsid w:val="534356DB"/>
    <w:rsid w:val="534E1882"/>
    <w:rsid w:val="536524C3"/>
    <w:rsid w:val="536A36BC"/>
    <w:rsid w:val="536D1F1D"/>
    <w:rsid w:val="537312E8"/>
    <w:rsid w:val="538277A4"/>
    <w:rsid w:val="539F0FE3"/>
    <w:rsid w:val="53A019B1"/>
    <w:rsid w:val="53C27B7A"/>
    <w:rsid w:val="53C51035"/>
    <w:rsid w:val="53C82FD4"/>
    <w:rsid w:val="53C9715A"/>
    <w:rsid w:val="53CF4A5C"/>
    <w:rsid w:val="53D041D1"/>
    <w:rsid w:val="53D224B3"/>
    <w:rsid w:val="53FB4CCB"/>
    <w:rsid w:val="54014B46"/>
    <w:rsid w:val="540262EE"/>
    <w:rsid w:val="54244390"/>
    <w:rsid w:val="543D5452"/>
    <w:rsid w:val="546450D5"/>
    <w:rsid w:val="54684BC5"/>
    <w:rsid w:val="54877D10"/>
    <w:rsid w:val="549239F0"/>
    <w:rsid w:val="54A84FC1"/>
    <w:rsid w:val="54B0031A"/>
    <w:rsid w:val="54B020C8"/>
    <w:rsid w:val="54B576DE"/>
    <w:rsid w:val="54CE63EB"/>
    <w:rsid w:val="55024449"/>
    <w:rsid w:val="55085BEA"/>
    <w:rsid w:val="55172147"/>
    <w:rsid w:val="552E7171"/>
    <w:rsid w:val="55410BF9"/>
    <w:rsid w:val="554271C4"/>
    <w:rsid w:val="55794BB0"/>
    <w:rsid w:val="557E3F74"/>
    <w:rsid w:val="5594498E"/>
    <w:rsid w:val="5596306C"/>
    <w:rsid w:val="559D264C"/>
    <w:rsid w:val="55A57753"/>
    <w:rsid w:val="55A84294"/>
    <w:rsid w:val="55AC288F"/>
    <w:rsid w:val="55AC40A5"/>
    <w:rsid w:val="55AD03B6"/>
    <w:rsid w:val="55BF6A67"/>
    <w:rsid w:val="55DA6596"/>
    <w:rsid w:val="560C77D2"/>
    <w:rsid w:val="560F537A"/>
    <w:rsid w:val="5613290E"/>
    <w:rsid w:val="561A0C93"/>
    <w:rsid w:val="563E0A4D"/>
    <w:rsid w:val="564C5E20"/>
    <w:rsid w:val="565D4368"/>
    <w:rsid w:val="56603960"/>
    <w:rsid w:val="56625644"/>
    <w:rsid w:val="5663313A"/>
    <w:rsid w:val="56690780"/>
    <w:rsid w:val="566B274A"/>
    <w:rsid w:val="566D0271"/>
    <w:rsid w:val="567A298E"/>
    <w:rsid w:val="56923145"/>
    <w:rsid w:val="56992E7A"/>
    <w:rsid w:val="56A0017C"/>
    <w:rsid w:val="56A1616C"/>
    <w:rsid w:val="56BC4D54"/>
    <w:rsid w:val="56C3571A"/>
    <w:rsid w:val="56D77DE0"/>
    <w:rsid w:val="56DB5BC3"/>
    <w:rsid w:val="56DE3891"/>
    <w:rsid w:val="56F72230"/>
    <w:rsid w:val="56FA5260"/>
    <w:rsid w:val="572823EA"/>
    <w:rsid w:val="574C257C"/>
    <w:rsid w:val="5755438D"/>
    <w:rsid w:val="578F4217"/>
    <w:rsid w:val="578F4443"/>
    <w:rsid w:val="57925AB5"/>
    <w:rsid w:val="57AD70E7"/>
    <w:rsid w:val="57B8364E"/>
    <w:rsid w:val="57BB325E"/>
    <w:rsid w:val="57C95893"/>
    <w:rsid w:val="581D1822"/>
    <w:rsid w:val="58204D13"/>
    <w:rsid w:val="582E3A30"/>
    <w:rsid w:val="58304C51"/>
    <w:rsid w:val="5835523D"/>
    <w:rsid w:val="587177C3"/>
    <w:rsid w:val="588405A5"/>
    <w:rsid w:val="58977827"/>
    <w:rsid w:val="5898534D"/>
    <w:rsid w:val="589C4E3D"/>
    <w:rsid w:val="58E93DFA"/>
    <w:rsid w:val="58EE095B"/>
    <w:rsid w:val="58F44C79"/>
    <w:rsid w:val="59080725"/>
    <w:rsid w:val="59123DF1"/>
    <w:rsid w:val="591B2F0C"/>
    <w:rsid w:val="59352B9C"/>
    <w:rsid w:val="594828CF"/>
    <w:rsid w:val="594A7F41"/>
    <w:rsid w:val="596811C3"/>
    <w:rsid w:val="59786F11"/>
    <w:rsid w:val="597B2035"/>
    <w:rsid w:val="598B2F92"/>
    <w:rsid w:val="598F25C7"/>
    <w:rsid w:val="59937540"/>
    <w:rsid w:val="59A039F6"/>
    <w:rsid w:val="59AA336E"/>
    <w:rsid w:val="59B63CDD"/>
    <w:rsid w:val="59E60C99"/>
    <w:rsid w:val="59E940B2"/>
    <w:rsid w:val="59F45AD3"/>
    <w:rsid w:val="59F760A3"/>
    <w:rsid w:val="5A00764E"/>
    <w:rsid w:val="5A5534F6"/>
    <w:rsid w:val="5A637F6F"/>
    <w:rsid w:val="5A70032F"/>
    <w:rsid w:val="5A7A29E2"/>
    <w:rsid w:val="5A8032D6"/>
    <w:rsid w:val="5AAC6D3A"/>
    <w:rsid w:val="5AB83A84"/>
    <w:rsid w:val="5ABD72ED"/>
    <w:rsid w:val="5AC52566"/>
    <w:rsid w:val="5AC95C92"/>
    <w:rsid w:val="5AF076C2"/>
    <w:rsid w:val="5AFC1BC3"/>
    <w:rsid w:val="5B054D61"/>
    <w:rsid w:val="5B055025"/>
    <w:rsid w:val="5B3F5F54"/>
    <w:rsid w:val="5B423A25"/>
    <w:rsid w:val="5B6D486F"/>
    <w:rsid w:val="5B9D0DC3"/>
    <w:rsid w:val="5BCD7046"/>
    <w:rsid w:val="5BD14DFE"/>
    <w:rsid w:val="5BD34629"/>
    <w:rsid w:val="5BD743DE"/>
    <w:rsid w:val="5BF44F90"/>
    <w:rsid w:val="5C121CA4"/>
    <w:rsid w:val="5C1271C4"/>
    <w:rsid w:val="5C225887"/>
    <w:rsid w:val="5C5477DD"/>
    <w:rsid w:val="5C5A1297"/>
    <w:rsid w:val="5C602626"/>
    <w:rsid w:val="5C6519EA"/>
    <w:rsid w:val="5C9108EC"/>
    <w:rsid w:val="5C91380B"/>
    <w:rsid w:val="5C9936CF"/>
    <w:rsid w:val="5CAB2299"/>
    <w:rsid w:val="5CAB38A1"/>
    <w:rsid w:val="5CB90D1A"/>
    <w:rsid w:val="5CCC7122"/>
    <w:rsid w:val="5CE62A27"/>
    <w:rsid w:val="5CEE456C"/>
    <w:rsid w:val="5CF42D8C"/>
    <w:rsid w:val="5D030861"/>
    <w:rsid w:val="5D3F223B"/>
    <w:rsid w:val="5D5C7A80"/>
    <w:rsid w:val="5D6D0B56"/>
    <w:rsid w:val="5D6D0F8A"/>
    <w:rsid w:val="5D773862"/>
    <w:rsid w:val="5D7E7207"/>
    <w:rsid w:val="5D8A5BAC"/>
    <w:rsid w:val="5DD93AB7"/>
    <w:rsid w:val="5DEF78BB"/>
    <w:rsid w:val="5E40706E"/>
    <w:rsid w:val="5E585EAB"/>
    <w:rsid w:val="5E95668D"/>
    <w:rsid w:val="5EA53721"/>
    <w:rsid w:val="5EC40406"/>
    <w:rsid w:val="5ECC4F05"/>
    <w:rsid w:val="5ED03A93"/>
    <w:rsid w:val="5EF84D97"/>
    <w:rsid w:val="5F0059FA"/>
    <w:rsid w:val="5F074FDA"/>
    <w:rsid w:val="5F0E6369"/>
    <w:rsid w:val="5F182D44"/>
    <w:rsid w:val="5F1E13B7"/>
    <w:rsid w:val="5F35264F"/>
    <w:rsid w:val="5F3959B0"/>
    <w:rsid w:val="5F396F19"/>
    <w:rsid w:val="5F41673E"/>
    <w:rsid w:val="5F887EC9"/>
    <w:rsid w:val="5F926F9A"/>
    <w:rsid w:val="5F943190"/>
    <w:rsid w:val="5F9E149B"/>
    <w:rsid w:val="5FAA5F75"/>
    <w:rsid w:val="5FCA6734"/>
    <w:rsid w:val="5FE377F5"/>
    <w:rsid w:val="5FFA2BA8"/>
    <w:rsid w:val="600D6620"/>
    <w:rsid w:val="600E3D76"/>
    <w:rsid w:val="602816AC"/>
    <w:rsid w:val="602F51D0"/>
    <w:rsid w:val="6042451C"/>
    <w:rsid w:val="604364E6"/>
    <w:rsid w:val="604C0766"/>
    <w:rsid w:val="605424A1"/>
    <w:rsid w:val="605E50CE"/>
    <w:rsid w:val="605F4B24"/>
    <w:rsid w:val="60A07D32"/>
    <w:rsid w:val="60A26D69"/>
    <w:rsid w:val="60A46FF9"/>
    <w:rsid w:val="60AF592A"/>
    <w:rsid w:val="60B151FE"/>
    <w:rsid w:val="60B349C5"/>
    <w:rsid w:val="60C2565D"/>
    <w:rsid w:val="60C51A2C"/>
    <w:rsid w:val="60DB04CD"/>
    <w:rsid w:val="60FF240D"/>
    <w:rsid w:val="61047A23"/>
    <w:rsid w:val="61077826"/>
    <w:rsid w:val="610E79A4"/>
    <w:rsid w:val="610E7EA6"/>
    <w:rsid w:val="61135EB8"/>
    <w:rsid w:val="613751C4"/>
    <w:rsid w:val="61532759"/>
    <w:rsid w:val="6155027F"/>
    <w:rsid w:val="61785D1C"/>
    <w:rsid w:val="618446C0"/>
    <w:rsid w:val="618D5C6B"/>
    <w:rsid w:val="61B01959"/>
    <w:rsid w:val="61D337A1"/>
    <w:rsid w:val="61E33F36"/>
    <w:rsid w:val="61F41DA5"/>
    <w:rsid w:val="61F45CEA"/>
    <w:rsid w:val="620A72BB"/>
    <w:rsid w:val="621F43E9"/>
    <w:rsid w:val="623B7475"/>
    <w:rsid w:val="623F0D34"/>
    <w:rsid w:val="62487DE4"/>
    <w:rsid w:val="625C5463"/>
    <w:rsid w:val="626F1110"/>
    <w:rsid w:val="627604AD"/>
    <w:rsid w:val="627B1F67"/>
    <w:rsid w:val="62961CE2"/>
    <w:rsid w:val="62A468BF"/>
    <w:rsid w:val="62A56FE4"/>
    <w:rsid w:val="62A866D0"/>
    <w:rsid w:val="62BD60DC"/>
    <w:rsid w:val="62C7476E"/>
    <w:rsid w:val="62CC020C"/>
    <w:rsid w:val="62CC7726"/>
    <w:rsid w:val="62D41677"/>
    <w:rsid w:val="62EF025F"/>
    <w:rsid w:val="63071A4D"/>
    <w:rsid w:val="6309447C"/>
    <w:rsid w:val="630A5A6D"/>
    <w:rsid w:val="631A3228"/>
    <w:rsid w:val="631A52DC"/>
    <w:rsid w:val="632D6503"/>
    <w:rsid w:val="6349639D"/>
    <w:rsid w:val="634C49D0"/>
    <w:rsid w:val="63554A0D"/>
    <w:rsid w:val="638E68ED"/>
    <w:rsid w:val="63901A42"/>
    <w:rsid w:val="63994330"/>
    <w:rsid w:val="639D09CB"/>
    <w:rsid w:val="63AC7EFE"/>
    <w:rsid w:val="63B15515"/>
    <w:rsid w:val="63B87CBA"/>
    <w:rsid w:val="63C60FC0"/>
    <w:rsid w:val="63C65464"/>
    <w:rsid w:val="63DC07E4"/>
    <w:rsid w:val="63F73BD7"/>
    <w:rsid w:val="640F4B32"/>
    <w:rsid w:val="641206A9"/>
    <w:rsid w:val="64234D67"/>
    <w:rsid w:val="64340620"/>
    <w:rsid w:val="64410F8F"/>
    <w:rsid w:val="645111D2"/>
    <w:rsid w:val="646125FE"/>
    <w:rsid w:val="64682077"/>
    <w:rsid w:val="64790728"/>
    <w:rsid w:val="648F5856"/>
    <w:rsid w:val="64972AB8"/>
    <w:rsid w:val="64A227CA"/>
    <w:rsid w:val="64DD4813"/>
    <w:rsid w:val="65060EC8"/>
    <w:rsid w:val="65180933"/>
    <w:rsid w:val="651A5A67"/>
    <w:rsid w:val="65362175"/>
    <w:rsid w:val="65566374"/>
    <w:rsid w:val="65766A16"/>
    <w:rsid w:val="65783F39"/>
    <w:rsid w:val="657C227E"/>
    <w:rsid w:val="659868BE"/>
    <w:rsid w:val="65AA4F5B"/>
    <w:rsid w:val="65C77271"/>
    <w:rsid w:val="65D11E9E"/>
    <w:rsid w:val="65DB7500"/>
    <w:rsid w:val="65DC4ACB"/>
    <w:rsid w:val="65DF4740"/>
    <w:rsid w:val="65E676F8"/>
    <w:rsid w:val="65EB7404"/>
    <w:rsid w:val="65F91B21"/>
    <w:rsid w:val="660356CA"/>
    <w:rsid w:val="660E19D8"/>
    <w:rsid w:val="66157FDD"/>
    <w:rsid w:val="661E50E3"/>
    <w:rsid w:val="662446C4"/>
    <w:rsid w:val="662E1F6F"/>
    <w:rsid w:val="663610A9"/>
    <w:rsid w:val="6642468F"/>
    <w:rsid w:val="66632F66"/>
    <w:rsid w:val="66650F64"/>
    <w:rsid w:val="666A657B"/>
    <w:rsid w:val="66764B31"/>
    <w:rsid w:val="66A51361"/>
    <w:rsid w:val="66AC1B17"/>
    <w:rsid w:val="66AE2FFF"/>
    <w:rsid w:val="66C8504F"/>
    <w:rsid w:val="66CD08B8"/>
    <w:rsid w:val="66DF144C"/>
    <w:rsid w:val="66E557FD"/>
    <w:rsid w:val="66F25116"/>
    <w:rsid w:val="670352EA"/>
    <w:rsid w:val="670C7632"/>
    <w:rsid w:val="6727621A"/>
    <w:rsid w:val="673D5A3D"/>
    <w:rsid w:val="674D68E6"/>
    <w:rsid w:val="67796A82"/>
    <w:rsid w:val="67AC671F"/>
    <w:rsid w:val="68014955"/>
    <w:rsid w:val="681A18DB"/>
    <w:rsid w:val="681F27BC"/>
    <w:rsid w:val="682E5386"/>
    <w:rsid w:val="68330BEE"/>
    <w:rsid w:val="68511756"/>
    <w:rsid w:val="686E6344"/>
    <w:rsid w:val="68784853"/>
    <w:rsid w:val="68AC43E6"/>
    <w:rsid w:val="68D0468F"/>
    <w:rsid w:val="68E87C2B"/>
    <w:rsid w:val="68E91763"/>
    <w:rsid w:val="68F30B42"/>
    <w:rsid w:val="690540BF"/>
    <w:rsid w:val="691B1DAE"/>
    <w:rsid w:val="692C5DAA"/>
    <w:rsid w:val="69450BD9"/>
    <w:rsid w:val="69453952"/>
    <w:rsid w:val="695D0135"/>
    <w:rsid w:val="69603C65"/>
    <w:rsid w:val="696E3BE1"/>
    <w:rsid w:val="69833F84"/>
    <w:rsid w:val="69847953"/>
    <w:rsid w:val="6994393A"/>
    <w:rsid w:val="69A05F97"/>
    <w:rsid w:val="69A973BA"/>
    <w:rsid w:val="69B144C0"/>
    <w:rsid w:val="69C340F2"/>
    <w:rsid w:val="69C441F4"/>
    <w:rsid w:val="69CE4A2C"/>
    <w:rsid w:val="6A274783"/>
    <w:rsid w:val="6A3A2708"/>
    <w:rsid w:val="6A4021D8"/>
    <w:rsid w:val="6A7774B8"/>
    <w:rsid w:val="6A7A363C"/>
    <w:rsid w:val="6AA13260"/>
    <w:rsid w:val="6AA16168"/>
    <w:rsid w:val="6ABE0C43"/>
    <w:rsid w:val="6ACB7804"/>
    <w:rsid w:val="6AD541DF"/>
    <w:rsid w:val="6ADF3B76"/>
    <w:rsid w:val="6AE37409"/>
    <w:rsid w:val="6AEA7C8A"/>
    <w:rsid w:val="6B0A20DA"/>
    <w:rsid w:val="6B5E41D4"/>
    <w:rsid w:val="6B6C1341"/>
    <w:rsid w:val="6B8359E9"/>
    <w:rsid w:val="6B9D4CFC"/>
    <w:rsid w:val="6BBA3B00"/>
    <w:rsid w:val="6BBB2524"/>
    <w:rsid w:val="6BBF5037"/>
    <w:rsid w:val="6BC350F9"/>
    <w:rsid w:val="6BCE4EB6"/>
    <w:rsid w:val="6BE02E3B"/>
    <w:rsid w:val="6BF16F9C"/>
    <w:rsid w:val="6BF608B1"/>
    <w:rsid w:val="6C0E5BFA"/>
    <w:rsid w:val="6C2076DB"/>
    <w:rsid w:val="6C3F7B62"/>
    <w:rsid w:val="6C4909E0"/>
    <w:rsid w:val="6C496C32"/>
    <w:rsid w:val="6C4C04D0"/>
    <w:rsid w:val="6C54385C"/>
    <w:rsid w:val="6C5F1FB2"/>
    <w:rsid w:val="6C7E559F"/>
    <w:rsid w:val="6C87555A"/>
    <w:rsid w:val="6C952FB6"/>
    <w:rsid w:val="6CC83FFB"/>
    <w:rsid w:val="6CD209D6"/>
    <w:rsid w:val="6CD609CA"/>
    <w:rsid w:val="6CE122CE"/>
    <w:rsid w:val="6CF7668E"/>
    <w:rsid w:val="6D107750"/>
    <w:rsid w:val="6D321474"/>
    <w:rsid w:val="6D3B2A1F"/>
    <w:rsid w:val="6D68758C"/>
    <w:rsid w:val="6D83283D"/>
    <w:rsid w:val="6D8A5754"/>
    <w:rsid w:val="6DB06FF1"/>
    <w:rsid w:val="6DB455D4"/>
    <w:rsid w:val="6DF8036A"/>
    <w:rsid w:val="6DFB5D0A"/>
    <w:rsid w:val="6E0D0AFD"/>
    <w:rsid w:val="6E62222D"/>
    <w:rsid w:val="6E8D6DF3"/>
    <w:rsid w:val="6EC16F54"/>
    <w:rsid w:val="6EC86534"/>
    <w:rsid w:val="6ECC4E9C"/>
    <w:rsid w:val="6ECF6B20"/>
    <w:rsid w:val="6ED567C0"/>
    <w:rsid w:val="6EFE6655"/>
    <w:rsid w:val="6EFF1A27"/>
    <w:rsid w:val="6F0155A2"/>
    <w:rsid w:val="6F1C779D"/>
    <w:rsid w:val="6F3E040D"/>
    <w:rsid w:val="6F6D2C38"/>
    <w:rsid w:val="6F771D08"/>
    <w:rsid w:val="6F7B5355"/>
    <w:rsid w:val="6F7E141F"/>
    <w:rsid w:val="6F964E3F"/>
    <w:rsid w:val="6FF15617"/>
    <w:rsid w:val="6FF60E7F"/>
    <w:rsid w:val="70117A67"/>
    <w:rsid w:val="70291255"/>
    <w:rsid w:val="707F5B4E"/>
    <w:rsid w:val="708E3A71"/>
    <w:rsid w:val="70AE175A"/>
    <w:rsid w:val="70C4708B"/>
    <w:rsid w:val="70DE0E07"/>
    <w:rsid w:val="711C4915"/>
    <w:rsid w:val="71297032"/>
    <w:rsid w:val="714479C8"/>
    <w:rsid w:val="7157594D"/>
    <w:rsid w:val="715B116D"/>
    <w:rsid w:val="715F4802"/>
    <w:rsid w:val="71614A1E"/>
    <w:rsid w:val="71673488"/>
    <w:rsid w:val="716C3BAF"/>
    <w:rsid w:val="71763E02"/>
    <w:rsid w:val="7189187F"/>
    <w:rsid w:val="718F158B"/>
    <w:rsid w:val="71963B10"/>
    <w:rsid w:val="71AD5847"/>
    <w:rsid w:val="71BE3C1E"/>
    <w:rsid w:val="71CC00E9"/>
    <w:rsid w:val="71CD3E62"/>
    <w:rsid w:val="71EC42E8"/>
    <w:rsid w:val="71EE6F62"/>
    <w:rsid w:val="72121874"/>
    <w:rsid w:val="72225F5B"/>
    <w:rsid w:val="72270127"/>
    <w:rsid w:val="72273572"/>
    <w:rsid w:val="72655E48"/>
    <w:rsid w:val="727D5888"/>
    <w:rsid w:val="7295497F"/>
    <w:rsid w:val="72A03324"/>
    <w:rsid w:val="72AB6D5F"/>
    <w:rsid w:val="72B2004F"/>
    <w:rsid w:val="72C60FDD"/>
    <w:rsid w:val="72FA12DE"/>
    <w:rsid w:val="7309711B"/>
    <w:rsid w:val="732D4F74"/>
    <w:rsid w:val="73337CF4"/>
    <w:rsid w:val="733A72D5"/>
    <w:rsid w:val="734A6E8D"/>
    <w:rsid w:val="737A14CF"/>
    <w:rsid w:val="738911A2"/>
    <w:rsid w:val="73DA4614"/>
    <w:rsid w:val="73ED07EB"/>
    <w:rsid w:val="742C30C1"/>
    <w:rsid w:val="74471CA9"/>
    <w:rsid w:val="744D1A67"/>
    <w:rsid w:val="74563204"/>
    <w:rsid w:val="745E6FF3"/>
    <w:rsid w:val="747D1765"/>
    <w:rsid w:val="74940C67"/>
    <w:rsid w:val="74B15375"/>
    <w:rsid w:val="74B75CE7"/>
    <w:rsid w:val="74BD1F6B"/>
    <w:rsid w:val="74C01C92"/>
    <w:rsid w:val="75114065"/>
    <w:rsid w:val="75440662"/>
    <w:rsid w:val="75461F61"/>
    <w:rsid w:val="75466405"/>
    <w:rsid w:val="754D5C67"/>
    <w:rsid w:val="755C3532"/>
    <w:rsid w:val="75982C83"/>
    <w:rsid w:val="759A405B"/>
    <w:rsid w:val="75A27767"/>
    <w:rsid w:val="75B136A4"/>
    <w:rsid w:val="75DB213B"/>
    <w:rsid w:val="75E8126A"/>
    <w:rsid w:val="761152BC"/>
    <w:rsid w:val="762B1026"/>
    <w:rsid w:val="762B73A9"/>
    <w:rsid w:val="76346CE5"/>
    <w:rsid w:val="76515061"/>
    <w:rsid w:val="765B7164"/>
    <w:rsid w:val="766034F6"/>
    <w:rsid w:val="76893B88"/>
    <w:rsid w:val="77122E6F"/>
    <w:rsid w:val="7735228D"/>
    <w:rsid w:val="773A5AF5"/>
    <w:rsid w:val="773C1B1D"/>
    <w:rsid w:val="773D55E5"/>
    <w:rsid w:val="77514BED"/>
    <w:rsid w:val="7758241F"/>
    <w:rsid w:val="775F34D3"/>
    <w:rsid w:val="776204D1"/>
    <w:rsid w:val="77626DFA"/>
    <w:rsid w:val="77846D70"/>
    <w:rsid w:val="77870C32"/>
    <w:rsid w:val="77975BED"/>
    <w:rsid w:val="779C230C"/>
    <w:rsid w:val="77BC475C"/>
    <w:rsid w:val="77BF249E"/>
    <w:rsid w:val="77C90C27"/>
    <w:rsid w:val="77D93560"/>
    <w:rsid w:val="77E963B5"/>
    <w:rsid w:val="781D72B5"/>
    <w:rsid w:val="78200FAE"/>
    <w:rsid w:val="782477C9"/>
    <w:rsid w:val="78393FFF"/>
    <w:rsid w:val="784B788E"/>
    <w:rsid w:val="785B5D23"/>
    <w:rsid w:val="78615304"/>
    <w:rsid w:val="78F02670"/>
    <w:rsid w:val="79134850"/>
    <w:rsid w:val="791F31F5"/>
    <w:rsid w:val="79231CC3"/>
    <w:rsid w:val="792A1B99"/>
    <w:rsid w:val="793C6D8A"/>
    <w:rsid w:val="79407A62"/>
    <w:rsid w:val="794669D3"/>
    <w:rsid w:val="794B1A7D"/>
    <w:rsid w:val="794D2D86"/>
    <w:rsid w:val="7962698E"/>
    <w:rsid w:val="79974DFF"/>
    <w:rsid w:val="79BF322E"/>
    <w:rsid w:val="79C832F3"/>
    <w:rsid w:val="79C8388C"/>
    <w:rsid w:val="79D57D57"/>
    <w:rsid w:val="79EF402B"/>
    <w:rsid w:val="79F426E3"/>
    <w:rsid w:val="7A036672"/>
    <w:rsid w:val="7A094D05"/>
    <w:rsid w:val="7A1253F6"/>
    <w:rsid w:val="7A2741F3"/>
    <w:rsid w:val="7A431165"/>
    <w:rsid w:val="7A642FEE"/>
    <w:rsid w:val="7A770E0E"/>
    <w:rsid w:val="7A9C0875"/>
    <w:rsid w:val="7AAC0272"/>
    <w:rsid w:val="7AAC160F"/>
    <w:rsid w:val="7AB26F5C"/>
    <w:rsid w:val="7ABC51E6"/>
    <w:rsid w:val="7AC34054"/>
    <w:rsid w:val="7AD46261"/>
    <w:rsid w:val="7AD85D51"/>
    <w:rsid w:val="7AF04D62"/>
    <w:rsid w:val="7AFE1296"/>
    <w:rsid w:val="7B022DCE"/>
    <w:rsid w:val="7B072192"/>
    <w:rsid w:val="7B30793B"/>
    <w:rsid w:val="7B3D1CC7"/>
    <w:rsid w:val="7B46684D"/>
    <w:rsid w:val="7B4A207F"/>
    <w:rsid w:val="7B586F7C"/>
    <w:rsid w:val="7B593278"/>
    <w:rsid w:val="7B783090"/>
    <w:rsid w:val="7B8D37DB"/>
    <w:rsid w:val="7B901215"/>
    <w:rsid w:val="7B9463F7"/>
    <w:rsid w:val="7B95779E"/>
    <w:rsid w:val="7BB302F8"/>
    <w:rsid w:val="7BCC6F38"/>
    <w:rsid w:val="7BD83B2F"/>
    <w:rsid w:val="7BE32AF9"/>
    <w:rsid w:val="7BE67FFA"/>
    <w:rsid w:val="7BF22D26"/>
    <w:rsid w:val="7BF24BF0"/>
    <w:rsid w:val="7BFA5853"/>
    <w:rsid w:val="7C0D1A2A"/>
    <w:rsid w:val="7C217284"/>
    <w:rsid w:val="7C2B1EB0"/>
    <w:rsid w:val="7C34248C"/>
    <w:rsid w:val="7C6929D9"/>
    <w:rsid w:val="7C704248"/>
    <w:rsid w:val="7C773348"/>
    <w:rsid w:val="7C8B294F"/>
    <w:rsid w:val="7CA20FD4"/>
    <w:rsid w:val="7CA67C6C"/>
    <w:rsid w:val="7CB93960"/>
    <w:rsid w:val="7CE131F6"/>
    <w:rsid w:val="7D0E21AB"/>
    <w:rsid w:val="7D127336"/>
    <w:rsid w:val="7D20753B"/>
    <w:rsid w:val="7D3354C1"/>
    <w:rsid w:val="7D504DD1"/>
    <w:rsid w:val="7D5316BF"/>
    <w:rsid w:val="7D6A3EE0"/>
    <w:rsid w:val="7D6A6067"/>
    <w:rsid w:val="7D7358BD"/>
    <w:rsid w:val="7D7E4262"/>
    <w:rsid w:val="7D935F5F"/>
    <w:rsid w:val="7DB67EA0"/>
    <w:rsid w:val="7DC425BD"/>
    <w:rsid w:val="7DE06CCB"/>
    <w:rsid w:val="7DE646F8"/>
    <w:rsid w:val="7DE83EE6"/>
    <w:rsid w:val="7DEC5327"/>
    <w:rsid w:val="7E473A37"/>
    <w:rsid w:val="7E745D91"/>
    <w:rsid w:val="7E7A49CB"/>
    <w:rsid w:val="7E915EB0"/>
    <w:rsid w:val="7E9A331D"/>
    <w:rsid w:val="7E9E155A"/>
    <w:rsid w:val="7EAD3051"/>
    <w:rsid w:val="7EBD3329"/>
    <w:rsid w:val="7ECD724F"/>
    <w:rsid w:val="7EEE3597"/>
    <w:rsid w:val="7F052E8D"/>
    <w:rsid w:val="7F0A3FFF"/>
    <w:rsid w:val="7F231011"/>
    <w:rsid w:val="7F2336E8"/>
    <w:rsid w:val="7F403EC5"/>
    <w:rsid w:val="7F4D01E9"/>
    <w:rsid w:val="7F743B6E"/>
    <w:rsid w:val="7F820039"/>
    <w:rsid w:val="7F842003"/>
    <w:rsid w:val="7F961D37"/>
    <w:rsid w:val="7FC70142"/>
    <w:rsid w:val="7FCE14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0" w:name="footnote text"/>
    <w:lsdException w:qFormat="1" w:unhideWhenUsed="0"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qFormat="1" w:unhideWhenUsed="0" w:uiPriority="0" w:semiHidden="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qFormat="1" w:unhideWhenUsed="0" w:uiPriority="0" w:semiHidden="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qFormat="1" w:uiPriority="0" w:name="HTML Acronym"/>
    <w:lsdException w:uiPriority="0" w:name="HTML Address"/>
    <w:lsdException w:qFormat="1" w:uiPriority="0" w:name="HTML Cite"/>
    <w:lsdException w:qFormat="1" w:uiPriority="0" w:name="HTML Code"/>
    <w:lsdException w:qFormat="1" w:uiPriority="0" w:name="HTML Definition"/>
    <w:lsdException w:qFormat="1" w:uiPriority="0" w:name="HTML Keyboard"/>
    <w:lsdException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5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rPr>
      <w:rFonts w:ascii="Times New Roman" w:hAnsi="Times New Roman" w:eastAsia="宋体" w:cs="Times New Roman"/>
      <w:lang w:val="en-US" w:eastAsia="zh-CN" w:bidi="ar-SA"/>
    </w:rPr>
  </w:style>
  <w:style w:type="paragraph" w:styleId="2">
    <w:name w:val="heading 1"/>
    <w:basedOn w:val="1"/>
    <w:next w:val="1"/>
    <w:link w:val="65"/>
    <w:autoRedefine/>
    <w:qFormat/>
    <w:uiPriority w:val="0"/>
    <w:pPr>
      <w:keepNext/>
      <w:keepLines/>
      <w:spacing w:before="340" w:after="330" w:line="578" w:lineRule="auto"/>
      <w:outlineLvl w:val="0"/>
    </w:pPr>
    <w:rPr>
      <w:b/>
      <w:kern w:val="44"/>
      <w:sz w:val="44"/>
    </w:rPr>
  </w:style>
  <w:style w:type="paragraph" w:styleId="3">
    <w:name w:val="heading 2"/>
    <w:basedOn w:val="1"/>
    <w:next w:val="1"/>
    <w:autoRedefine/>
    <w:qFormat/>
    <w:uiPriority w:val="0"/>
    <w:pPr>
      <w:keepNext/>
      <w:keepLines/>
      <w:spacing w:before="260" w:after="260" w:line="416" w:lineRule="auto"/>
      <w:outlineLvl w:val="1"/>
    </w:pPr>
    <w:rPr>
      <w:rFonts w:ascii="Arial" w:hAnsi="Arial" w:eastAsia="黑体"/>
      <w:b/>
      <w:sz w:val="32"/>
    </w:rPr>
  </w:style>
  <w:style w:type="paragraph" w:styleId="4">
    <w:name w:val="heading 3"/>
    <w:basedOn w:val="1"/>
    <w:next w:val="5"/>
    <w:autoRedefine/>
    <w:qFormat/>
    <w:uiPriority w:val="0"/>
    <w:pPr>
      <w:keepNext/>
      <w:keepLines/>
      <w:spacing w:before="260" w:after="260" w:line="416" w:lineRule="auto"/>
      <w:outlineLvl w:val="2"/>
    </w:pPr>
    <w:rPr>
      <w:b/>
      <w:sz w:val="32"/>
    </w:rPr>
  </w:style>
  <w:style w:type="paragraph" w:styleId="6">
    <w:name w:val="heading 4"/>
    <w:basedOn w:val="1"/>
    <w:next w:val="5"/>
    <w:autoRedefine/>
    <w:qFormat/>
    <w:uiPriority w:val="0"/>
    <w:pPr>
      <w:keepNext/>
      <w:spacing w:line="460" w:lineRule="exact"/>
      <w:jc w:val="both"/>
      <w:outlineLvl w:val="3"/>
    </w:pPr>
    <w:rPr>
      <w:rFonts w:ascii="宋体"/>
      <w:sz w:val="24"/>
    </w:rPr>
  </w:style>
  <w:style w:type="paragraph" w:styleId="7">
    <w:name w:val="heading 5"/>
    <w:basedOn w:val="1"/>
    <w:next w:val="5"/>
    <w:autoRedefine/>
    <w:qFormat/>
    <w:uiPriority w:val="0"/>
    <w:pPr>
      <w:keepNext/>
      <w:keepLines/>
      <w:widowControl w:val="0"/>
      <w:spacing w:before="280" w:after="290" w:line="376" w:lineRule="auto"/>
      <w:jc w:val="both"/>
      <w:outlineLvl w:val="4"/>
    </w:pPr>
    <w:rPr>
      <w:b/>
      <w:kern w:val="2"/>
      <w:sz w:val="24"/>
    </w:rPr>
  </w:style>
  <w:style w:type="paragraph" w:styleId="8">
    <w:name w:val="heading 6"/>
    <w:basedOn w:val="1"/>
    <w:next w:val="5"/>
    <w:autoRedefine/>
    <w:qFormat/>
    <w:uiPriority w:val="0"/>
    <w:pPr>
      <w:keepNext/>
      <w:keepLines/>
      <w:widowControl w:val="0"/>
      <w:tabs>
        <w:tab w:val="left" w:pos="360"/>
      </w:tabs>
      <w:spacing w:before="240" w:after="64" w:line="320" w:lineRule="auto"/>
      <w:ind w:left="360" w:hanging="360"/>
      <w:jc w:val="both"/>
      <w:outlineLvl w:val="5"/>
    </w:pPr>
    <w:rPr>
      <w:rFonts w:ascii="Arial" w:hAnsi="Arial" w:eastAsia="黑体"/>
      <w:b/>
      <w:kern w:val="2"/>
      <w:sz w:val="24"/>
    </w:rPr>
  </w:style>
  <w:style w:type="paragraph" w:styleId="9">
    <w:name w:val="heading 7"/>
    <w:basedOn w:val="1"/>
    <w:next w:val="5"/>
    <w:autoRedefine/>
    <w:qFormat/>
    <w:uiPriority w:val="0"/>
    <w:pPr>
      <w:keepNext/>
      <w:keepLines/>
      <w:widowControl w:val="0"/>
      <w:tabs>
        <w:tab w:val="left" w:pos="360"/>
      </w:tabs>
      <w:spacing w:before="240" w:after="64" w:line="320" w:lineRule="auto"/>
      <w:ind w:left="360" w:hanging="360"/>
      <w:jc w:val="both"/>
      <w:outlineLvl w:val="6"/>
    </w:pPr>
    <w:rPr>
      <w:b/>
      <w:kern w:val="2"/>
      <w:sz w:val="24"/>
    </w:rPr>
  </w:style>
  <w:style w:type="paragraph" w:styleId="10">
    <w:name w:val="heading 8"/>
    <w:basedOn w:val="1"/>
    <w:next w:val="5"/>
    <w:autoRedefine/>
    <w:qFormat/>
    <w:uiPriority w:val="0"/>
    <w:pPr>
      <w:keepNext/>
      <w:keepLines/>
      <w:widowControl w:val="0"/>
      <w:tabs>
        <w:tab w:val="left" w:pos="360"/>
      </w:tabs>
      <w:spacing w:before="240" w:after="64" w:line="320" w:lineRule="auto"/>
      <w:ind w:left="360" w:hanging="360"/>
      <w:jc w:val="both"/>
      <w:outlineLvl w:val="7"/>
    </w:pPr>
    <w:rPr>
      <w:rFonts w:ascii="Arial" w:hAnsi="Arial" w:eastAsia="黑体"/>
      <w:kern w:val="2"/>
      <w:sz w:val="24"/>
    </w:rPr>
  </w:style>
  <w:style w:type="paragraph" w:styleId="11">
    <w:name w:val="heading 9"/>
    <w:basedOn w:val="1"/>
    <w:next w:val="5"/>
    <w:autoRedefine/>
    <w:qFormat/>
    <w:uiPriority w:val="0"/>
    <w:pPr>
      <w:keepNext/>
      <w:keepLines/>
      <w:widowControl w:val="0"/>
      <w:tabs>
        <w:tab w:val="left" w:pos="360"/>
      </w:tabs>
      <w:spacing w:before="240" w:after="64" w:line="320" w:lineRule="auto"/>
      <w:ind w:left="360" w:hanging="360"/>
      <w:jc w:val="both"/>
      <w:outlineLvl w:val="8"/>
    </w:pPr>
    <w:rPr>
      <w:rFonts w:ascii="Arial" w:hAnsi="Arial" w:eastAsia="黑体"/>
      <w:kern w:val="2"/>
      <w:sz w:val="21"/>
    </w:rPr>
  </w:style>
  <w:style w:type="character" w:default="1" w:styleId="46">
    <w:name w:val="Default Paragraph Font"/>
    <w:autoRedefine/>
    <w:semiHidden/>
    <w:unhideWhenUsed/>
    <w:qFormat/>
    <w:uiPriority w:val="1"/>
  </w:style>
  <w:style w:type="table" w:default="1" w:styleId="44">
    <w:name w:val="Normal Table"/>
    <w:autoRedefin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autoRedefine/>
    <w:qFormat/>
    <w:uiPriority w:val="0"/>
    <w:pPr>
      <w:ind w:firstLine="420"/>
    </w:pPr>
  </w:style>
  <w:style w:type="paragraph" w:styleId="12">
    <w:name w:val="toc 7"/>
    <w:basedOn w:val="1"/>
    <w:next w:val="1"/>
    <w:autoRedefine/>
    <w:qFormat/>
    <w:uiPriority w:val="0"/>
    <w:pPr>
      <w:ind w:left="1200"/>
    </w:pPr>
    <w:rPr>
      <w:rFonts w:ascii="Calibri" w:hAnsi="Calibri" w:cs="Calibri"/>
      <w:sz w:val="18"/>
      <w:szCs w:val="18"/>
    </w:rPr>
  </w:style>
  <w:style w:type="paragraph" w:styleId="13">
    <w:name w:val="Document Map"/>
    <w:basedOn w:val="1"/>
    <w:autoRedefine/>
    <w:semiHidden/>
    <w:qFormat/>
    <w:uiPriority w:val="0"/>
    <w:pPr>
      <w:shd w:val="clear" w:color="auto" w:fill="000080"/>
    </w:pPr>
  </w:style>
  <w:style w:type="paragraph" w:styleId="14">
    <w:name w:val="annotation text"/>
    <w:basedOn w:val="1"/>
    <w:link w:val="140"/>
    <w:autoRedefine/>
    <w:semiHidden/>
    <w:qFormat/>
    <w:uiPriority w:val="0"/>
  </w:style>
  <w:style w:type="paragraph" w:styleId="15">
    <w:name w:val="Body Text 3"/>
    <w:basedOn w:val="1"/>
    <w:autoRedefine/>
    <w:qFormat/>
    <w:uiPriority w:val="0"/>
    <w:pPr>
      <w:spacing w:after="120"/>
    </w:pPr>
    <w:rPr>
      <w:sz w:val="16"/>
      <w:szCs w:val="16"/>
    </w:rPr>
  </w:style>
  <w:style w:type="paragraph" w:styleId="16">
    <w:name w:val="Body Text"/>
    <w:basedOn w:val="1"/>
    <w:next w:val="1"/>
    <w:link w:val="74"/>
    <w:autoRedefine/>
    <w:qFormat/>
    <w:uiPriority w:val="0"/>
    <w:pPr>
      <w:spacing w:after="120"/>
    </w:pPr>
  </w:style>
  <w:style w:type="paragraph" w:styleId="17">
    <w:name w:val="Body Text Indent"/>
    <w:basedOn w:val="1"/>
    <w:autoRedefine/>
    <w:qFormat/>
    <w:uiPriority w:val="0"/>
    <w:pPr>
      <w:spacing w:after="120"/>
      <w:ind w:left="420" w:leftChars="200"/>
    </w:pPr>
  </w:style>
  <w:style w:type="paragraph" w:styleId="18">
    <w:name w:val="List 2"/>
    <w:basedOn w:val="1"/>
    <w:autoRedefine/>
    <w:qFormat/>
    <w:uiPriority w:val="0"/>
    <w:pPr>
      <w:widowControl w:val="0"/>
      <w:adjustRightInd w:val="0"/>
      <w:spacing w:line="360" w:lineRule="auto"/>
      <w:jc w:val="both"/>
      <w:textAlignment w:val="baseline"/>
    </w:pPr>
    <w:rPr>
      <w:sz w:val="24"/>
    </w:rPr>
  </w:style>
  <w:style w:type="paragraph" w:styleId="19">
    <w:name w:val="Block Text"/>
    <w:basedOn w:val="1"/>
    <w:autoRedefine/>
    <w:qFormat/>
    <w:uiPriority w:val="0"/>
    <w:pPr>
      <w:widowControl w:val="0"/>
      <w:ind w:left="1155" w:right="40" w:rightChars="19"/>
      <w:jc w:val="both"/>
    </w:pPr>
    <w:rPr>
      <w:kern w:val="2"/>
      <w:sz w:val="21"/>
      <w:szCs w:val="24"/>
    </w:rPr>
  </w:style>
  <w:style w:type="paragraph" w:styleId="20">
    <w:name w:val="toc 5"/>
    <w:basedOn w:val="1"/>
    <w:next w:val="1"/>
    <w:autoRedefine/>
    <w:qFormat/>
    <w:uiPriority w:val="0"/>
    <w:pPr>
      <w:ind w:left="800"/>
    </w:pPr>
    <w:rPr>
      <w:rFonts w:ascii="Calibri" w:hAnsi="Calibri" w:cs="Calibri"/>
      <w:sz w:val="18"/>
      <w:szCs w:val="18"/>
    </w:rPr>
  </w:style>
  <w:style w:type="paragraph" w:styleId="21">
    <w:name w:val="toc 3"/>
    <w:basedOn w:val="1"/>
    <w:next w:val="1"/>
    <w:autoRedefine/>
    <w:semiHidden/>
    <w:qFormat/>
    <w:uiPriority w:val="0"/>
    <w:pPr>
      <w:ind w:left="400"/>
    </w:pPr>
    <w:rPr>
      <w:rFonts w:ascii="Calibri" w:hAnsi="Calibri" w:cs="Calibri"/>
      <w:i/>
      <w:iCs/>
    </w:rPr>
  </w:style>
  <w:style w:type="paragraph" w:styleId="22">
    <w:name w:val="Plain Text"/>
    <w:basedOn w:val="1"/>
    <w:link w:val="75"/>
    <w:autoRedefine/>
    <w:qFormat/>
    <w:uiPriority w:val="0"/>
    <w:rPr>
      <w:rFonts w:ascii="宋体" w:hAnsi="Courier New" w:cs="Century"/>
      <w:sz w:val="21"/>
      <w:szCs w:val="21"/>
    </w:rPr>
  </w:style>
  <w:style w:type="paragraph" w:styleId="23">
    <w:name w:val="toc 8"/>
    <w:basedOn w:val="1"/>
    <w:next w:val="1"/>
    <w:autoRedefine/>
    <w:qFormat/>
    <w:uiPriority w:val="0"/>
    <w:pPr>
      <w:ind w:left="1400"/>
    </w:pPr>
    <w:rPr>
      <w:rFonts w:ascii="Calibri" w:hAnsi="Calibri" w:cs="Calibri"/>
      <w:sz w:val="18"/>
      <w:szCs w:val="18"/>
    </w:rPr>
  </w:style>
  <w:style w:type="paragraph" w:styleId="24">
    <w:name w:val="Date"/>
    <w:basedOn w:val="1"/>
    <w:next w:val="1"/>
    <w:link w:val="72"/>
    <w:autoRedefine/>
    <w:qFormat/>
    <w:uiPriority w:val="0"/>
    <w:pPr>
      <w:jc w:val="both"/>
    </w:pPr>
    <w:rPr>
      <w:rFonts w:ascii="宋体"/>
      <w:sz w:val="24"/>
    </w:rPr>
  </w:style>
  <w:style w:type="paragraph" w:styleId="25">
    <w:name w:val="Body Text Indent 2"/>
    <w:basedOn w:val="1"/>
    <w:autoRedefine/>
    <w:qFormat/>
    <w:uiPriority w:val="0"/>
    <w:pPr>
      <w:spacing w:after="120" w:line="480" w:lineRule="auto"/>
      <w:ind w:left="420" w:leftChars="200"/>
    </w:pPr>
  </w:style>
  <w:style w:type="paragraph" w:styleId="26">
    <w:name w:val="Balloon Text"/>
    <w:basedOn w:val="1"/>
    <w:autoRedefine/>
    <w:semiHidden/>
    <w:qFormat/>
    <w:uiPriority w:val="0"/>
    <w:rPr>
      <w:sz w:val="18"/>
      <w:szCs w:val="18"/>
    </w:rPr>
  </w:style>
  <w:style w:type="paragraph" w:styleId="27">
    <w:name w:val="footer"/>
    <w:basedOn w:val="1"/>
    <w:autoRedefine/>
    <w:qFormat/>
    <w:uiPriority w:val="99"/>
    <w:pPr>
      <w:tabs>
        <w:tab w:val="center" w:pos="4153"/>
        <w:tab w:val="right" w:pos="8306"/>
      </w:tabs>
      <w:snapToGrid w:val="0"/>
    </w:pPr>
    <w:rPr>
      <w:sz w:val="18"/>
    </w:rPr>
  </w:style>
  <w:style w:type="paragraph" w:styleId="28">
    <w:name w:val="header"/>
    <w:basedOn w:val="1"/>
    <w:link w:val="83"/>
    <w:autoRedefine/>
    <w:qFormat/>
    <w:uiPriority w:val="99"/>
    <w:pPr>
      <w:pBdr>
        <w:bottom w:val="single" w:color="auto" w:sz="6" w:space="1"/>
      </w:pBdr>
      <w:tabs>
        <w:tab w:val="center" w:pos="4153"/>
        <w:tab w:val="right" w:pos="8306"/>
      </w:tabs>
      <w:snapToGrid w:val="0"/>
      <w:jc w:val="center"/>
    </w:pPr>
    <w:rPr>
      <w:sz w:val="18"/>
    </w:rPr>
  </w:style>
  <w:style w:type="paragraph" w:styleId="29">
    <w:name w:val="toc 1"/>
    <w:basedOn w:val="1"/>
    <w:next w:val="1"/>
    <w:autoRedefine/>
    <w:qFormat/>
    <w:uiPriority w:val="39"/>
    <w:pPr>
      <w:spacing w:before="120" w:after="120"/>
    </w:pPr>
    <w:rPr>
      <w:rFonts w:ascii="Calibri" w:hAnsi="Calibri" w:cs="Calibri"/>
      <w:b/>
      <w:bCs/>
      <w:caps/>
    </w:rPr>
  </w:style>
  <w:style w:type="paragraph" w:styleId="30">
    <w:name w:val="toc 4"/>
    <w:basedOn w:val="1"/>
    <w:next w:val="1"/>
    <w:autoRedefine/>
    <w:qFormat/>
    <w:uiPriority w:val="0"/>
    <w:pPr>
      <w:ind w:left="600"/>
    </w:pPr>
    <w:rPr>
      <w:rFonts w:ascii="Calibri" w:hAnsi="Calibri" w:cs="Calibri"/>
      <w:sz w:val="18"/>
      <w:szCs w:val="18"/>
    </w:rPr>
  </w:style>
  <w:style w:type="paragraph" w:styleId="31">
    <w:name w:val="List"/>
    <w:basedOn w:val="1"/>
    <w:autoRedefine/>
    <w:qFormat/>
    <w:uiPriority w:val="0"/>
    <w:pPr>
      <w:widowControl w:val="0"/>
      <w:adjustRightInd w:val="0"/>
      <w:spacing w:line="360" w:lineRule="auto"/>
      <w:jc w:val="both"/>
      <w:textAlignment w:val="baseline"/>
    </w:pPr>
    <w:rPr>
      <w:sz w:val="24"/>
    </w:rPr>
  </w:style>
  <w:style w:type="paragraph" w:styleId="32">
    <w:name w:val="toc 6"/>
    <w:basedOn w:val="1"/>
    <w:next w:val="1"/>
    <w:autoRedefine/>
    <w:qFormat/>
    <w:uiPriority w:val="0"/>
    <w:pPr>
      <w:ind w:left="1000"/>
    </w:pPr>
    <w:rPr>
      <w:rFonts w:ascii="Calibri" w:hAnsi="Calibri" w:cs="Calibri"/>
      <w:sz w:val="18"/>
      <w:szCs w:val="18"/>
    </w:rPr>
  </w:style>
  <w:style w:type="paragraph" w:styleId="33">
    <w:name w:val="Body Text Indent 3"/>
    <w:basedOn w:val="1"/>
    <w:autoRedefine/>
    <w:qFormat/>
    <w:uiPriority w:val="0"/>
    <w:pPr>
      <w:spacing w:after="120"/>
      <w:ind w:left="420" w:leftChars="200"/>
    </w:pPr>
    <w:rPr>
      <w:sz w:val="16"/>
      <w:szCs w:val="16"/>
    </w:rPr>
  </w:style>
  <w:style w:type="paragraph" w:styleId="34">
    <w:name w:val="toc 2"/>
    <w:basedOn w:val="1"/>
    <w:next w:val="1"/>
    <w:autoRedefine/>
    <w:qFormat/>
    <w:uiPriority w:val="39"/>
    <w:pPr>
      <w:ind w:left="200"/>
    </w:pPr>
    <w:rPr>
      <w:rFonts w:ascii="Calibri" w:hAnsi="Calibri" w:cs="Calibri"/>
      <w:smallCaps/>
    </w:rPr>
  </w:style>
  <w:style w:type="paragraph" w:styleId="35">
    <w:name w:val="toc 9"/>
    <w:basedOn w:val="1"/>
    <w:next w:val="1"/>
    <w:autoRedefine/>
    <w:qFormat/>
    <w:uiPriority w:val="0"/>
    <w:pPr>
      <w:ind w:left="1600"/>
    </w:pPr>
    <w:rPr>
      <w:rFonts w:ascii="Calibri" w:hAnsi="Calibri" w:cs="Calibri"/>
      <w:sz w:val="18"/>
      <w:szCs w:val="18"/>
    </w:rPr>
  </w:style>
  <w:style w:type="paragraph" w:styleId="36">
    <w:name w:val="Body Text 2"/>
    <w:basedOn w:val="1"/>
    <w:autoRedefine/>
    <w:qFormat/>
    <w:uiPriority w:val="0"/>
    <w:pPr>
      <w:spacing w:after="120" w:line="480" w:lineRule="auto"/>
    </w:pPr>
  </w:style>
  <w:style w:type="paragraph" w:styleId="37">
    <w:name w:val="Message Header"/>
    <w:basedOn w:val="1"/>
    <w:autoRedefine/>
    <w:qFormat/>
    <w:uiPriority w:val="0"/>
    <w:pPr>
      <w:widowControl w:val="0"/>
      <w:pBdr>
        <w:top w:val="single" w:color="auto" w:sz="6" w:space="1"/>
        <w:left w:val="single" w:color="auto" w:sz="6" w:space="1"/>
        <w:bottom w:val="single" w:color="auto" w:sz="6" w:space="1"/>
        <w:right w:val="single" w:color="auto" w:sz="6" w:space="1"/>
      </w:pBdr>
      <w:shd w:val="pct20" w:color="auto" w:fill="auto"/>
      <w:tabs>
        <w:tab w:val="left" w:pos="738"/>
      </w:tabs>
      <w:ind w:left="1080" w:leftChars="500" w:hanging="1080" w:hangingChars="500"/>
      <w:jc w:val="both"/>
    </w:pPr>
    <w:rPr>
      <w:rFonts w:ascii="Arial" w:hAnsi="Arial" w:cs="Arial"/>
      <w:kern w:val="2"/>
      <w:sz w:val="24"/>
      <w:szCs w:val="24"/>
    </w:rPr>
  </w:style>
  <w:style w:type="paragraph" w:styleId="38">
    <w:name w:val="Normal (Web)"/>
    <w:basedOn w:val="1"/>
    <w:autoRedefine/>
    <w:qFormat/>
    <w:uiPriority w:val="0"/>
    <w:rPr>
      <w:sz w:val="24"/>
      <w:szCs w:val="24"/>
    </w:rPr>
  </w:style>
  <w:style w:type="paragraph" w:styleId="39">
    <w:name w:val="index 1"/>
    <w:basedOn w:val="1"/>
    <w:next w:val="1"/>
    <w:autoRedefine/>
    <w:semiHidden/>
    <w:qFormat/>
    <w:uiPriority w:val="0"/>
  </w:style>
  <w:style w:type="paragraph" w:styleId="40">
    <w:name w:val="Title"/>
    <w:basedOn w:val="1"/>
    <w:autoRedefine/>
    <w:qFormat/>
    <w:uiPriority w:val="10"/>
    <w:pPr>
      <w:widowControl w:val="0"/>
      <w:tabs>
        <w:tab w:val="left" w:pos="738"/>
      </w:tabs>
      <w:spacing w:before="240" w:after="60"/>
      <w:ind w:left="738" w:hanging="454"/>
      <w:jc w:val="center"/>
      <w:outlineLvl w:val="0"/>
    </w:pPr>
    <w:rPr>
      <w:rFonts w:ascii="Arial" w:hAnsi="Arial" w:cs="Arial"/>
      <w:b/>
      <w:bCs/>
      <w:kern w:val="2"/>
      <w:sz w:val="32"/>
      <w:szCs w:val="32"/>
    </w:rPr>
  </w:style>
  <w:style w:type="paragraph" w:styleId="41">
    <w:name w:val="annotation subject"/>
    <w:basedOn w:val="14"/>
    <w:next w:val="14"/>
    <w:link w:val="141"/>
    <w:autoRedefine/>
    <w:semiHidden/>
    <w:unhideWhenUsed/>
    <w:qFormat/>
    <w:uiPriority w:val="0"/>
    <w:rPr>
      <w:b/>
      <w:bCs/>
    </w:rPr>
  </w:style>
  <w:style w:type="paragraph" w:styleId="42">
    <w:name w:val="Body Text First Indent"/>
    <w:basedOn w:val="16"/>
    <w:next w:val="1"/>
    <w:autoRedefine/>
    <w:qFormat/>
    <w:uiPriority w:val="0"/>
    <w:pPr>
      <w:widowControl w:val="0"/>
      <w:adjustRightInd w:val="0"/>
      <w:spacing w:after="0" w:line="312" w:lineRule="auto"/>
      <w:ind w:firstLine="567"/>
      <w:jc w:val="both"/>
      <w:textAlignment w:val="baseline"/>
    </w:pPr>
    <w:rPr>
      <w:sz w:val="28"/>
    </w:rPr>
  </w:style>
  <w:style w:type="paragraph" w:styleId="43">
    <w:name w:val="Body Text First Indent 2"/>
    <w:basedOn w:val="17"/>
    <w:autoRedefine/>
    <w:qFormat/>
    <w:uiPriority w:val="0"/>
    <w:pPr>
      <w:tabs>
        <w:tab w:val="left" w:pos="360"/>
      </w:tabs>
      <w:ind w:firstLine="420"/>
    </w:pPr>
    <w:rPr>
      <w:rFonts w:ascii="仿宋_GB2312" w:eastAsia="仿宋_GB2312"/>
      <w:sz w:val="24"/>
    </w:rPr>
  </w:style>
  <w:style w:type="table" w:styleId="45">
    <w:name w:val="Table Grid"/>
    <w:basedOn w:val="4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7">
    <w:name w:val="Strong"/>
    <w:basedOn w:val="46"/>
    <w:autoRedefine/>
    <w:qFormat/>
    <w:uiPriority w:val="0"/>
    <w:rPr>
      <w:b/>
      <w:bCs/>
    </w:rPr>
  </w:style>
  <w:style w:type="character" w:styleId="48">
    <w:name w:val="page number"/>
    <w:basedOn w:val="46"/>
    <w:autoRedefine/>
    <w:qFormat/>
    <w:uiPriority w:val="0"/>
  </w:style>
  <w:style w:type="character" w:styleId="49">
    <w:name w:val="FollowedHyperlink"/>
    <w:basedOn w:val="46"/>
    <w:autoRedefine/>
    <w:qFormat/>
    <w:uiPriority w:val="99"/>
    <w:rPr>
      <w:color w:val="800080"/>
      <w:u w:val="none"/>
    </w:rPr>
  </w:style>
  <w:style w:type="character" w:styleId="50">
    <w:name w:val="Emphasis"/>
    <w:basedOn w:val="46"/>
    <w:autoRedefine/>
    <w:qFormat/>
    <w:uiPriority w:val="0"/>
  </w:style>
  <w:style w:type="character" w:styleId="51">
    <w:name w:val="line number"/>
    <w:basedOn w:val="46"/>
    <w:autoRedefine/>
    <w:qFormat/>
    <w:uiPriority w:val="0"/>
  </w:style>
  <w:style w:type="character" w:styleId="52">
    <w:name w:val="HTML Definition"/>
    <w:basedOn w:val="46"/>
    <w:autoRedefine/>
    <w:semiHidden/>
    <w:unhideWhenUsed/>
    <w:qFormat/>
    <w:uiPriority w:val="0"/>
  </w:style>
  <w:style w:type="character" w:styleId="53">
    <w:name w:val="HTML Typewriter"/>
    <w:basedOn w:val="46"/>
    <w:autoRedefine/>
    <w:semiHidden/>
    <w:unhideWhenUsed/>
    <w:qFormat/>
    <w:uiPriority w:val="0"/>
    <w:rPr>
      <w:rFonts w:hint="default" w:ascii="monospace" w:hAnsi="monospace" w:eastAsia="monospace" w:cs="monospace"/>
      <w:sz w:val="20"/>
    </w:rPr>
  </w:style>
  <w:style w:type="character" w:styleId="54">
    <w:name w:val="HTML Acronym"/>
    <w:basedOn w:val="46"/>
    <w:autoRedefine/>
    <w:semiHidden/>
    <w:unhideWhenUsed/>
    <w:qFormat/>
    <w:uiPriority w:val="0"/>
  </w:style>
  <w:style w:type="character" w:styleId="55">
    <w:name w:val="HTML Variable"/>
    <w:basedOn w:val="46"/>
    <w:autoRedefine/>
    <w:semiHidden/>
    <w:unhideWhenUsed/>
    <w:qFormat/>
    <w:uiPriority w:val="0"/>
  </w:style>
  <w:style w:type="character" w:styleId="56">
    <w:name w:val="Hyperlink"/>
    <w:basedOn w:val="46"/>
    <w:autoRedefine/>
    <w:qFormat/>
    <w:uiPriority w:val="99"/>
    <w:rPr>
      <w:color w:val="0000FF"/>
      <w:u w:val="none"/>
    </w:rPr>
  </w:style>
  <w:style w:type="character" w:styleId="57">
    <w:name w:val="HTML Code"/>
    <w:basedOn w:val="46"/>
    <w:autoRedefine/>
    <w:semiHidden/>
    <w:unhideWhenUsed/>
    <w:qFormat/>
    <w:uiPriority w:val="0"/>
    <w:rPr>
      <w:rFonts w:hint="default" w:ascii="monospace" w:hAnsi="monospace" w:eastAsia="monospace" w:cs="monospace"/>
      <w:sz w:val="20"/>
    </w:rPr>
  </w:style>
  <w:style w:type="character" w:styleId="58">
    <w:name w:val="annotation reference"/>
    <w:basedOn w:val="46"/>
    <w:autoRedefine/>
    <w:semiHidden/>
    <w:unhideWhenUsed/>
    <w:qFormat/>
    <w:uiPriority w:val="0"/>
    <w:rPr>
      <w:sz w:val="21"/>
      <w:szCs w:val="21"/>
    </w:rPr>
  </w:style>
  <w:style w:type="character" w:styleId="59">
    <w:name w:val="HTML Cite"/>
    <w:basedOn w:val="46"/>
    <w:autoRedefine/>
    <w:semiHidden/>
    <w:unhideWhenUsed/>
    <w:qFormat/>
    <w:uiPriority w:val="0"/>
  </w:style>
  <w:style w:type="character" w:styleId="60">
    <w:name w:val="HTML Keyboard"/>
    <w:basedOn w:val="46"/>
    <w:autoRedefine/>
    <w:semiHidden/>
    <w:unhideWhenUsed/>
    <w:qFormat/>
    <w:uiPriority w:val="0"/>
    <w:rPr>
      <w:rFonts w:ascii="monospace" w:hAnsi="monospace" w:eastAsia="monospace" w:cs="monospace"/>
      <w:sz w:val="20"/>
    </w:rPr>
  </w:style>
  <w:style w:type="character" w:styleId="61">
    <w:name w:val="HTML Sample"/>
    <w:basedOn w:val="46"/>
    <w:autoRedefine/>
    <w:semiHidden/>
    <w:unhideWhenUsed/>
    <w:qFormat/>
    <w:uiPriority w:val="0"/>
    <w:rPr>
      <w:rFonts w:hint="default" w:ascii="monospace" w:hAnsi="monospace" w:eastAsia="monospace" w:cs="monospace"/>
    </w:rPr>
  </w:style>
  <w:style w:type="character" w:customStyle="1" w:styleId="62">
    <w:name w:val="标题 1 Char"/>
    <w:basedOn w:val="46"/>
    <w:link w:val="2"/>
    <w:autoRedefine/>
    <w:qFormat/>
    <w:uiPriority w:val="0"/>
    <w:rPr>
      <w:b/>
      <w:kern w:val="44"/>
      <w:sz w:val="44"/>
    </w:rPr>
  </w:style>
  <w:style w:type="paragraph" w:styleId="63">
    <w:name w:val="Intense Quote"/>
    <w:basedOn w:val="1"/>
    <w:next w:val="1"/>
    <w:autoRedefine/>
    <w:qFormat/>
    <w:uiPriority w:val="0"/>
    <w:pPr>
      <w:wordWrap w:val="0"/>
      <w:spacing w:before="360" w:after="360"/>
      <w:ind w:left="950" w:right="950"/>
      <w:jc w:val="center"/>
    </w:pPr>
    <w:rPr>
      <w:rFonts w:ascii="宋体" w:hAnsi="宋体" w:eastAsia="Times New Roman"/>
      <w:i/>
      <w:sz w:val="21"/>
    </w:rPr>
  </w:style>
  <w:style w:type="paragraph" w:customStyle="1" w:styleId="64">
    <w:name w:val="首行缩进"/>
    <w:basedOn w:val="1"/>
    <w:autoRedefine/>
    <w:qFormat/>
    <w:uiPriority w:val="0"/>
    <w:pPr>
      <w:tabs>
        <w:tab w:val="left" w:pos="540"/>
      </w:tabs>
      <w:spacing w:line="360" w:lineRule="auto"/>
    </w:pPr>
    <w:rPr>
      <w:rFonts w:eastAsia="仿宋_GB2312"/>
    </w:rPr>
  </w:style>
  <w:style w:type="character" w:customStyle="1" w:styleId="65">
    <w:name w:val="标题 1 字符"/>
    <w:basedOn w:val="46"/>
    <w:link w:val="2"/>
    <w:autoRedefine/>
    <w:qFormat/>
    <w:uiPriority w:val="0"/>
    <w:rPr>
      <w:b/>
      <w:kern w:val="44"/>
      <w:sz w:val="44"/>
    </w:rPr>
  </w:style>
  <w:style w:type="character" w:customStyle="1" w:styleId="66">
    <w:name w:val="普通文字 Char Char"/>
    <w:autoRedefine/>
    <w:qFormat/>
    <w:uiPriority w:val="0"/>
    <w:rPr>
      <w:rFonts w:ascii="宋体" w:hAnsi="Courier New" w:eastAsia="宋体" w:cs="Century"/>
      <w:sz w:val="21"/>
      <w:szCs w:val="21"/>
      <w:lang w:val="en-US" w:eastAsia="zh-CN" w:bidi="ar-SA"/>
    </w:rPr>
  </w:style>
  <w:style w:type="character" w:customStyle="1" w:styleId="67">
    <w:name w:val="font11"/>
    <w:basedOn w:val="46"/>
    <w:autoRedefine/>
    <w:qFormat/>
    <w:uiPriority w:val="0"/>
    <w:rPr>
      <w:rFonts w:hint="eastAsia" w:ascii="宋体" w:hAnsi="宋体" w:eastAsia="宋体" w:cs="宋体"/>
      <w:color w:val="000000"/>
      <w:sz w:val="22"/>
      <w:szCs w:val="22"/>
      <w:u w:val="none"/>
    </w:rPr>
  </w:style>
  <w:style w:type="character" w:customStyle="1" w:styleId="68">
    <w:name w:val="正文文本 Char"/>
    <w:autoRedefine/>
    <w:qFormat/>
    <w:uiPriority w:val="0"/>
    <w:rPr>
      <w:rFonts w:eastAsia="宋体"/>
      <w:lang w:val="en-US" w:eastAsia="zh-CN" w:bidi="ar-SA"/>
    </w:rPr>
  </w:style>
  <w:style w:type="character" w:customStyle="1" w:styleId="69">
    <w:name w:val="引用 字符"/>
    <w:basedOn w:val="46"/>
    <w:link w:val="70"/>
    <w:autoRedefine/>
    <w:qFormat/>
    <w:uiPriority w:val="29"/>
    <w:rPr>
      <w:i/>
      <w:iCs/>
      <w:color w:val="000000"/>
    </w:rPr>
  </w:style>
  <w:style w:type="paragraph" w:styleId="70">
    <w:name w:val="Quote"/>
    <w:basedOn w:val="1"/>
    <w:next w:val="1"/>
    <w:link w:val="69"/>
    <w:autoRedefine/>
    <w:qFormat/>
    <w:uiPriority w:val="29"/>
    <w:rPr>
      <w:i/>
      <w:iCs/>
      <w:color w:val="000000"/>
    </w:rPr>
  </w:style>
  <w:style w:type="character" w:customStyle="1" w:styleId="71">
    <w:name w:val="text"/>
    <w:basedOn w:val="46"/>
    <w:autoRedefine/>
    <w:qFormat/>
    <w:uiPriority w:val="0"/>
  </w:style>
  <w:style w:type="character" w:customStyle="1" w:styleId="72">
    <w:name w:val="日期 字符"/>
    <w:basedOn w:val="46"/>
    <w:link w:val="24"/>
    <w:autoRedefine/>
    <w:qFormat/>
    <w:uiPriority w:val="0"/>
    <w:rPr>
      <w:rFonts w:ascii="宋体"/>
      <w:sz w:val="24"/>
    </w:rPr>
  </w:style>
  <w:style w:type="character" w:customStyle="1" w:styleId="73">
    <w:name w:val="titlestyle10831"/>
    <w:basedOn w:val="46"/>
    <w:autoRedefine/>
    <w:qFormat/>
    <w:uiPriority w:val="0"/>
    <w:rPr>
      <w:rFonts w:hint="eastAsia" w:ascii="黑体" w:hAnsi="黑体" w:eastAsia="黑体"/>
      <w:b/>
      <w:bCs/>
      <w:sz w:val="36"/>
      <w:szCs w:val="36"/>
    </w:rPr>
  </w:style>
  <w:style w:type="character" w:customStyle="1" w:styleId="74">
    <w:name w:val="正文文本 字符"/>
    <w:basedOn w:val="46"/>
    <w:link w:val="16"/>
    <w:autoRedefine/>
    <w:qFormat/>
    <w:uiPriority w:val="0"/>
    <w:rPr>
      <w:rFonts w:eastAsia="宋体"/>
      <w:lang w:val="en-US" w:eastAsia="zh-CN" w:bidi="ar-SA"/>
    </w:rPr>
  </w:style>
  <w:style w:type="character" w:customStyle="1" w:styleId="75">
    <w:name w:val="纯文本 字符"/>
    <w:basedOn w:val="46"/>
    <w:link w:val="22"/>
    <w:autoRedefine/>
    <w:qFormat/>
    <w:uiPriority w:val="0"/>
    <w:rPr>
      <w:rFonts w:ascii="宋体" w:hAnsi="Courier New" w:eastAsia="宋体" w:cs="Century"/>
      <w:sz w:val="21"/>
      <w:szCs w:val="21"/>
      <w:lang w:val="en-US" w:eastAsia="zh-CN" w:bidi="ar-SA"/>
    </w:rPr>
  </w:style>
  <w:style w:type="character" w:customStyle="1" w:styleId="76">
    <w:name w:val="apple-tab-span"/>
    <w:basedOn w:val="46"/>
    <w:autoRedefine/>
    <w:qFormat/>
    <w:uiPriority w:val="0"/>
  </w:style>
  <w:style w:type="character" w:customStyle="1" w:styleId="77">
    <w:name w:val="Char Char Char"/>
    <w:basedOn w:val="46"/>
    <w:autoRedefine/>
    <w:qFormat/>
    <w:uiPriority w:val="0"/>
    <w:rPr>
      <w:rFonts w:ascii="宋体" w:hAnsi="Courier New" w:eastAsia="宋体"/>
      <w:kern w:val="2"/>
      <w:sz w:val="24"/>
      <w:lang w:val="en-US" w:eastAsia="zh-CN" w:bidi="ar-SA"/>
    </w:rPr>
  </w:style>
  <w:style w:type="character" w:customStyle="1" w:styleId="78">
    <w:name w:val="para"/>
    <w:basedOn w:val="46"/>
    <w:autoRedefine/>
    <w:qFormat/>
    <w:uiPriority w:val="0"/>
  </w:style>
  <w:style w:type="character" w:customStyle="1" w:styleId="79">
    <w:name w:val="main14"/>
    <w:basedOn w:val="46"/>
    <w:autoRedefine/>
    <w:qFormat/>
    <w:uiPriority w:val="0"/>
  </w:style>
  <w:style w:type="character" w:customStyle="1" w:styleId="80">
    <w:name w:val="title_emph"/>
    <w:basedOn w:val="46"/>
    <w:autoRedefine/>
    <w:qFormat/>
    <w:uiPriority w:val="0"/>
  </w:style>
  <w:style w:type="character" w:customStyle="1" w:styleId="81">
    <w:name w:val="font01"/>
    <w:basedOn w:val="46"/>
    <w:autoRedefine/>
    <w:qFormat/>
    <w:uiPriority w:val="0"/>
    <w:rPr>
      <w:rFonts w:hint="eastAsia" w:ascii="宋体" w:hAnsi="宋体" w:eastAsia="宋体" w:cs="宋体"/>
      <w:color w:val="000000"/>
      <w:sz w:val="22"/>
      <w:szCs w:val="22"/>
      <w:u w:val="none"/>
    </w:rPr>
  </w:style>
  <w:style w:type="paragraph" w:customStyle="1" w:styleId="82">
    <w:name w:val="È±Ê¡ÎÄ±¾"/>
    <w:basedOn w:val="1"/>
    <w:autoRedefine/>
    <w:qFormat/>
    <w:uiPriority w:val="0"/>
    <w:pPr>
      <w:overflowPunct w:val="0"/>
      <w:autoSpaceDE w:val="0"/>
      <w:autoSpaceDN w:val="0"/>
      <w:adjustRightInd w:val="0"/>
      <w:textAlignment w:val="baseline"/>
    </w:pPr>
    <w:rPr>
      <w:sz w:val="24"/>
    </w:rPr>
  </w:style>
  <w:style w:type="character" w:customStyle="1" w:styleId="83">
    <w:name w:val="页眉 字符"/>
    <w:basedOn w:val="46"/>
    <w:link w:val="28"/>
    <w:autoRedefine/>
    <w:qFormat/>
    <w:uiPriority w:val="99"/>
    <w:rPr>
      <w:sz w:val="18"/>
    </w:rPr>
  </w:style>
  <w:style w:type="paragraph" w:customStyle="1" w:styleId="84">
    <w:name w:val="Char Char Char Char"/>
    <w:basedOn w:val="1"/>
    <w:autoRedefine/>
    <w:qFormat/>
    <w:uiPriority w:val="0"/>
    <w:pPr>
      <w:widowControl w:val="0"/>
      <w:jc w:val="both"/>
    </w:pPr>
    <w:rPr>
      <w:rFonts w:ascii="Tahoma" w:hAnsi="Tahoma"/>
      <w:kern w:val="2"/>
      <w:sz w:val="24"/>
    </w:rPr>
  </w:style>
  <w:style w:type="paragraph" w:customStyle="1" w:styleId="85">
    <w:name w:val="1"/>
    <w:basedOn w:val="1"/>
    <w:next w:val="38"/>
    <w:autoRedefine/>
    <w:qFormat/>
    <w:uiPriority w:val="0"/>
    <w:pPr>
      <w:spacing w:before="100" w:beforeAutospacing="1" w:after="100" w:afterAutospacing="1"/>
    </w:pPr>
    <w:rPr>
      <w:rFonts w:ascii="宋体" w:hAnsi="宋体" w:cs="黑体"/>
      <w:sz w:val="24"/>
      <w:szCs w:val="24"/>
    </w:rPr>
  </w:style>
  <w:style w:type="paragraph" w:customStyle="1" w:styleId="86">
    <w:name w:val="正文文本缩进1"/>
    <w:basedOn w:val="1"/>
    <w:autoRedefine/>
    <w:qFormat/>
    <w:uiPriority w:val="0"/>
    <w:pPr>
      <w:widowControl w:val="0"/>
      <w:ind w:firstLine="560" w:firstLineChars="200"/>
      <w:jc w:val="both"/>
    </w:pPr>
    <w:rPr>
      <w:kern w:val="2"/>
      <w:sz w:val="28"/>
      <w:szCs w:val="28"/>
    </w:rPr>
  </w:style>
  <w:style w:type="paragraph" w:customStyle="1" w:styleId="87">
    <w:name w:val="IBM 正文"/>
    <w:basedOn w:val="1"/>
    <w:autoRedefine/>
    <w:qFormat/>
    <w:uiPriority w:val="0"/>
    <w:pPr>
      <w:widowControl w:val="0"/>
      <w:spacing w:line="400" w:lineRule="exact"/>
      <w:jc w:val="both"/>
    </w:pPr>
    <w:rPr>
      <w:spacing w:val="20"/>
      <w:kern w:val="2"/>
      <w:sz w:val="24"/>
    </w:rPr>
  </w:style>
  <w:style w:type="paragraph" w:customStyle="1" w:styleId="88">
    <w:name w:val="Char"/>
    <w:basedOn w:val="1"/>
    <w:autoRedefine/>
    <w:qFormat/>
    <w:uiPriority w:val="0"/>
    <w:pPr>
      <w:spacing w:after="160" w:line="240" w:lineRule="exact"/>
    </w:pPr>
    <w:rPr>
      <w:rFonts w:ascii="宋体" w:hAnsi="宋体"/>
      <w:lang w:eastAsia="en-US"/>
    </w:rPr>
  </w:style>
  <w:style w:type="paragraph" w:customStyle="1" w:styleId="89">
    <w:name w:val="样式2"/>
    <w:basedOn w:val="1"/>
    <w:autoRedefine/>
    <w:qFormat/>
    <w:uiPriority w:val="0"/>
    <w:pPr>
      <w:widowControl w:val="0"/>
      <w:jc w:val="both"/>
    </w:pPr>
    <w:rPr>
      <w:rFonts w:ascii="仿宋_GB2312" w:eastAsia="仿宋_GB2312"/>
      <w:kern w:val="2"/>
      <w:sz w:val="32"/>
    </w:rPr>
  </w:style>
  <w:style w:type="paragraph" w:customStyle="1" w:styleId="90">
    <w:name w:val="Blockquote"/>
    <w:basedOn w:val="1"/>
    <w:autoRedefine/>
    <w:qFormat/>
    <w:uiPriority w:val="0"/>
    <w:pPr>
      <w:widowControl w:val="0"/>
      <w:autoSpaceDE w:val="0"/>
      <w:autoSpaceDN w:val="0"/>
      <w:adjustRightInd w:val="0"/>
      <w:spacing w:before="100" w:after="100"/>
      <w:ind w:left="360" w:right="360"/>
    </w:pPr>
    <w:rPr>
      <w:sz w:val="24"/>
      <w:szCs w:val="24"/>
    </w:rPr>
  </w:style>
  <w:style w:type="paragraph" w:customStyle="1" w:styleId="91">
    <w:name w:val="Char Char Char1 Char"/>
    <w:basedOn w:val="1"/>
    <w:autoRedefine/>
    <w:qFormat/>
    <w:uiPriority w:val="0"/>
    <w:pPr>
      <w:widowControl w:val="0"/>
      <w:jc w:val="both"/>
    </w:pPr>
    <w:rPr>
      <w:rFonts w:ascii="Tahoma" w:hAnsi="Tahoma"/>
      <w:kern w:val="2"/>
      <w:sz w:val="24"/>
    </w:rPr>
  </w:style>
  <w:style w:type="paragraph" w:customStyle="1" w:styleId="92">
    <w:name w:val="缺省文本:1"/>
    <w:basedOn w:val="1"/>
    <w:autoRedefine/>
    <w:qFormat/>
    <w:uiPriority w:val="0"/>
    <w:pPr>
      <w:widowControl w:val="0"/>
      <w:autoSpaceDE w:val="0"/>
      <w:autoSpaceDN w:val="0"/>
      <w:adjustRightInd w:val="0"/>
    </w:pPr>
    <w:rPr>
      <w:sz w:val="24"/>
      <w:szCs w:val="24"/>
    </w:rPr>
  </w:style>
  <w:style w:type="paragraph" w:customStyle="1" w:styleId="93">
    <w:name w:val="标题1.9"/>
    <w:basedOn w:val="1"/>
    <w:autoRedefine/>
    <w:qFormat/>
    <w:uiPriority w:val="0"/>
    <w:pPr>
      <w:widowControl w:val="0"/>
      <w:autoSpaceDE w:val="0"/>
      <w:autoSpaceDN w:val="0"/>
      <w:adjustRightInd w:val="0"/>
      <w:jc w:val="center"/>
    </w:pPr>
    <w:rPr>
      <w:rFonts w:ascii="黑体" w:eastAsia="黑体"/>
      <w:sz w:val="24"/>
      <w:szCs w:val="24"/>
    </w:rPr>
  </w:style>
  <w:style w:type="paragraph" w:customStyle="1" w:styleId="94">
    <w:name w:val="默认段落字体 Para Char Char Char Char Char Char Char Char Char1 Char Char Char Char"/>
    <w:basedOn w:val="1"/>
    <w:autoRedefine/>
    <w:qFormat/>
    <w:uiPriority w:val="0"/>
    <w:pPr>
      <w:widowControl w:val="0"/>
      <w:adjustRightInd w:val="0"/>
      <w:spacing w:line="312" w:lineRule="atLeast"/>
      <w:jc w:val="both"/>
      <w:textAlignment w:val="baseline"/>
    </w:pPr>
    <w:rPr>
      <w:b/>
      <w:bCs/>
      <w:sz w:val="36"/>
      <w:szCs w:val="32"/>
    </w:rPr>
  </w:style>
  <w:style w:type="paragraph" w:styleId="95">
    <w:name w:val="List Paragraph"/>
    <w:basedOn w:val="1"/>
    <w:link w:val="139"/>
    <w:autoRedefine/>
    <w:qFormat/>
    <w:uiPriority w:val="34"/>
    <w:pPr>
      <w:widowControl w:val="0"/>
      <w:spacing w:line="360" w:lineRule="auto"/>
      <w:ind w:left="720" w:firstLine="420" w:firstLineChars="200"/>
      <w:jc w:val="both"/>
    </w:pPr>
    <w:rPr>
      <w:rFonts w:ascii="Calibri" w:hAnsi="Calibri"/>
      <w:kern w:val="2"/>
      <w:sz w:val="21"/>
      <w:szCs w:val="22"/>
    </w:rPr>
  </w:style>
  <w:style w:type="paragraph" w:customStyle="1" w:styleId="96">
    <w:name w:val="正文文本缩进 21"/>
    <w:basedOn w:val="1"/>
    <w:autoRedefine/>
    <w:qFormat/>
    <w:uiPriority w:val="0"/>
    <w:pPr>
      <w:widowControl w:val="0"/>
      <w:adjustRightInd w:val="0"/>
      <w:spacing w:line="360" w:lineRule="atLeast"/>
      <w:ind w:firstLine="600"/>
      <w:jc w:val="both"/>
      <w:textAlignment w:val="baseline"/>
    </w:pPr>
    <w:rPr>
      <w:sz w:val="32"/>
    </w:rPr>
  </w:style>
  <w:style w:type="paragraph" w:customStyle="1" w:styleId="97">
    <w:name w:val="标题 4.1"/>
    <w:basedOn w:val="1"/>
    <w:autoRedefine/>
    <w:qFormat/>
    <w:uiPriority w:val="0"/>
    <w:pPr>
      <w:keepNext/>
      <w:keepLines/>
      <w:widowControl w:val="0"/>
      <w:spacing w:before="280" w:after="290" w:line="376" w:lineRule="auto"/>
      <w:jc w:val="both"/>
      <w:outlineLvl w:val="3"/>
    </w:pPr>
    <w:rPr>
      <w:rFonts w:ascii="Arial" w:hAnsi="Arial" w:eastAsia="黑体"/>
      <w:b/>
      <w:bCs/>
      <w:kern w:val="2"/>
      <w:sz w:val="28"/>
      <w:szCs w:val="28"/>
    </w:rPr>
  </w:style>
  <w:style w:type="paragraph" w:customStyle="1" w:styleId="98">
    <w:name w:val="Default"/>
    <w:next w:val="24"/>
    <w:autoRedefine/>
    <w:qFormat/>
    <w:uiPriority w:val="0"/>
    <w:pPr>
      <w:widowControl w:val="0"/>
      <w:autoSpaceDE w:val="0"/>
      <w:autoSpaceDN w:val="0"/>
      <w:adjustRightInd w:val="0"/>
    </w:pPr>
    <w:rPr>
      <w:rFonts w:ascii="黑体" w:hAnsi="Times New Roman" w:eastAsia="黑体" w:cs="Times New Roman"/>
      <w:lang w:val="en-US" w:eastAsia="zh-CN" w:bidi="ar-SA"/>
    </w:rPr>
  </w:style>
  <w:style w:type="paragraph" w:customStyle="1" w:styleId="99">
    <w:name w:val="reader-word-layer reader-word-s16-2"/>
    <w:basedOn w:val="1"/>
    <w:autoRedefine/>
    <w:qFormat/>
    <w:uiPriority w:val="0"/>
    <w:pPr>
      <w:spacing w:before="100" w:beforeAutospacing="1" w:after="100" w:afterAutospacing="1"/>
    </w:pPr>
    <w:rPr>
      <w:rFonts w:ascii="宋体" w:hAnsi="宋体" w:cs="宋体"/>
      <w:sz w:val="24"/>
      <w:szCs w:val="24"/>
    </w:rPr>
  </w:style>
  <w:style w:type="paragraph" w:customStyle="1" w:styleId="100">
    <w:name w:val="标题5"/>
    <w:basedOn w:val="1"/>
    <w:autoRedefine/>
    <w:qFormat/>
    <w:uiPriority w:val="0"/>
    <w:pPr>
      <w:widowControl w:val="0"/>
      <w:tabs>
        <w:tab w:val="left" w:pos="7035"/>
      </w:tabs>
      <w:jc w:val="both"/>
    </w:pPr>
    <w:rPr>
      <w:rFonts w:ascii="宋体" w:hAnsi="宋体"/>
      <w:b/>
      <w:color w:val="000000"/>
      <w:kern w:val="2"/>
      <w:sz w:val="24"/>
      <w:szCs w:val="24"/>
    </w:rPr>
  </w:style>
  <w:style w:type="paragraph" w:customStyle="1" w:styleId="101">
    <w:name w:val="正文文本 21"/>
    <w:basedOn w:val="1"/>
    <w:autoRedefine/>
    <w:qFormat/>
    <w:uiPriority w:val="0"/>
    <w:pPr>
      <w:widowControl w:val="0"/>
      <w:adjustRightInd w:val="0"/>
      <w:spacing w:line="360" w:lineRule="atLeast"/>
      <w:ind w:firstLine="720"/>
      <w:jc w:val="both"/>
      <w:textAlignment w:val="baseline"/>
    </w:pPr>
    <w:rPr>
      <w:sz w:val="32"/>
      <w:szCs w:val="24"/>
    </w:rPr>
  </w:style>
  <w:style w:type="paragraph" w:customStyle="1" w:styleId="102">
    <w:name w:val="reader-word-layer reader-word-s16-14"/>
    <w:basedOn w:val="1"/>
    <w:autoRedefine/>
    <w:qFormat/>
    <w:uiPriority w:val="0"/>
    <w:pPr>
      <w:spacing w:before="100" w:beforeAutospacing="1" w:after="100" w:afterAutospacing="1"/>
    </w:pPr>
    <w:rPr>
      <w:rFonts w:ascii="宋体" w:hAnsi="宋体" w:cs="宋体"/>
      <w:sz w:val="24"/>
      <w:szCs w:val="24"/>
    </w:rPr>
  </w:style>
  <w:style w:type="paragraph" w:customStyle="1" w:styleId="103">
    <w:name w:val="xl28"/>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pPr>
    <w:rPr>
      <w:rFonts w:ascii="宋体" w:hAnsi="宋体"/>
      <w:sz w:val="24"/>
      <w:szCs w:val="24"/>
    </w:rPr>
  </w:style>
  <w:style w:type="paragraph" w:customStyle="1" w:styleId="104">
    <w:name w:val="reader-word-layer reader-word-s16-16"/>
    <w:basedOn w:val="1"/>
    <w:autoRedefine/>
    <w:qFormat/>
    <w:uiPriority w:val="0"/>
    <w:pPr>
      <w:spacing w:before="100" w:beforeAutospacing="1" w:after="100" w:afterAutospacing="1"/>
    </w:pPr>
    <w:rPr>
      <w:rFonts w:ascii="宋体" w:hAnsi="宋体" w:cs="宋体"/>
      <w:sz w:val="24"/>
      <w:szCs w:val="24"/>
    </w:rPr>
  </w:style>
  <w:style w:type="paragraph" w:customStyle="1" w:styleId="105">
    <w:name w:val="o"/>
    <w:basedOn w:val="1"/>
    <w:autoRedefine/>
    <w:qFormat/>
    <w:uiPriority w:val="0"/>
    <w:pPr>
      <w:widowControl w:val="0"/>
      <w:adjustRightInd w:val="0"/>
      <w:spacing w:line="360" w:lineRule="atLeast"/>
      <w:textAlignment w:val="baseline"/>
    </w:pPr>
    <w:rPr>
      <w:rFonts w:ascii="宋体"/>
      <w:sz w:val="32"/>
    </w:rPr>
  </w:style>
  <w:style w:type="paragraph" w:customStyle="1" w:styleId="106">
    <w:name w:val="aspnumfaautoadjustright"/>
    <w:autoRedefine/>
    <w:qFormat/>
    <w:uiPriority w:val="0"/>
    <w:pPr>
      <w:widowControl w:val="0"/>
      <w:autoSpaceDE w:val="0"/>
      <w:autoSpaceDN w:val="0"/>
      <w:adjustRightInd w:val="0"/>
      <w:jc w:val="both"/>
    </w:pPr>
    <w:rPr>
      <w:rFonts w:ascii="宋体" w:hAnsi="Times New Roman" w:eastAsia="宋体" w:cs="Times New Roman"/>
      <w:lang w:val="en-US" w:eastAsia="zh-CN" w:bidi="ar-SA"/>
    </w:rPr>
  </w:style>
  <w:style w:type="paragraph" w:customStyle="1" w:styleId="107">
    <w:name w:val="小标题"/>
    <w:basedOn w:val="1"/>
    <w:autoRedefine/>
    <w:qFormat/>
    <w:uiPriority w:val="0"/>
    <w:pPr>
      <w:widowControl w:val="0"/>
      <w:adjustRightInd w:val="0"/>
      <w:spacing w:before="120" w:after="120" w:line="400" w:lineRule="atLeast"/>
      <w:jc w:val="both"/>
      <w:textAlignment w:val="baseline"/>
    </w:pPr>
    <w:rPr>
      <w:rFonts w:ascii="宋体" w:hAnsi="宋体"/>
      <w:sz w:val="24"/>
    </w:rPr>
  </w:style>
  <w:style w:type="paragraph" w:customStyle="1" w:styleId="108">
    <w:name w:val="默认段落字体 Para Char Char Char Char Char Char Char Char Char1 Char Char Char Char Char Char Char"/>
    <w:basedOn w:val="13"/>
    <w:autoRedefine/>
    <w:qFormat/>
    <w:uiPriority w:val="0"/>
    <w:pPr>
      <w:widowControl w:val="0"/>
      <w:jc w:val="both"/>
    </w:pPr>
    <w:rPr>
      <w:rFonts w:ascii="Tahoma" w:hAnsi="Tahoma" w:cs="Tahoma"/>
      <w:kern w:val="2"/>
      <w:sz w:val="24"/>
      <w:szCs w:val="24"/>
    </w:rPr>
  </w:style>
  <w:style w:type="paragraph" w:customStyle="1" w:styleId="109">
    <w:name w:val="?¡ì?¡ì?¡§¡è?¡ìo????¡§¡è?:1:1"/>
    <w:basedOn w:val="1"/>
    <w:autoRedefine/>
    <w:qFormat/>
    <w:uiPriority w:val="0"/>
    <w:pPr>
      <w:overflowPunct w:val="0"/>
      <w:autoSpaceDE w:val="0"/>
      <w:autoSpaceDN w:val="0"/>
      <w:adjustRightInd w:val="0"/>
    </w:pPr>
    <w:rPr>
      <w:sz w:val="24"/>
    </w:rPr>
  </w:style>
  <w:style w:type="paragraph" w:customStyle="1" w:styleId="110">
    <w:name w:val="Char Char2"/>
    <w:basedOn w:val="1"/>
    <w:autoRedefine/>
    <w:qFormat/>
    <w:uiPriority w:val="0"/>
    <w:pPr>
      <w:widowControl w:val="0"/>
      <w:jc w:val="both"/>
    </w:pPr>
    <w:rPr>
      <w:rFonts w:ascii="Tahoma" w:hAnsi="Tahoma"/>
      <w:kern w:val="2"/>
      <w:sz w:val="24"/>
    </w:rPr>
  </w:style>
  <w:style w:type="paragraph" w:customStyle="1" w:styleId="111">
    <w:name w:val="reader-word-layer reader-word-s16-12"/>
    <w:basedOn w:val="1"/>
    <w:autoRedefine/>
    <w:qFormat/>
    <w:uiPriority w:val="0"/>
    <w:pPr>
      <w:spacing w:before="100" w:beforeAutospacing="1" w:after="100" w:afterAutospacing="1"/>
    </w:pPr>
    <w:rPr>
      <w:rFonts w:ascii="宋体" w:hAnsi="宋体" w:cs="宋体"/>
      <w:sz w:val="24"/>
      <w:szCs w:val="24"/>
    </w:rPr>
  </w:style>
  <w:style w:type="paragraph" w:customStyle="1" w:styleId="112">
    <w:name w:val="reader-word-layer reader-word-s16-9"/>
    <w:basedOn w:val="1"/>
    <w:autoRedefine/>
    <w:qFormat/>
    <w:uiPriority w:val="0"/>
    <w:pPr>
      <w:spacing w:before="100" w:beforeAutospacing="1" w:after="100" w:afterAutospacing="1"/>
    </w:pPr>
    <w:rPr>
      <w:rFonts w:ascii="宋体" w:hAnsi="宋体" w:cs="宋体"/>
      <w:sz w:val="24"/>
      <w:szCs w:val="24"/>
    </w:rPr>
  </w:style>
  <w:style w:type="paragraph" w:customStyle="1" w:styleId="113">
    <w:name w:val="Char1 Char Char Char"/>
    <w:basedOn w:val="1"/>
    <w:autoRedefine/>
    <w:qFormat/>
    <w:uiPriority w:val="0"/>
    <w:pPr>
      <w:widowControl w:val="0"/>
      <w:jc w:val="both"/>
    </w:pPr>
    <w:rPr>
      <w:kern w:val="2"/>
      <w:sz w:val="21"/>
      <w:szCs w:val="24"/>
    </w:rPr>
  </w:style>
  <w:style w:type="paragraph" w:customStyle="1" w:styleId="114">
    <w:name w:val="默认段落字体 Para Char Char Char Char"/>
    <w:basedOn w:val="1"/>
    <w:autoRedefine/>
    <w:qFormat/>
    <w:uiPriority w:val="0"/>
    <w:pPr>
      <w:widowControl w:val="0"/>
      <w:jc w:val="both"/>
    </w:pPr>
    <w:rPr>
      <w:kern w:val="2"/>
      <w:sz w:val="21"/>
      <w:szCs w:val="24"/>
    </w:rPr>
  </w:style>
  <w:style w:type="paragraph" w:customStyle="1" w:styleId="115">
    <w:name w:val="?¡ì?¡ì?¡§¡è?¡ìo????¡§¡è?:1"/>
    <w:basedOn w:val="1"/>
    <w:autoRedefine/>
    <w:qFormat/>
    <w:uiPriority w:val="0"/>
    <w:pPr>
      <w:overflowPunct w:val="0"/>
      <w:autoSpaceDE w:val="0"/>
      <w:autoSpaceDN w:val="0"/>
      <w:adjustRightInd w:val="0"/>
    </w:pPr>
    <w:rPr>
      <w:sz w:val="24"/>
    </w:rPr>
  </w:style>
  <w:style w:type="paragraph" w:customStyle="1" w:styleId="116">
    <w:name w:val="默认段落字体 Para Char"/>
    <w:basedOn w:val="1"/>
    <w:autoRedefine/>
    <w:qFormat/>
    <w:uiPriority w:val="0"/>
    <w:pPr>
      <w:widowControl w:val="0"/>
      <w:jc w:val="both"/>
    </w:pPr>
    <w:rPr>
      <w:kern w:val="2"/>
      <w:sz w:val="21"/>
      <w:szCs w:val="24"/>
    </w:rPr>
  </w:style>
  <w:style w:type="paragraph" w:customStyle="1" w:styleId="117">
    <w:name w:val="表格02"/>
    <w:basedOn w:val="1"/>
    <w:autoRedefine/>
    <w:qFormat/>
    <w:uiPriority w:val="0"/>
    <w:pPr>
      <w:widowControl w:val="0"/>
      <w:adjustRightInd w:val="0"/>
      <w:snapToGrid w:val="0"/>
      <w:spacing w:line="400" w:lineRule="exact"/>
      <w:jc w:val="center"/>
      <w:textAlignment w:val="baseline"/>
    </w:pPr>
    <w:rPr>
      <w:snapToGrid w:val="0"/>
      <w:sz w:val="24"/>
      <w:szCs w:val="24"/>
      <w:lang w:val="en-GB"/>
    </w:rPr>
  </w:style>
  <w:style w:type="paragraph" w:customStyle="1" w:styleId="118">
    <w:name w:val="reader-word-layer reader-word-s16-17"/>
    <w:basedOn w:val="1"/>
    <w:autoRedefine/>
    <w:qFormat/>
    <w:uiPriority w:val="0"/>
    <w:pPr>
      <w:spacing w:before="100" w:beforeAutospacing="1" w:after="100" w:afterAutospacing="1"/>
    </w:pPr>
    <w:rPr>
      <w:rFonts w:ascii="宋体" w:hAnsi="宋体" w:cs="宋体"/>
      <w:sz w:val="24"/>
      <w:szCs w:val="24"/>
    </w:rPr>
  </w:style>
  <w:style w:type="paragraph" w:customStyle="1" w:styleId="119">
    <w:name w:val="CM22"/>
    <w:basedOn w:val="1"/>
    <w:next w:val="1"/>
    <w:autoRedefine/>
    <w:qFormat/>
    <w:uiPriority w:val="0"/>
    <w:pPr>
      <w:widowControl w:val="0"/>
      <w:autoSpaceDE w:val="0"/>
      <w:autoSpaceDN w:val="0"/>
      <w:adjustRightInd w:val="0"/>
      <w:spacing w:after="310"/>
    </w:pPr>
    <w:rPr>
      <w:rFonts w:ascii="宋体"/>
      <w:sz w:val="24"/>
      <w:szCs w:val="24"/>
    </w:rPr>
  </w:style>
  <w:style w:type="paragraph" w:customStyle="1" w:styleId="120">
    <w:name w:val="reader-word-layer reader-word-s16-11"/>
    <w:basedOn w:val="1"/>
    <w:autoRedefine/>
    <w:qFormat/>
    <w:uiPriority w:val="0"/>
    <w:pPr>
      <w:spacing w:before="100" w:beforeAutospacing="1" w:after="100" w:afterAutospacing="1"/>
    </w:pPr>
    <w:rPr>
      <w:rFonts w:ascii="宋体" w:hAnsi="宋体" w:cs="宋体"/>
      <w:sz w:val="24"/>
      <w:szCs w:val="24"/>
    </w:rPr>
  </w:style>
  <w:style w:type="paragraph" w:customStyle="1" w:styleId="121">
    <w:name w:val="È±Ê¡ÎÄ±¾:1:1"/>
    <w:basedOn w:val="1"/>
    <w:autoRedefine/>
    <w:qFormat/>
    <w:uiPriority w:val="0"/>
    <w:pPr>
      <w:overflowPunct w:val="0"/>
      <w:autoSpaceDE w:val="0"/>
      <w:autoSpaceDN w:val="0"/>
      <w:adjustRightInd w:val="0"/>
      <w:textAlignment w:val="baseline"/>
    </w:pPr>
    <w:rPr>
      <w:sz w:val="24"/>
    </w:rPr>
  </w:style>
  <w:style w:type="paragraph" w:customStyle="1" w:styleId="122">
    <w:name w:val="样式1"/>
    <w:basedOn w:val="1"/>
    <w:autoRedefine/>
    <w:qFormat/>
    <w:uiPriority w:val="0"/>
    <w:pPr>
      <w:widowControl w:val="0"/>
      <w:spacing w:before="120" w:after="120" w:line="300" w:lineRule="auto"/>
      <w:jc w:val="both"/>
    </w:pPr>
    <w:rPr>
      <w:rFonts w:ascii="宋体" w:hAnsi="宋体"/>
      <w:b/>
      <w:kern w:val="2"/>
      <w:sz w:val="24"/>
    </w:rPr>
  </w:style>
  <w:style w:type="paragraph" w:customStyle="1" w:styleId="123">
    <w:name w:val="_Style 17"/>
    <w:basedOn w:val="1"/>
    <w:next w:val="38"/>
    <w:autoRedefine/>
    <w:qFormat/>
    <w:uiPriority w:val="0"/>
    <w:pPr>
      <w:spacing w:before="100" w:beforeAutospacing="1" w:after="100" w:afterAutospacing="1"/>
    </w:pPr>
    <w:rPr>
      <w:rFonts w:ascii="宋体" w:hAnsi="宋体" w:cs="黑体"/>
      <w:sz w:val="24"/>
      <w:szCs w:val="24"/>
    </w:rPr>
  </w:style>
  <w:style w:type="paragraph" w:customStyle="1" w:styleId="124">
    <w:name w:val="Char Char Char Char1"/>
    <w:basedOn w:val="1"/>
    <w:autoRedefine/>
    <w:qFormat/>
    <w:uiPriority w:val="0"/>
    <w:pPr>
      <w:widowControl w:val="0"/>
      <w:jc w:val="both"/>
    </w:pPr>
    <w:rPr>
      <w:rFonts w:ascii="Tahoma" w:hAnsi="Tahoma"/>
      <w:kern w:val="2"/>
      <w:sz w:val="24"/>
    </w:rPr>
  </w:style>
  <w:style w:type="paragraph" w:customStyle="1" w:styleId="125">
    <w:name w:val="reader-word-layer reader-word-s16-7"/>
    <w:basedOn w:val="1"/>
    <w:autoRedefine/>
    <w:qFormat/>
    <w:uiPriority w:val="0"/>
    <w:pPr>
      <w:spacing w:before="100" w:beforeAutospacing="1" w:after="100" w:afterAutospacing="1"/>
    </w:pPr>
    <w:rPr>
      <w:rFonts w:ascii="宋体" w:hAnsi="宋体" w:cs="宋体"/>
      <w:sz w:val="24"/>
      <w:szCs w:val="24"/>
    </w:rPr>
  </w:style>
  <w:style w:type="paragraph" w:customStyle="1" w:styleId="126">
    <w:name w:val="正文文本缩进8"/>
    <w:basedOn w:val="1"/>
    <w:autoRedefine/>
    <w:qFormat/>
    <w:uiPriority w:val="0"/>
    <w:pPr>
      <w:widowControl w:val="0"/>
      <w:ind w:firstLine="560" w:firstLineChars="200"/>
      <w:jc w:val="both"/>
    </w:pPr>
    <w:rPr>
      <w:kern w:val="2"/>
      <w:sz w:val="28"/>
      <w:szCs w:val="28"/>
    </w:rPr>
  </w:style>
  <w:style w:type="paragraph" w:customStyle="1" w:styleId="127">
    <w:name w:val="_Style 110"/>
    <w:basedOn w:val="1"/>
    <w:next w:val="95"/>
    <w:autoRedefine/>
    <w:qFormat/>
    <w:uiPriority w:val="34"/>
    <w:pPr>
      <w:widowControl w:val="0"/>
      <w:ind w:firstLine="420" w:firstLineChars="200"/>
      <w:jc w:val="both"/>
    </w:pPr>
    <w:rPr>
      <w:kern w:val="2"/>
      <w:sz w:val="21"/>
    </w:rPr>
  </w:style>
  <w:style w:type="character" w:customStyle="1" w:styleId="128">
    <w:name w:val="页脚 Char"/>
    <w:link w:val="129"/>
    <w:autoRedefine/>
    <w:qFormat/>
    <w:uiPriority w:val="0"/>
    <w:rPr>
      <w:sz w:val="18"/>
    </w:rPr>
  </w:style>
  <w:style w:type="paragraph" w:customStyle="1" w:styleId="129">
    <w:name w:val="页脚1"/>
    <w:basedOn w:val="1"/>
    <w:link w:val="128"/>
    <w:autoRedefine/>
    <w:qFormat/>
    <w:uiPriority w:val="0"/>
    <w:pPr>
      <w:widowControl w:val="0"/>
      <w:tabs>
        <w:tab w:val="center" w:pos="4153"/>
        <w:tab w:val="right" w:pos="8306"/>
      </w:tabs>
      <w:snapToGrid w:val="0"/>
    </w:pPr>
    <w:rPr>
      <w:sz w:val="18"/>
    </w:rPr>
  </w:style>
  <w:style w:type="paragraph" w:customStyle="1" w:styleId="130">
    <w:name w:val="页眉1"/>
    <w:basedOn w:val="1"/>
    <w:autoRedefine/>
    <w:qFormat/>
    <w:uiPriority w:val="0"/>
    <w:pPr>
      <w:widowControl w:val="0"/>
      <w:pBdr>
        <w:bottom w:val="single" w:color="auto" w:sz="6" w:space="1"/>
      </w:pBdr>
      <w:tabs>
        <w:tab w:val="center" w:pos="4153"/>
        <w:tab w:val="right" w:pos="8306"/>
      </w:tabs>
      <w:snapToGrid w:val="0"/>
      <w:jc w:val="center"/>
    </w:pPr>
    <w:rPr>
      <w:kern w:val="2"/>
      <w:sz w:val="21"/>
    </w:rPr>
  </w:style>
  <w:style w:type="paragraph" w:customStyle="1" w:styleId="131">
    <w:name w:val="页眉11"/>
    <w:basedOn w:val="1"/>
    <w:autoRedefine/>
    <w:qFormat/>
    <w:uiPriority w:val="0"/>
    <w:pPr>
      <w:widowControl w:val="0"/>
      <w:pBdr>
        <w:bottom w:val="single" w:color="auto" w:sz="6" w:space="1"/>
      </w:pBdr>
      <w:tabs>
        <w:tab w:val="center" w:pos="4153"/>
        <w:tab w:val="right" w:pos="8306"/>
      </w:tabs>
      <w:snapToGrid w:val="0"/>
      <w:jc w:val="center"/>
    </w:pPr>
    <w:rPr>
      <w:kern w:val="2"/>
      <w:sz w:val="21"/>
    </w:rPr>
  </w:style>
  <w:style w:type="paragraph" w:customStyle="1" w:styleId="132">
    <w:name w:val="正文缩进1"/>
    <w:basedOn w:val="1"/>
    <w:autoRedefine/>
    <w:qFormat/>
    <w:uiPriority w:val="0"/>
    <w:pPr>
      <w:ind w:firstLine="420"/>
      <w:jc w:val="center"/>
    </w:pPr>
    <w:rPr>
      <w:b/>
      <w:sz w:val="44"/>
    </w:rPr>
  </w:style>
  <w:style w:type="paragraph" w:styleId="133">
    <w:name w:val="No Spacing"/>
    <w:autoRedefine/>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4">
    <w:name w:val="列出段落1"/>
    <w:basedOn w:val="1"/>
    <w:autoRedefine/>
    <w:qFormat/>
    <w:uiPriority w:val="0"/>
    <w:pPr>
      <w:widowControl w:val="0"/>
      <w:ind w:firstLine="420"/>
      <w:jc w:val="both"/>
    </w:pPr>
    <w:rPr>
      <w:kern w:val="2"/>
      <w:sz w:val="21"/>
    </w:rPr>
  </w:style>
  <w:style w:type="character" w:customStyle="1" w:styleId="135">
    <w:name w:val="p0 Char"/>
    <w:link w:val="136"/>
    <w:autoRedefine/>
    <w:qFormat/>
    <w:locked/>
    <w:uiPriority w:val="0"/>
    <w:rPr>
      <w:sz w:val="21"/>
      <w:szCs w:val="21"/>
    </w:rPr>
  </w:style>
  <w:style w:type="paragraph" w:customStyle="1" w:styleId="136">
    <w:name w:val="p0"/>
    <w:basedOn w:val="1"/>
    <w:link w:val="135"/>
    <w:autoRedefine/>
    <w:qFormat/>
    <w:uiPriority w:val="0"/>
    <w:pPr>
      <w:jc w:val="both"/>
    </w:pPr>
    <w:rPr>
      <w:rFonts w:eastAsia="微软雅黑" w:asciiTheme="minorHAnsi" w:hAnsiTheme="minorHAnsi" w:cstheme="minorBidi"/>
      <w:sz w:val="21"/>
      <w:szCs w:val="21"/>
    </w:rPr>
  </w:style>
  <w:style w:type="paragraph" w:customStyle="1" w:styleId="137">
    <w:name w:val="正文缩进2格"/>
    <w:basedOn w:val="1"/>
    <w:link w:val="138"/>
    <w:autoRedefine/>
    <w:qFormat/>
    <w:uiPriority w:val="0"/>
    <w:pPr>
      <w:widowControl w:val="0"/>
      <w:spacing w:line="600" w:lineRule="exact"/>
      <w:ind w:firstLine="639" w:firstLineChars="206"/>
      <w:jc w:val="both"/>
    </w:pPr>
    <w:rPr>
      <w:rFonts w:ascii="仿宋_GB2312" w:hAnsi="宋体" w:eastAsia="仿宋_GB2312"/>
      <w:kern w:val="2"/>
      <w:sz w:val="31"/>
      <w:szCs w:val="28"/>
    </w:rPr>
  </w:style>
  <w:style w:type="character" w:customStyle="1" w:styleId="138">
    <w:name w:val="正文缩进2格 Char"/>
    <w:link w:val="137"/>
    <w:autoRedefine/>
    <w:qFormat/>
    <w:uiPriority w:val="0"/>
    <w:rPr>
      <w:rFonts w:ascii="仿宋_GB2312" w:hAnsi="宋体" w:eastAsia="仿宋_GB2312" w:cs="Times New Roman"/>
      <w:kern w:val="2"/>
      <w:sz w:val="31"/>
      <w:szCs w:val="28"/>
    </w:rPr>
  </w:style>
  <w:style w:type="character" w:customStyle="1" w:styleId="139">
    <w:name w:val="列表段落 字符"/>
    <w:link w:val="95"/>
    <w:autoRedefine/>
    <w:qFormat/>
    <w:uiPriority w:val="0"/>
    <w:rPr>
      <w:rFonts w:ascii="Calibri" w:hAnsi="Calibri" w:eastAsia="宋体" w:cs="Times New Roman"/>
      <w:kern w:val="2"/>
      <w:sz w:val="21"/>
      <w:szCs w:val="22"/>
    </w:rPr>
  </w:style>
  <w:style w:type="character" w:customStyle="1" w:styleId="140">
    <w:name w:val="批注文字 字符"/>
    <w:basedOn w:val="46"/>
    <w:link w:val="14"/>
    <w:autoRedefine/>
    <w:semiHidden/>
    <w:qFormat/>
    <w:uiPriority w:val="0"/>
    <w:rPr>
      <w:rFonts w:ascii="Times New Roman" w:hAnsi="Times New Roman" w:eastAsia="宋体" w:cs="Times New Roman"/>
    </w:rPr>
  </w:style>
  <w:style w:type="character" w:customStyle="1" w:styleId="141">
    <w:name w:val="批注主题 字符"/>
    <w:basedOn w:val="140"/>
    <w:link w:val="41"/>
    <w:autoRedefine/>
    <w:semiHidden/>
    <w:qFormat/>
    <w:uiPriority w:val="0"/>
    <w:rPr>
      <w:rFonts w:ascii="Times New Roman" w:hAnsi="Times New Roman" w:eastAsia="宋体" w:cs="Times New Roman"/>
      <w:b/>
      <w:bCs/>
    </w:rPr>
  </w:style>
  <w:style w:type="paragraph" w:customStyle="1" w:styleId="142">
    <w:name w:val="修订1"/>
    <w:autoRedefine/>
    <w:hidden/>
    <w:semiHidden/>
    <w:qFormat/>
    <w:uiPriority w:val="99"/>
    <w:rPr>
      <w:rFonts w:ascii="Times New Roman" w:hAnsi="Times New Roman" w:eastAsia="宋体" w:cs="Times New Roman"/>
      <w:lang w:val="en-US" w:eastAsia="zh-CN" w:bidi="ar-SA"/>
    </w:rPr>
  </w:style>
  <w:style w:type="character" w:customStyle="1" w:styleId="143">
    <w:name w:val="layui-layer-tabnow"/>
    <w:basedOn w:val="46"/>
    <w:autoRedefine/>
    <w:qFormat/>
    <w:uiPriority w:val="0"/>
    <w:rPr>
      <w:bdr w:val="single" w:color="CCCCCC" w:sz="6" w:space="0"/>
      <w:shd w:val="clear" w:color="auto" w:fill="FFFFFF"/>
    </w:rPr>
  </w:style>
  <w:style w:type="character" w:customStyle="1" w:styleId="144">
    <w:name w:val="first-child"/>
    <w:basedOn w:val="46"/>
    <w:autoRedefine/>
    <w:qFormat/>
    <w:uiPriority w:val="0"/>
  </w:style>
  <w:style w:type="character" w:customStyle="1" w:styleId="145">
    <w:name w:val="mini-outputtext1"/>
    <w:basedOn w:val="46"/>
    <w:autoRedefine/>
    <w:qFormat/>
    <w:uiPriority w:val="0"/>
  </w:style>
  <w:style w:type="character" w:customStyle="1" w:styleId="146">
    <w:name w:val="font61"/>
    <w:basedOn w:val="46"/>
    <w:autoRedefine/>
    <w:qFormat/>
    <w:uiPriority w:val="0"/>
    <w:rPr>
      <w:rFonts w:hint="eastAsia" w:ascii="宋体" w:hAnsi="宋体" w:eastAsia="宋体" w:cs="宋体"/>
      <w:color w:val="000000"/>
      <w:sz w:val="20"/>
      <w:szCs w:val="20"/>
      <w:u w:val="none"/>
    </w:rPr>
  </w:style>
  <w:style w:type="character" w:customStyle="1" w:styleId="147">
    <w:name w:val="font81"/>
    <w:basedOn w:val="46"/>
    <w:autoRedefine/>
    <w:qFormat/>
    <w:uiPriority w:val="0"/>
    <w:rPr>
      <w:rFonts w:hint="default" w:ascii="Times New Roman" w:hAnsi="Times New Roman" w:cs="Times New Roman"/>
      <w:color w:val="000000"/>
      <w:sz w:val="20"/>
      <w:szCs w:val="20"/>
      <w:u w:val="none"/>
    </w:rPr>
  </w:style>
  <w:style w:type="character" w:customStyle="1" w:styleId="148">
    <w:name w:val="font91"/>
    <w:basedOn w:val="46"/>
    <w:autoRedefine/>
    <w:qFormat/>
    <w:uiPriority w:val="0"/>
    <w:rPr>
      <w:rFonts w:hint="eastAsia" w:ascii="宋体" w:hAnsi="宋体" w:eastAsia="宋体" w:cs="宋体"/>
      <w:color w:val="000000"/>
      <w:sz w:val="20"/>
      <w:szCs w:val="20"/>
      <w:u w:val="none"/>
    </w:rPr>
  </w:style>
  <w:style w:type="character" w:customStyle="1" w:styleId="149">
    <w:name w:val="font41"/>
    <w:basedOn w:val="46"/>
    <w:autoRedefine/>
    <w:qFormat/>
    <w:uiPriority w:val="0"/>
    <w:rPr>
      <w:rFonts w:hint="default" w:ascii="Times New Roman" w:hAnsi="Times New Roman" w:cs="Times New Roman"/>
      <w:color w:val="000000"/>
      <w:sz w:val="20"/>
      <w:szCs w:val="20"/>
      <w:u w:val="none"/>
    </w:rPr>
  </w:style>
  <w:style w:type="character" w:customStyle="1" w:styleId="150">
    <w:name w:val="font21"/>
    <w:basedOn w:val="46"/>
    <w:autoRedefine/>
    <w:qFormat/>
    <w:uiPriority w:val="0"/>
    <w:rPr>
      <w:rFonts w:hint="eastAsia" w:ascii="宋体" w:hAnsi="宋体" w:eastAsia="宋体" w:cs="宋体"/>
      <w:color w:val="000000"/>
      <w:sz w:val="20"/>
      <w:szCs w:val="20"/>
      <w:u w:val="none"/>
    </w:rPr>
  </w:style>
  <w:style w:type="character" w:customStyle="1" w:styleId="151">
    <w:name w:val="font101"/>
    <w:basedOn w:val="46"/>
    <w:autoRedefine/>
    <w:qFormat/>
    <w:uiPriority w:val="0"/>
    <w:rPr>
      <w:rFonts w:hint="eastAsia" w:ascii="宋体" w:hAnsi="宋体" w:eastAsia="宋体" w:cs="宋体"/>
      <w:b/>
      <w:bCs/>
      <w:color w:val="000000"/>
      <w:sz w:val="20"/>
      <w:szCs w:val="20"/>
      <w:u w:val="none"/>
    </w:rPr>
  </w:style>
  <w:style w:type="character" w:customStyle="1" w:styleId="152">
    <w:name w:val="font51"/>
    <w:basedOn w:val="46"/>
    <w:autoRedefine/>
    <w:qFormat/>
    <w:uiPriority w:val="0"/>
    <w:rPr>
      <w:rFonts w:hint="default" w:ascii="Times New Roman" w:hAnsi="Times New Roman" w:cs="Times New Roman"/>
      <w:color w:val="000000"/>
      <w:sz w:val="20"/>
      <w:szCs w:val="20"/>
      <w:u w:val="none"/>
    </w:rPr>
  </w:style>
  <w:style w:type="character" w:customStyle="1" w:styleId="153">
    <w:name w:val="font112"/>
    <w:basedOn w:val="46"/>
    <w:autoRedefine/>
    <w:qFormat/>
    <w:uiPriority w:val="0"/>
    <w:rPr>
      <w:rFonts w:hint="default" w:ascii="Times New Roman" w:hAnsi="Times New Roman" w:cs="Times New Roman"/>
      <w:color w:val="000000"/>
      <w:sz w:val="20"/>
      <w:szCs w:val="20"/>
      <w:u w:val="none"/>
    </w:rPr>
  </w:style>
  <w:style w:type="character" w:customStyle="1" w:styleId="154">
    <w:name w:val="font121"/>
    <w:basedOn w:val="46"/>
    <w:autoRedefine/>
    <w:qFormat/>
    <w:uiPriority w:val="0"/>
    <w:rPr>
      <w:rFonts w:ascii="Wingdings 2" w:hAnsi="Wingdings 2" w:eastAsia="Wingdings 2" w:cs="Wingdings 2"/>
      <w:color w:val="000000"/>
      <w:sz w:val="20"/>
      <w:szCs w:val="20"/>
      <w:u w:val="none"/>
    </w:rPr>
  </w:style>
  <w:style w:type="paragraph" w:customStyle="1" w:styleId="155">
    <w:name w:val="Normal_1"/>
    <w:next w:val="1"/>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156">
    <w:name w:val="Table Text"/>
    <w:basedOn w:val="1"/>
    <w:autoRedefine/>
    <w:semiHidden/>
    <w:qFormat/>
    <w:uiPriority w:val="0"/>
    <w:rPr>
      <w:rFonts w:ascii="仿宋" w:hAnsi="仿宋" w:eastAsia="仿宋" w:cs="仿宋"/>
      <w:sz w:val="24"/>
      <w:szCs w:val="24"/>
      <w:lang w:val="en-US" w:eastAsia="en-US" w:bidi="ar-SA"/>
    </w:rPr>
  </w:style>
  <w:style w:type="table" w:customStyle="1" w:styleId="157">
    <w:name w:val="Table Normal"/>
    <w:autoRedefine/>
    <w:semiHidden/>
    <w:unhideWhenUsed/>
    <w:qFormat/>
    <w:uiPriority w:val="0"/>
    <w:tblPr>
      <w:tblCellMar>
        <w:top w:w="0" w:type="dxa"/>
        <w:left w:w="0" w:type="dxa"/>
        <w:bottom w:w="0" w:type="dxa"/>
        <w:right w:w="0" w:type="dxa"/>
      </w:tblCellMar>
    </w:tblPr>
  </w:style>
  <w:style w:type="paragraph" w:customStyle="1" w:styleId="158">
    <w:name w:val=" Char"/>
    <w:basedOn w:val="1"/>
    <w:autoRedefine/>
    <w:semiHidden/>
    <w:qFormat/>
    <w:uiPriority w:val="0"/>
    <w:rPr>
      <w:rFonts w:ascii="Tahoma" w:hAnsi="Tahoma" w:cs="仿宋_GB2312"/>
      <w:sz w:val="24"/>
      <w:szCs w:val="28"/>
    </w:rPr>
  </w:style>
  <w:style w:type="paragraph" w:customStyle="1" w:styleId="159">
    <w:name w:val="newstyle16"/>
    <w:basedOn w:val="1"/>
    <w:autoRedefine/>
    <w:qFormat/>
    <w:uiPriority w:val="0"/>
    <w:pPr>
      <w:keepNext w:val="0"/>
      <w:keepLines w:val="0"/>
      <w:widowControl/>
      <w:suppressLineNumbers w:val="0"/>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character" w:customStyle="1" w:styleId="160">
    <w:name w:val="NormalCharacter"/>
    <w:qFormat/>
    <w:uiPriority w:val="0"/>
  </w:style>
  <w:style w:type="paragraph" w:customStyle="1" w:styleId="161">
    <w:name w:val="AONormal"/>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414221-409A-4AB9-BB29-0F30BE72A733}">
  <ds:schemaRefs/>
</ds:datastoreItem>
</file>

<file path=docProps/app.xml><?xml version="1.0" encoding="utf-8"?>
<Properties xmlns="http://schemas.openxmlformats.org/officeDocument/2006/extended-properties" xmlns:vt="http://schemas.openxmlformats.org/officeDocument/2006/docPropsVTypes">
  <Template>Normal</Template>
  <Company>中恒一信项目管理咨询有限公司</Company>
  <Pages>54</Pages>
  <Words>1732</Words>
  <Characters>2072</Characters>
  <Lines>403</Lines>
  <Paragraphs>113</Paragraphs>
  <TotalTime>38</TotalTime>
  <ScaleCrop>false</ScaleCrop>
  <LinksUpToDate>false</LinksUpToDate>
  <CharactersWithSpaces>2159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2020-12-07T00:11:00Z</dcterms:created>
  <dc:creator>赵明</dc:creator>
  <cp:lastModifiedBy>1</cp:lastModifiedBy>
  <cp:lastPrinted>2022-12-28T02:12:00Z</cp:lastPrinted>
  <dcterms:modified xsi:type="dcterms:W3CDTF">2026-08-04T06:57:02Z</dcterms:modified>
  <dc:title>招标文件</dc:title>
  <cp:revision>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48953D5C93CC4D59A25418906EFD6F2C_13</vt:lpwstr>
  </property>
  <property fmtid="{D5CDD505-2E9C-101B-9397-08002B2CF9AE}" pid="4" name="KSOTemplateDocerSaveRecord">
    <vt:lpwstr>eyJoZGlkIjoiMjQ0MjFjM2QzMzA2YTExZTZhNjJkZjg5NjdmNTBiMDciLCJ1c2VySWQiOiIxMDc5MDU5MjI1In0=</vt:lpwstr>
  </property>
</Properties>
</file>