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134C1">
      <w:pPr>
        <w:keepNext w:val="0"/>
        <w:keepLines w:val="0"/>
        <w:pageBreakBefore w:val="0"/>
        <w:widowControl w:val="0"/>
        <w:tabs>
          <w:tab w:val="center" w:pos="4592"/>
          <w:tab w:val="left" w:pos="5921"/>
        </w:tabs>
        <w:kinsoku/>
        <w:wordWrap w:val="0"/>
        <w:overflowPunct w:val="0"/>
        <w:topLinePunct w:val="0"/>
        <w:autoSpaceDE/>
        <w:autoSpaceDN/>
        <w:bidi w:val="0"/>
        <w:adjustRightInd/>
        <w:snapToGrid/>
        <w:spacing w:line="360" w:lineRule="auto"/>
        <w:jc w:val="both"/>
        <w:textAlignment w:val="auto"/>
        <w:rPr>
          <w:rFonts w:hint="eastAsia" w:ascii="宋体" w:hAnsi="宋体" w:eastAsia="宋体" w:cs="宋体"/>
          <w:b/>
          <w:bCs/>
          <w:color w:val="auto"/>
          <w:sz w:val="56"/>
          <w:szCs w:val="56"/>
          <w:lang w:eastAsia="zh-CN"/>
        </w:rPr>
      </w:pPr>
      <w:r>
        <w:rPr>
          <w:rFonts w:hint="eastAsia" w:ascii="宋体" w:hAnsi="宋体" w:eastAsia="宋体" w:cs="宋体"/>
          <w:color w:val="auto"/>
          <w:highlight w:val="none"/>
          <w:lang w:eastAsia="zh-CN"/>
        </w:rPr>
        <w:drawing>
          <wp:inline distT="0" distB="0" distL="114300" distR="114300">
            <wp:extent cx="1099185" cy="1024890"/>
            <wp:effectExtent l="0" t="0" r="5715" b="3810"/>
            <wp:docPr id="6" name="图片 6" descr="ad1e92c5fca08bf8a1df4bd99a0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d1e92c5fca08bf8a1df4bd99a05836"/>
                    <pic:cNvPicPr>
                      <a:picLocks noChangeAspect="1"/>
                    </pic:cNvPicPr>
                  </pic:nvPicPr>
                  <pic:blipFill>
                    <a:blip r:embed="rId10"/>
                    <a:stretch>
                      <a:fillRect/>
                    </a:stretch>
                  </pic:blipFill>
                  <pic:spPr>
                    <a:xfrm>
                      <a:off x="0" y="0"/>
                      <a:ext cx="1099185" cy="1024890"/>
                    </a:xfrm>
                    <a:prstGeom prst="rect">
                      <a:avLst/>
                    </a:prstGeom>
                    <a:noFill/>
                    <a:ln>
                      <a:noFill/>
                    </a:ln>
                  </pic:spPr>
                </pic:pic>
              </a:graphicData>
            </a:graphic>
          </wp:inline>
        </w:drawing>
      </w:r>
    </w:p>
    <w:p w14:paraId="7E0D43C3">
      <w:pPr>
        <w:pStyle w:val="6"/>
        <w:pageBreakBefore w:val="0"/>
        <w:kinsoku/>
        <w:wordWrap w:val="0"/>
        <w:overflowPunct w:val="0"/>
        <w:topLinePunct w:val="0"/>
        <w:bidi w:val="0"/>
        <w:rPr>
          <w:rFonts w:hint="eastAsia" w:ascii="宋体" w:hAnsi="宋体" w:eastAsia="宋体" w:cs="宋体"/>
          <w:lang w:eastAsia="zh-CN"/>
        </w:rPr>
      </w:pPr>
    </w:p>
    <w:p w14:paraId="1AC08C5B">
      <w:pPr>
        <w:keepNext w:val="0"/>
        <w:keepLines w:val="0"/>
        <w:pageBreakBefore w:val="0"/>
        <w:widowControl w:val="0"/>
        <w:tabs>
          <w:tab w:val="center" w:pos="4592"/>
          <w:tab w:val="left" w:pos="5921"/>
        </w:tabs>
        <w:kinsoku/>
        <w:wordWrap w:val="0"/>
        <w:overflowPunct w:val="0"/>
        <w:topLinePunct w:val="0"/>
        <w:autoSpaceDE/>
        <w:autoSpaceDN/>
        <w:bidi w:val="0"/>
        <w:adjustRightInd/>
        <w:snapToGrid/>
        <w:spacing w:line="360" w:lineRule="auto"/>
        <w:jc w:val="center"/>
        <w:textAlignment w:val="auto"/>
        <w:rPr>
          <w:rFonts w:hint="eastAsia" w:ascii="宋体" w:hAnsi="宋体" w:eastAsia="宋体" w:cs="宋体"/>
          <w:b/>
          <w:bCs/>
          <w:color w:val="auto"/>
          <w:sz w:val="56"/>
          <w:szCs w:val="56"/>
          <w:lang w:eastAsia="zh-CN"/>
        </w:rPr>
      </w:pPr>
      <w:r>
        <w:rPr>
          <w:rFonts w:hint="eastAsia" w:ascii="宋体" w:hAnsi="宋体" w:eastAsia="宋体" w:cs="宋体"/>
          <w:b/>
          <w:bCs/>
          <w:color w:val="auto"/>
          <w:sz w:val="56"/>
          <w:szCs w:val="56"/>
          <w:lang w:val="en-US" w:eastAsia="zh-CN"/>
        </w:rPr>
        <w:t>山西省高技能人才培训基地建设项目</w:t>
      </w:r>
    </w:p>
    <w:p w14:paraId="4EF0A2B1">
      <w:pPr>
        <w:pStyle w:val="25"/>
        <w:pageBreakBefore w:val="0"/>
        <w:kinsoku/>
        <w:wordWrap w:val="0"/>
        <w:overflowPunct w:val="0"/>
        <w:topLinePunct w:val="0"/>
        <w:bidi w:val="0"/>
        <w:rPr>
          <w:rFonts w:hint="eastAsia" w:ascii="宋体" w:hAnsi="宋体" w:eastAsia="宋体" w:cs="宋体"/>
          <w:b/>
          <w:bCs/>
          <w:color w:val="auto"/>
          <w:sz w:val="52"/>
          <w:szCs w:val="52"/>
          <w:lang w:eastAsia="zh-CN"/>
        </w:rPr>
      </w:pPr>
    </w:p>
    <w:p w14:paraId="5CEB1143">
      <w:pPr>
        <w:pageBreakBefore w:val="0"/>
        <w:kinsoku/>
        <w:wordWrap w:val="0"/>
        <w:overflowPunct w:val="0"/>
        <w:topLinePunct w:val="0"/>
        <w:bidi w:val="0"/>
        <w:rPr>
          <w:rFonts w:hint="eastAsia" w:ascii="宋体" w:hAnsi="宋体" w:eastAsia="宋体" w:cs="宋体"/>
          <w:color w:val="auto"/>
          <w:lang w:eastAsia="zh-CN"/>
        </w:rPr>
      </w:pPr>
    </w:p>
    <w:p w14:paraId="6AF06748">
      <w:pPr>
        <w:pageBreakBefore w:val="0"/>
        <w:kinsoku/>
        <w:wordWrap w:val="0"/>
        <w:overflowPunct w:val="0"/>
        <w:topLinePunct w:val="0"/>
        <w:bidi w:val="0"/>
        <w:rPr>
          <w:rFonts w:hint="eastAsia" w:ascii="宋体" w:hAnsi="宋体" w:eastAsia="宋体" w:cs="宋体"/>
          <w:color w:val="auto"/>
          <w:lang w:eastAsia="zh-CN"/>
        </w:rPr>
      </w:pPr>
    </w:p>
    <w:p w14:paraId="21988940">
      <w:pPr>
        <w:pageBreakBefore w:val="0"/>
        <w:kinsoku/>
        <w:wordWrap w:val="0"/>
        <w:overflowPunct w:val="0"/>
        <w:topLinePunct w:val="0"/>
        <w:bidi w:val="0"/>
        <w:rPr>
          <w:rFonts w:hint="eastAsia" w:ascii="宋体" w:hAnsi="宋体" w:eastAsia="宋体" w:cs="宋体"/>
          <w:color w:val="auto"/>
          <w:lang w:eastAsia="zh-CN"/>
        </w:rPr>
      </w:pPr>
    </w:p>
    <w:p w14:paraId="506E2C6E">
      <w:pPr>
        <w:pageBreakBefore w:val="0"/>
        <w:kinsoku/>
        <w:wordWrap w:val="0"/>
        <w:overflowPunct w:val="0"/>
        <w:topLinePunct w:val="0"/>
        <w:bidi w:val="0"/>
        <w:rPr>
          <w:rFonts w:hint="eastAsia" w:ascii="宋体" w:hAnsi="宋体" w:eastAsia="宋体" w:cs="宋体"/>
          <w:color w:val="auto"/>
          <w:lang w:eastAsia="zh-CN"/>
        </w:rPr>
      </w:pPr>
    </w:p>
    <w:p w14:paraId="7E60DCCB">
      <w:pPr>
        <w:pageBreakBefore w:val="0"/>
        <w:kinsoku/>
        <w:wordWrap w:val="0"/>
        <w:overflowPunct w:val="0"/>
        <w:topLinePunct w:val="0"/>
        <w:bidi w:val="0"/>
        <w:rPr>
          <w:rFonts w:hint="eastAsia" w:ascii="宋体" w:hAnsi="宋体" w:eastAsia="宋体" w:cs="宋体"/>
          <w:color w:val="auto"/>
          <w:lang w:eastAsia="zh-CN"/>
        </w:rPr>
      </w:pPr>
    </w:p>
    <w:p w14:paraId="5899D053">
      <w:pPr>
        <w:pageBreakBefore w:val="0"/>
        <w:kinsoku/>
        <w:wordWrap w:val="0"/>
        <w:overflowPunct w:val="0"/>
        <w:topLinePunct w:val="0"/>
        <w:bidi w:val="0"/>
        <w:rPr>
          <w:rFonts w:hint="eastAsia" w:ascii="宋体" w:hAnsi="宋体" w:eastAsia="宋体" w:cs="宋体"/>
          <w:color w:val="auto"/>
          <w:lang w:eastAsia="zh-CN"/>
        </w:rPr>
      </w:pPr>
    </w:p>
    <w:p w14:paraId="66F3A304">
      <w:pPr>
        <w:pageBreakBefore w:val="0"/>
        <w:kinsoku/>
        <w:wordWrap w:val="0"/>
        <w:overflowPunct w:val="0"/>
        <w:topLinePunct w:val="0"/>
        <w:bidi w:val="0"/>
        <w:rPr>
          <w:rFonts w:hint="eastAsia" w:ascii="宋体" w:hAnsi="宋体" w:eastAsia="宋体" w:cs="宋体"/>
          <w:color w:val="auto"/>
          <w:lang w:eastAsia="zh-CN"/>
        </w:rPr>
      </w:pPr>
    </w:p>
    <w:p w14:paraId="49D88C5A">
      <w:pPr>
        <w:keepNext w:val="0"/>
        <w:keepLines w:val="0"/>
        <w:pageBreakBefore w:val="0"/>
        <w:widowControl w:val="0"/>
        <w:tabs>
          <w:tab w:val="center" w:pos="4592"/>
          <w:tab w:val="left" w:pos="5921"/>
        </w:tabs>
        <w:kinsoku/>
        <w:wordWrap w:val="0"/>
        <w:overflowPunct w:val="0"/>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lang w:eastAsia="zh-CN"/>
        </w:rPr>
      </w:pPr>
      <w:r>
        <w:rPr>
          <w:rFonts w:hint="eastAsia" w:ascii="宋体" w:hAnsi="宋体" w:eastAsia="宋体" w:cs="宋体"/>
          <w:b/>
          <w:bCs/>
          <w:color w:val="auto"/>
          <w:sz w:val="72"/>
          <w:szCs w:val="72"/>
          <w:lang w:eastAsia="zh-CN"/>
        </w:rPr>
        <w:t>招</w:t>
      </w:r>
      <w:r>
        <w:rPr>
          <w:rFonts w:hint="eastAsia" w:ascii="宋体" w:hAnsi="宋体" w:eastAsia="宋体" w:cs="宋体"/>
          <w:b/>
          <w:bCs/>
          <w:color w:val="auto"/>
          <w:sz w:val="72"/>
          <w:szCs w:val="72"/>
          <w:lang w:val="en-US" w:eastAsia="zh-CN"/>
        </w:rPr>
        <w:t xml:space="preserve"> </w:t>
      </w:r>
      <w:r>
        <w:rPr>
          <w:rFonts w:hint="eastAsia" w:ascii="宋体" w:hAnsi="宋体" w:eastAsia="宋体" w:cs="宋体"/>
          <w:b/>
          <w:bCs/>
          <w:color w:val="auto"/>
          <w:sz w:val="72"/>
          <w:szCs w:val="72"/>
          <w:lang w:eastAsia="zh-CN"/>
        </w:rPr>
        <w:t>标</w:t>
      </w:r>
      <w:r>
        <w:rPr>
          <w:rFonts w:hint="eastAsia" w:ascii="宋体" w:hAnsi="宋体" w:eastAsia="宋体" w:cs="宋体"/>
          <w:b/>
          <w:bCs/>
          <w:color w:val="auto"/>
          <w:sz w:val="72"/>
          <w:szCs w:val="72"/>
          <w:lang w:val="en-US" w:eastAsia="zh-CN"/>
        </w:rPr>
        <w:t xml:space="preserve"> </w:t>
      </w:r>
      <w:r>
        <w:rPr>
          <w:rFonts w:hint="eastAsia" w:ascii="宋体" w:hAnsi="宋体" w:eastAsia="宋体" w:cs="宋体"/>
          <w:b/>
          <w:bCs/>
          <w:color w:val="auto"/>
          <w:sz w:val="72"/>
          <w:szCs w:val="72"/>
          <w:lang w:eastAsia="zh-CN"/>
        </w:rPr>
        <w:t>文</w:t>
      </w:r>
      <w:r>
        <w:rPr>
          <w:rFonts w:hint="eastAsia" w:ascii="宋体" w:hAnsi="宋体" w:eastAsia="宋体" w:cs="宋体"/>
          <w:b/>
          <w:bCs/>
          <w:color w:val="auto"/>
          <w:sz w:val="72"/>
          <w:szCs w:val="72"/>
          <w:lang w:val="en-US" w:eastAsia="zh-CN"/>
        </w:rPr>
        <w:t xml:space="preserve"> </w:t>
      </w:r>
      <w:r>
        <w:rPr>
          <w:rFonts w:hint="eastAsia" w:ascii="宋体" w:hAnsi="宋体" w:eastAsia="宋体" w:cs="宋体"/>
          <w:b/>
          <w:bCs/>
          <w:color w:val="auto"/>
          <w:sz w:val="72"/>
          <w:szCs w:val="72"/>
          <w:lang w:eastAsia="zh-CN"/>
        </w:rPr>
        <w:t>件</w:t>
      </w:r>
      <w:bookmarkStart w:id="130" w:name="_GoBack"/>
      <w:bookmarkEnd w:id="130"/>
    </w:p>
    <w:p w14:paraId="7C703AB8">
      <w:pPr>
        <w:pageBreakBefore w:val="0"/>
        <w:kinsoku/>
        <w:wordWrap w:val="0"/>
        <w:overflowPunct w:val="0"/>
        <w:topLinePunct w:val="0"/>
        <w:bidi w:val="0"/>
        <w:rPr>
          <w:rFonts w:hint="eastAsia" w:ascii="宋体" w:hAnsi="宋体" w:eastAsia="宋体" w:cs="宋体"/>
          <w:color w:val="auto"/>
          <w:lang w:val="en-US" w:eastAsia="zh-CN"/>
        </w:rPr>
      </w:pPr>
    </w:p>
    <w:p w14:paraId="1AF34D16">
      <w:pPr>
        <w:pageBreakBefore w:val="0"/>
        <w:kinsoku/>
        <w:wordWrap w:val="0"/>
        <w:overflowPunct w:val="0"/>
        <w:topLinePunct w:val="0"/>
        <w:bidi w:val="0"/>
        <w:rPr>
          <w:rFonts w:hint="eastAsia" w:ascii="宋体" w:hAnsi="宋体" w:eastAsia="宋体" w:cs="宋体"/>
          <w:b/>
          <w:bCs/>
          <w:color w:val="auto"/>
          <w:sz w:val="52"/>
          <w:szCs w:val="52"/>
          <w:lang w:eastAsia="zh-CN"/>
        </w:rPr>
      </w:pPr>
    </w:p>
    <w:p w14:paraId="3697208A">
      <w:pPr>
        <w:pageBreakBefore w:val="0"/>
        <w:kinsoku/>
        <w:wordWrap w:val="0"/>
        <w:overflowPunct w:val="0"/>
        <w:topLinePunct w:val="0"/>
        <w:bidi w:val="0"/>
        <w:rPr>
          <w:rFonts w:hint="eastAsia" w:ascii="宋体" w:hAnsi="宋体" w:eastAsia="宋体" w:cs="宋体"/>
          <w:color w:val="auto"/>
          <w:lang w:eastAsia="zh-CN"/>
        </w:rPr>
      </w:pPr>
    </w:p>
    <w:p w14:paraId="75CBAF9D">
      <w:pPr>
        <w:pStyle w:val="25"/>
        <w:pageBreakBefore w:val="0"/>
        <w:kinsoku/>
        <w:wordWrap w:val="0"/>
        <w:overflowPunct w:val="0"/>
        <w:topLinePunct w:val="0"/>
        <w:bidi w:val="0"/>
        <w:rPr>
          <w:rFonts w:hint="eastAsia" w:ascii="宋体" w:hAnsi="宋体" w:eastAsia="宋体" w:cs="宋体"/>
          <w:color w:val="auto"/>
          <w:lang w:eastAsia="zh-CN"/>
        </w:rPr>
      </w:pPr>
    </w:p>
    <w:p w14:paraId="7F55FE35">
      <w:pPr>
        <w:pStyle w:val="25"/>
        <w:pageBreakBefore w:val="0"/>
        <w:kinsoku/>
        <w:wordWrap w:val="0"/>
        <w:overflowPunct w:val="0"/>
        <w:topLinePunct w:val="0"/>
        <w:bidi w:val="0"/>
        <w:rPr>
          <w:rFonts w:hint="eastAsia" w:ascii="宋体" w:hAnsi="宋体" w:eastAsia="宋体" w:cs="宋体"/>
          <w:color w:val="auto"/>
          <w:lang w:eastAsia="zh-CN"/>
        </w:rPr>
      </w:pPr>
    </w:p>
    <w:p w14:paraId="0C091C41">
      <w:pPr>
        <w:pageBreakBefore w:val="0"/>
        <w:kinsoku/>
        <w:wordWrap w:val="0"/>
        <w:overflowPunct w:val="0"/>
        <w:topLinePunct w:val="0"/>
        <w:bidi w:val="0"/>
        <w:rPr>
          <w:rFonts w:hint="eastAsia" w:ascii="宋体" w:hAnsi="宋体" w:eastAsia="宋体" w:cs="宋体"/>
          <w:color w:val="auto"/>
          <w:lang w:eastAsia="zh-CN"/>
        </w:rPr>
      </w:pPr>
    </w:p>
    <w:p w14:paraId="49A31164">
      <w:pPr>
        <w:pageBreakBefore w:val="0"/>
        <w:kinsoku/>
        <w:wordWrap w:val="0"/>
        <w:overflowPunct w:val="0"/>
        <w:topLinePunct w:val="0"/>
        <w:bidi w:val="0"/>
        <w:rPr>
          <w:rFonts w:hint="eastAsia" w:ascii="宋体" w:hAnsi="宋体" w:eastAsia="宋体" w:cs="宋体"/>
          <w:color w:val="auto"/>
          <w:lang w:eastAsia="zh-CN"/>
        </w:rPr>
      </w:pPr>
    </w:p>
    <w:p w14:paraId="18177ABB">
      <w:pPr>
        <w:pageBreakBefore w:val="0"/>
        <w:kinsoku/>
        <w:wordWrap w:val="0"/>
        <w:overflowPunct w:val="0"/>
        <w:topLinePunct w:val="0"/>
        <w:bidi w:val="0"/>
        <w:rPr>
          <w:rFonts w:hint="eastAsia" w:ascii="宋体" w:hAnsi="宋体" w:eastAsia="宋体" w:cs="宋体"/>
          <w:color w:val="auto"/>
          <w:lang w:eastAsia="zh-CN"/>
        </w:rPr>
      </w:pPr>
    </w:p>
    <w:p w14:paraId="2305132A">
      <w:pPr>
        <w:pageBreakBefore w:val="0"/>
        <w:kinsoku/>
        <w:wordWrap w:val="0"/>
        <w:overflowPunct w:val="0"/>
        <w:topLinePunct w:val="0"/>
        <w:bidi w:val="0"/>
        <w:rPr>
          <w:rFonts w:hint="eastAsia" w:ascii="宋体" w:hAnsi="宋体" w:eastAsia="宋体" w:cs="宋体"/>
          <w:color w:val="auto"/>
          <w:lang w:eastAsia="zh-CN"/>
        </w:rPr>
      </w:pPr>
    </w:p>
    <w:p w14:paraId="66ACA232">
      <w:pPr>
        <w:pageBreakBefore w:val="0"/>
        <w:kinsoku/>
        <w:wordWrap w:val="0"/>
        <w:overflowPunct w:val="0"/>
        <w:topLinePunct w:val="0"/>
        <w:bidi w:val="0"/>
        <w:jc w:val="center"/>
        <w:rPr>
          <w:rFonts w:hint="eastAsia" w:ascii="宋体" w:hAnsi="宋体" w:eastAsia="宋体" w:cs="宋体"/>
          <w:b/>
          <w:bCs/>
          <w:color w:val="auto"/>
          <w:sz w:val="32"/>
          <w:szCs w:val="40"/>
          <w:lang w:val="en-US" w:eastAsia="zh-CN"/>
        </w:rPr>
      </w:pPr>
    </w:p>
    <w:p w14:paraId="72163C14">
      <w:pPr>
        <w:pageBreakBefore w:val="0"/>
        <w:kinsoku/>
        <w:wordWrap w:val="0"/>
        <w:overflowPunct w:val="0"/>
        <w:topLinePunct w:val="0"/>
        <w:bidi w:val="0"/>
        <w:jc w:val="center"/>
        <w:rPr>
          <w:rFonts w:hint="eastAsia" w:ascii="宋体" w:hAnsi="宋体" w:eastAsia="宋体" w:cs="宋体"/>
          <w:b/>
          <w:bCs/>
          <w:color w:val="auto"/>
          <w:sz w:val="32"/>
          <w:szCs w:val="40"/>
          <w:lang w:val="en-US" w:eastAsia="zh-CN"/>
        </w:rPr>
      </w:pPr>
      <w:r>
        <w:rPr>
          <w:rFonts w:hint="eastAsia" w:ascii="宋体" w:hAnsi="宋体" w:eastAsia="宋体" w:cs="宋体"/>
          <w:b/>
          <w:bCs/>
          <w:color w:val="auto"/>
          <w:sz w:val="32"/>
          <w:szCs w:val="40"/>
          <w:lang w:val="en-US" w:eastAsia="zh-CN"/>
        </w:rPr>
        <w:t>招   标   人：山西新产业技师学院</w:t>
      </w:r>
    </w:p>
    <w:p w14:paraId="7F9B50CE">
      <w:pPr>
        <w:pageBreakBefore w:val="0"/>
        <w:kinsoku/>
        <w:wordWrap w:val="0"/>
        <w:overflowPunct w:val="0"/>
        <w:topLinePunct w:val="0"/>
        <w:bidi w:val="0"/>
        <w:jc w:val="center"/>
        <w:outlineLvl w:val="0"/>
        <w:rPr>
          <w:rFonts w:hint="eastAsia" w:ascii="宋体" w:hAnsi="宋体" w:eastAsia="宋体" w:cs="宋体"/>
          <w:b/>
          <w:bCs/>
          <w:color w:val="auto"/>
          <w:sz w:val="32"/>
          <w:szCs w:val="40"/>
          <w:lang w:eastAsia="zh-CN"/>
        </w:rPr>
      </w:pPr>
      <w:bookmarkStart w:id="0" w:name="_Toc8251"/>
      <w:r>
        <w:rPr>
          <w:rFonts w:hint="eastAsia" w:ascii="宋体" w:hAnsi="宋体" w:eastAsia="宋体" w:cs="宋体"/>
          <w:b/>
          <w:bCs/>
          <w:color w:val="auto"/>
          <w:sz w:val="32"/>
          <w:szCs w:val="40"/>
          <w:lang w:val="en-US" w:eastAsia="zh-CN"/>
        </w:rPr>
        <w:t>招标代理机构：</w:t>
      </w:r>
      <w:bookmarkEnd w:id="0"/>
      <w:r>
        <w:rPr>
          <w:rFonts w:hint="eastAsia" w:ascii="宋体" w:hAnsi="宋体" w:eastAsia="宋体" w:cs="宋体"/>
          <w:b/>
          <w:bCs/>
          <w:color w:val="auto"/>
          <w:sz w:val="32"/>
          <w:szCs w:val="40"/>
          <w:lang w:val="en-US" w:eastAsia="zh-CN"/>
        </w:rPr>
        <w:t>山西沐泓工程项目管理有限公司</w:t>
      </w:r>
    </w:p>
    <w:p w14:paraId="1FFF1D0C">
      <w:pPr>
        <w:pageBreakBefore w:val="0"/>
        <w:kinsoku/>
        <w:wordWrap w:val="0"/>
        <w:overflowPunct w:val="0"/>
        <w:topLinePunct w:val="0"/>
        <w:bidi w:val="0"/>
        <w:jc w:val="center"/>
        <w:rPr>
          <w:rFonts w:hint="eastAsia" w:ascii="宋体" w:hAnsi="宋体" w:eastAsia="宋体" w:cs="宋体"/>
          <w:color w:val="auto"/>
        </w:rPr>
      </w:pPr>
      <w:r>
        <w:rPr>
          <w:rFonts w:hint="eastAsia" w:ascii="宋体" w:hAnsi="宋体" w:eastAsia="宋体" w:cs="宋体"/>
          <w:b/>
          <w:bCs/>
          <w:color w:val="auto"/>
          <w:sz w:val="32"/>
          <w:szCs w:val="40"/>
          <w:lang w:val="en-US" w:eastAsia="zh-CN"/>
        </w:rPr>
        <w:t>日       期：二〇二六年九月</w:t>
      </w:r>
    </w:p>
    <w:sdt>
      <w:sdtPr>
        <w:rPr>
          <w:rFonts w:hint="eastAsia" w:ascii="宋体" w:hAnsi="宋体" w:eastAsia="宋体" w:cs="宋体"/>
          <w:kern w:val="2"/>
          <w:sz w:val="21"/>
          <w:lang w:val="en-US" w:eastAsia="zh-CN" w:bidi="ar-SA"/>
        </w:rPr>
        <w:id w:val="147472635"/>
        <w15:color w:val="DBDBDB"/>
        <w:docPartObj>
          <w:docPartGallery w:val="Table of Contents"/>
          <w:docPartUnique/>
        </w:docPartObj>
      </w:sdtPr>
      <w:sdtEndPr>
        <w:rPr>
          <w:rFonts w:hint="eastAsia" w:ascii="宋体" w:hAnsi="宋体" w:eastAsia="宋体" w:cs="宋体"/>
          <w:color w:val="auto"/>
          <w:kern w:val="2"/>
          <w:sz w:val="21"/>
          <w:szCs w:val="32"/>
          <w:lang w:val="en-US" w:eastAsia="zh-CN" w:bidi="ar-SA"/>
        </w:rPr>
      </w:sdtEndPr>
      <w:sdtContent>
        <w:p w14:paraId="2EF727AF">
          <w:pPr>
            <w:pageBreakBefore w:val="0"/>
            <w:kinsoku/>
            <w:wordWrap w:val="0"/>
            <w:overflowPunct w:val="0"/>
            <w:topLinePunct w:val="0"/>
            <w:bidi w:val="0"/>
            <w:spacing w:before="0" w:beforeLines="0" w:after="0" w:afterLines="0" w:line="240" w:lineRule="auto"/>
            <w:ind w:left="0" w:leftChars="0" w:right="0" w:rightChars="0" w:firstLine="0" w:firstLineChars="0"/>
            <w:jc w:val="center"/>
            <w:rPr>
              <w:rFonts w:hint="eastAsia" w:ascii="宋体" w:hAnsi="宋体" w:eastAsia="宋体" w:cs="宋体"/>
              <w:kern w:val="2"/>
              <w:sz w:val="21"/>
              <w:lang w:val="en-US" w:eastAsia="zh-CN" w:bidi="ar-SA"/>
            </w:rPr>
            <w:sectPr>
              <w:headerReference r:id="rId3" w:type="default"/>
              <w:pgSz w:w="11907" w:h="16840"/>
              <w:pgMar w:top="1440" w:right="1080" w:bottom="1440" w:left="1080" w:header="851" w:footer="1304" w:gutter="0"/>
              <w:pgNumType w:fmt="decimal" w:start="1"/>
              <w:cols w:space="720" w:num="1"/>
              <w:titlePg/>
              <w:docGrid w:type="lines" w:linePitch="312" w:charSpace="0"/>
            </w:sectPr>
          </w:pPr>
        </w:p>
        <w:p w14:paraId="20774C8A">
          <w:pPr>
            <w:pageBreakBefore w:val="0"/>
            <w:kinsoku/>
            <w:wordWrap w:val="0"/>
            <w:overflowPunct w:val="0"/>
            <w:topLinePunct w:val="0"/>
            <w:bidi w:val="0"/>
            <w:spacing w:before="0" w:beforeLines="0" w:after="0" w:afterLines="0" w:line="240" w:lineRule="auto"/>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sz w:val="32"/>
              <w:szCs w:val="28"/>
            </w:rPr>
            <w:t>目录</w:t>
          </w:r>
          <w:r>
            <w:rPr>
              <w:rFonts w:hint="eastAsia" w:ascii="宋体" w:hAnsi="宋体" w:eastAsia="宋体" w:cs="宋体"/>
              <w:b/>
              <w:color w:val="auto"/>
              <w:sz w:val="48"/>
              <w:szCs w:val="48"/>
            </w:rPr>
            <w:fldChar w:fldCharType="begin"/>
          </w:r>
          <w:r>
            <w:rPr>
              <w:rFonts w:hint="eastAsia" w:ascii="宋体" w:hAnsi="宋体" w:eastAsia="宋体" w:cs="宋体"/>
              <w:b/>
              <w:color w:val="auto"/>
              <w:sz w:val="48"/>
              <w:szCs w:val="48"/>
            </w:rPr>
            <w:instrText xml:space="preserve">TOC \o "1-1" \h \u </w:instrText>
          </w:r>
          <w:r>
            <w:rPr>
              <w:rFonts w:hint="eastAsia" w:ascii="宋体" w:hAnsi="宋体" w:eastAsia="宋体" w:cs="宋体"/>
              <w:b/>
              <w:color w:val="auto"/>
              <w:sz w:val="48"/>
              <w:szCs w:val="48"/>
            </w:rPr>
            <w:fldChar w:fldCharType="separate"/>
          </w:r>
        </w:p>
        <w:p w14:paraId="0753B60B">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_Toc18739 </w:instrText>
          </w:r>
          <w:r>
            <w:rPr>
              <w:rFonts w:hint="eastAsia" w:ascii="宋体" w:hAnsi="宋体" w:eastAsia="宋体" w:cs="宋体"/>
              <w:sz w:val="28"/>
              <w:szCs w:val="48"/>
            </w:rPr>
            <w:fldChar w:fldCharType="separate"/>
          </w:r>
          <w:r>
            <w:rPr>
              <w:rFonts w:hint="eastAsia" w:ascii="宋体" w:hAnsi="宋体" w:eastAsia="宋体" w:cs="宋体"/>
              <w:sz w:val="28"/>
              <w:szCs w:val="28"/>
            </w:rPr>
            <w:t>第一章 招标公告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_Toc18739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6A31AA5C">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_Toc20516 </w:instrText>
          </w:r>
          <w:r>
            <w:rPr>
              <w:rFonts w:hint="eastAsia" w:ascii="宋体" w:hAnsi="宋体" w:eastAsia="宋体" w:cs="宋体"/>
              <w:sz w:val="28"/>
              <w:szCs w:val="48"/>
            </w:rPr>
            <w:fldChar w:fldCharType="separate"/>
          </w:r>
          <w:r>
            <w:rPr>
              <w:rFonts w:hint="eastAsia" w:ascii="宋体" w:hAnsi="宋体" w:eastAsia="宋体" w:cs="宋体"/>
              <w:sz w:val="28"/>
              <w:szCs w:val="28"/>
            </w:rPr>
            <w:t>第二章 招标文件前附表及投标须知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_Toc20516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0576DC99">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_Toc20470 </w:instrText>
          </w:r>
          <w:r>
            <w:rPr>
              <w:rFonts w:hint="eastAsia" w:ascii="宋体" w:hAnsi="宋体" w:eastAsia="宋体" w:cs="宋体"/>
              <w:sz w:val="28"/>
              <w:szCs w:val="48"/>
            </w:rPr>
            <w:fldChar w:fldCharType="separate"/>
          </w:r>
          <w:r>
            <w:rPr>
              <w:rFonts w:hint="eastAsia" w:ascii="宋体" w:hAnsi="宋体" w:eastAsia="宋体" w:cs="宋体"/>
              <w:sz w:val="28"/>
              <w:szCs w:val="28"/>
            </w:rPr>
            <w:t>第三章 评标方法及标准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_Toc20470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671A7580">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_Toc9272 </w:instrText>
          </w:r>
          <w:r>
            <w:rPr>
              <w:rFonts w:hint="eastAsia" w:ascii="宋体" w:hAnsi="宋体" w:eastAsia="宋体" w:cs="宋体"/>
              <w:sz w:val="28"/>
              <w:szCs w:val="48"/>
            </w:rPr>
            <w:fldChar w:fldCharType="separate"/>
          </w:r>
          <w:r>
            <w:rPr>
              <w:rFonts w:hint="eastAsia" w:ascii="宋体" w:hAnsi="宋体" w:eastAsia="宋体" w:cs="宋体"/>
              <w:sz w:val="28"/>
              <w:szCs w:val="28"/>
            </w:rPr>
            <w:t>第四章 政府采购合同格式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_Toc9272 \h </w:instrText>
          </w:r>
          <w:r>
            <w:rPr>
              <w:rFonts w:hint="eastAsia" w:ascii="宋体" w:hAnsi="宋体" w:eastAsia="宋体" w:cs="宋体"/>
              <w:sz w:val="28"/>
              <w:szCs w:val="28"/>
            </w:rPr>
            <w:fldChar w:fldCharType="separate"/>
          </w:r>
          <w:r>
            <w:rPr>
              <w:rFonts w:hint="eastAsia" w:ascii="宋体" w:hAnsi="宋体" w:eastAsia="宋体" w:cs="宋体"/>
              <w:sz w:val="28"/>
              <w:szCs w:val="28"/>
            </w:rPr>
            <w:t>33</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745A3122">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_Toc29358 </w:instrText>
          </w:r>
          <w:r>
            <w:rPr>
              <w:rFonts w:hint="eastAsia" w:ascii="宋体" w:hAnsi="宋体" w:eastAsia="宋体" w:cs="宋体"/>
              <w:sz w:val="28"/>
              <w:szCs w:val="48"/>
            </w:rPr>
            <w:fldChar w:fldCharType="separate"/>
          </w:r>
          <w:r>
            <w:rPr>
              <w:rFonts w:hint="eastAsia" w:ascii="宋体" w:hAnsi="宋体" w:eastAsia="宋体" w:cs="宋体"/>
              <w:sz w:val="28"/>
              <w:szCs w:val="28"/>
              <w:lang w:eastAsia="zh-CN"/>
            </w:rPr>
            <w:t>第五章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_Toc29358 \h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485133C9">
          <w:pPr>
            <w:pStyle w:val="43"/>
            <w:pageBreakBefore w:val="0"/>
            <w:tabs>
              <w:tab w:val="right" w:leader="dot" w:pos="8731"/>
            </w:tabs>
            <w:kinsoku/>
            <w:wordWrap w:val="0"/>
            <w:overflowPunct w:val="0"/>
            <w:topLinePunct w:val="0"/>
            <w:bidi w:val="0"/>
            <w:rPr>
              <w:rFonts w:hint="eastAsia" w:ascii="宋体" w:hAnsi="宋体" w:eastAsia="宋体" w:cs="宋体"/>
              <w:sz w:val="28"/>
              <w:szCs w:val="28"/>
            </w:rPr>
          </w:pPr>
          <w:r>
            <w:rPr>
              <w:rFonts w:hint="eastAsia" w:ascii="宋体" w:hAnsi="宋体" w:eastAsia="宋体" w:cs="宋体"/>
              <w:color w:val="auto"/>
              <w:sz w:val="28"/>
              <w:szCs w:val="48"/>
            </w:rPr>
            <w:fldChar w:fldCharType="begin"/>
          </w:r>
          <w:r>
            <w:rPr>
              <w:rFonts w:hint="eastAsia" w:ascii="宋体" w:hAnsi="宋体" w:eastAsia="宋体" w:cs="宋体"/>
              <w:sz w:val="28"/>
              <w:szCs w:val="48"/>
            </w:rPr>
            <w:instrText xml:space="preserve"> HYPERLINK \l _Toc7501 </w:instrText>
          </w:r>
          <w:r>
            <w:rPr>
              <w:rFonts w:hint="eastAsia" w:ascii="宋体" w:hAnsi="宋体" w:eastAsia="宋体" w:cs="宋体"/>
              <w:sz w:val="28"/>
              <w:szCs w:val="48"/>
            </w:rPr>
            <w:fldChar w:fldCharType="separate"/>
          </w:r>
          <w:r>
            <w:rPr>
              <w:rFonts w:hint="eastAsia" w:ascii="宋体" w:hAnsi="宋体" w:eastAsia="宋体" w:cs="宋体"/>
              <w:sz w:val="28"/>
              <w:szCs w:val="28"/>
            </w:rPr>
            <w:t>第</w:t>
          </w:r>
          <w:r>
            <w:rPr>
              <w:rFonts w:hint="eastAsia" w:ascii="宋体" w:hAnsi="宋体" w:eastAsia="宋体" w:cs="宋体"/>
              <w:sz w:val="28"/>
              <w:szCs w:val="28"/>
              <w:lang w:eastAsia="zh-CN"/>
            </w:rPr>
            <w:t>六</w:t>
          </w:r>
          <w:r>
            <w:rPr>
              <w:rFonts w:hint="eastAsia" w:ascii="宋体" w:hAnsi="宋体" w:eastAsia="宋体" w:cs="宋体"/>
              <w:sz w:val="28"/>
              <w:szCs w:val="28"/>
            </w:rPr>
            <w:t>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投标文件的组成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_Toc7501 \h </w:instrText>
          </w:r>
          <w:r>
            <w:rPr>
              <w:rFonts w:hint="eastAsia" w:ascii="宋体" w:hAnsi="宋体" w:eastAsia="宋体" w:cs="宋体"/>
              <w:sz w:val="28"/>
              <w:szCs w:val="28"/>
            </w:rPr>
            <w:fldChar w:fldCharType="separate"/>
          </w:r>
          <w:r>
            <w:rPr>
              <w:rFonts w:hint="eastAsia" w:ascii="宋体" w:hAnsi="宋体" w:eastAsia="宋体" w:cs="宋体"/>
              <w:sz w:val="28"/>
              <w:szCs w:val="28"/>
            </w:rPr>
            <w:t>63</w:t>
          </w:r>
          <w:r>
            <w:rPr>
              <w:rFonts w:hint="eastAsia" w:ascii="宋体" w:hAnsi="宋体" w:eastAsia="宋体" w:cs="宋体"/>
              <w:sz w:val="28"/>
              <w:szCs w:val="28"/>
            </w:rPr>
            <w:fldChar w:fldCharType="end"/>
          </w:r>
          <w:r>
            <w:rPr>
              <w:rFonts w:hint="eastAsia" w:ascii="宋体" w:hAnsi="宋体" w:eastAsia="宋体" w:cs="宋体"/>
              <w:color w:val="auto"/>
              <w:sz w:val="28"/>
              <w:szCs w:val="48"/>
            </w:rPr>
            <w:fldChar w:fldCharType="end"/>
          </w:r>
        </w:p>
        <w:p w14:paraId="57A945E6">
          <w:pPr>
            <w:pageBreakBefore w:val="0"/>
            <w:kinsoku/>
            <w:wordWrap w:val="0"/>
            <w:overflowPunct w:val="0"/>
            <w:topLinePunct w:val="0"/>
            <w:bidi w:val="0"/>
            <w:adjustRightInd w:val="0"/>
            <w:snapToGrid w:val="0"/>
            <w:spacing w:before="156" w:beforeLines="50" w:line="360" w:lineRule="auto"/>
            <w:ind w:right="31" w:rightChars="15"/>
            <w:rPr>
              <w:rFonts w:hint="eastAsia" w:ascii="宋体" w:hAnsi="宋体" w:eastAsia="宋体" w:cs="宋体"/>
              <w:b/>
              <w:color w:val="auto"/>
              <w:sz w:val="32"/>
              <w:szCs w:val="32"/>
            </w:rPr>
          </w:pPr>
          <w:r>
            <w:rPr>
              <w:rFonts w:hint="eastAsia" w:ascii="宋体" w:hAnsi="宋体" w:eastAsia="宋体" w:cs="宋体"/>
              <w:color w:val="auto"/>
              <w:sz w:val="32"/>
              <w:szCs w:val="48"/>
            </w:rPr>
            <w:fldChar w:fldCharType="end"/>
          </w:r>
        </w:p>
      </w:sdtContent>
    </w:sdt>
    <w:p w14:paraId="318F800A">
      <w:pPr>
        <w:pageBreakBefore w:val="0"/>
        <w:kinsoku/>
        <w:wordWrap w:val="0"/>
        <w:overflowPunct w:val="0"/>
        <w:topLinePunct w:val="0"/>
        <w:bidi w:val="0"/>
        <w:adjustRightInd w:val="0"/>
        <w:snapToGrid w:val="0"/>
        <w:spacing w:before="156" w:beforeLines="50" w:line="360" w:lineRule="auto"/>
        <w:ind w:right="31" w:rightChars="15"/>
        <w:rPr>
          <w:rFonts w:hint="eastAsia" w:ascii="宋体" w:hAnsi="宋体" w:eastAsia="宋体" w:cs="宋体"/>
          <w:b/>
          <w:color w:val="auto"/>
          <w:sz w:val="32"/>
          <w:szCs w:val="32"/>
        </w:rPr>
      </w:pPr>
    </w:p>
    <w:p w14:paraId="08344E18">
      <w:pPr>
        <w:pageBreakBefore w:val="0"/>
        <w:kinsoku/>
        <w:wordWrap w:val="0"/>
        <w:overflowPunct w:val="0"/>
        <w:topLinePunct w:val="0"/>
        <w:bidi w:val="0"/>
        <w:adjustRightInd w:val="0"/>
        <w:snapToGrid w:val="0"/>
        <w:spacing w:before="156" w:beforeLines="50" w:line="360" w:lineRule="auto"/>
        <w:ind w:right="31" w:rightChars="15"/>
        <w:rPr>
          <w:rFonts w:hint="eastAsia" w:ascii="宋体" w:hAnsi="宋体" w:eastAsia="宋体" w:cs="宋体"/>
          <w:b/>
          <w:color w:val="auto"/>
          <w:sz w:val="32"/>
          <w:szCs w:val="32"/>
        </w:rPr>
      </w:pPr>
    </w:p>
    <w:p w14:paraId="0D6294F3">
      <w:pPr>
        <w:pStyle w:val="23"/>
        <w:pageBreakBefore w:val="0"/>
        <w:kinsoku/>
        <w:wordWrap w:val="0"/>
        <w:overflowPunct w:val="0"/>
        <w:topLinePunct w:val="0"/>
        <w:bidi w:val="0"/>
        <w:outlineLvl w:val="9"/>
        <w:rPr>
          <w:rFonts w:hint="eastAsia" w:ascii="宋体" w:hAnsi="宋体" w:eastAsia="宋体" w:cs="宋体"/>
          <w:color w:val="auto"/>
        </w:rPr>
      </w:pPr>
    </w:p>
    <w:p w14:paraId="540E7710">
      <w:pPr>
        <w:pageBreakBefore w:val="0"/>
        <w:kinsoku/>
        <w:wordWrap w:val="0"/>
        <w:overflowPunct w:val="0"/>
        <w:topLinePunct w:val="0"/>
        <w:bidi w:val="0"/>
        <w:rPr>
          <w:rFonts w:hint="eastAsia" w:ascii="宋体" w:hAnsi="宋体" w:eastAsia="宋体" w:cs="宋体"/>
          <w:color w:val="auto"/>
        </w:rPr>
      </w:pPr>
    </w:p>
    <w:p w14:paraId="56B38AA9">
      <w:pPr>
        <w:pageBreakBefore w:val="0"/>
        <w:kinsoku/>
        <w:wordWrap w:val="0"/>
        <w:overflowPunct w:val="0"/>
        <w:topLinePunct w:val="0"/>
        <w:bidi w:val="0"/>
        <w:adjustRightInd w:val="0"/>
        <w:snapToGrid w:val="0"/>
        <w:spacing w:before="156" w:beforeLines="50" w:line="360" w:lineRule="auto"/>
        <w:ind w:right="31" w:rightChars="15" w:firstLine="420"/>
        <w:rPr>
          <w:rFonts w:hint="eastAsia" w:ascii="宋体" w:hAnsi="宋体" w:eastAsia="宋体" w:cs="宋体"/>
          <w:b/>
          <w:color w:val="auto"/>
          <w:sz w:val="32"/>
          <w:szCs w:val="32"/>
        </w:rPr>
      </w:pPr>
    </w:p>
    <w:p w14:paraId="4FE7D05A">
      <w:pPr>
        <w:pStyle w:val="23"/>
        <w:pageBreakBefore w:val="0"/>
        <w:kinsoku/>
        <w:wordWrap w:val="0"/>
        <w:overflowPunct w:val="0"/>
        <w:topLinePunct w:val="0"/>
        <w:bidi w:val="0"/>
        <w:outlineLvl w:val="9"/>
        <w:rPr>
          <w:rFonts w:hint="eastAsia" w:ascii="宋体" w:hAnsi="宋体" w:eastAsia="宋体" w:cs="宋体"/>
          <w:color w:val="auto"/>
        </w:rPr>
      </w:pPr>
    </w:p>
    <w:p w14:paraId="57CD6B99">
      <w:pPr>
        <w:pStyle w:val="23"/>
        <w:pageBreakBefore w:val="0"/>
        <w:kinsoku/>
        <w:wordWrap w:val="0"/>
        <w:overflowPunct w:val="0"/>
        <w:topLinePunct w:val="0"/>
        <w:bidi w:val="0"/>
        <w:outlineLvl w:val="9"/>
        <w:rPr>
          <w:rFonts w:hint="eastAsia" w:ascii="宋体" w:hAnsi="宋体" w:eastAsia="宋体" w:cs="宋体"/>
          <w:color w:val="auto"/>
        </w:rPr>
        <w:sectPr>
          <w:pgSz w:w="11907" w:h="16840"/>
          <w:pgMar w:top="1440" w:right="1080" w:bottom="1440" w:left="1080" w:header="851" w:footer="1304" w:gutter="0"/>
          <w:pgNumType w:fmt="decimal" w:start="1"/>
          <w:cols w:space="720" w:num="1"/>
          <w:titlePg/>
          <w:docGrid w:type="lines" w:linePitch="312" w:charSpace="0"/>
        </w:sectPr>
      </w:pPr>
    </w:p>
    <w:p w14:paraId="5CBA064B">
      <w:pPr>
        <w:pStyle w:val="2"/>
        <w:pageBreakBefore w:val="0"/>
        <w:kinsoku/>
        <w:wordWrap w:val="0"/>
        <w:overflowPunct w:val="0"/>
        <w:topLinePunct w:val="0"/>
        <w:bidi w:val="0"/>
        <w:rPr>
          <w:rFonts w:hint="eastAsia" w:ascii="宋体" w:hAnsi="宋体" w:eastAsia="宋体" w:cs="宋体"/>
          <w:color w:val="auto"/>
        </w:rPr>
      </w:pPr>
      <w:bookmarkStart w:id="1" w:name="_Toc32539"/>
      <w:bookmarkStart w:id="2" w:name="_Toc25779"/>
      <w:bookmarkStart w:id="3" w:name="_Toc18739"/>
      <w:bookmarkStart w:id="4" w:name="_Toc11388"/>
      <w:bookmarkStart w:id="5" w:name="_Toc32350"/>
      <w:bookmarkStart w:id="6" w:name="_Toc16372"/>
      <w:r>
        <w:rPr>
          <w:rFonts w:hint="eastAsia" w:ascii="宋体" w:hAnsi="宋体" w:eastAsia="宋体" w:cs="宋体"/>
          <w:color w:val="auto"/>
        </w:rPr>
        <w:t>第一章 招标公告</w:t>
      </w:r>
      <w:bookmarkEnd w:id="1"/>
      <w:bookmarkEnd w:id="2"/>
      <w:bookmarkEnd w:id="3"/>
      <w:bookmarkEnd w:id="4"/>
      <w:bookmarkEnd w:id="5"/>
      <w:bookmarkEnd w:id="6"/>
    </w:p>
    <w:tbl>
      <w:tblPr>
        <w:tblStyle w:val="26"/>
        <w:tblpPr w:leftFromText="180" w:rightFromText="180" w:vertAnchor="text" w:horzAnchor="page" w:tblpXSpec="center" w:tblpY="79"/>
        <w:tblOverlap w:val="never"/>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0"/>
      </w:tblGrid>
      <w:tr w14:paraId="17E5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9700" w:type="dxa"/>
            <w:tcBorders>
              <w:top w:val="single" w:color="auto" w:sz="4" w:space="0"/>
              <w:left w:val="single" w:color="auto" w:sz="4" w:space="0"/>
              <w:bottom w:val="single" w:color="auto" w:sz="4" w:space="0"/>
              <w:right w:val="single" w:color="auto" w:sz="4" w:space="0"/>
            </w:tcBorders>
            <w:noWrap w:val="0"/>
            <w:vAlign w:val="top"/>
          </w:tcPr>
          <w:p w14:paraId="071DF355">
            <w:pPr>
              <w:keepNext w:val="0"/>
              <w:keepLines w:val="0"/>
              <w:pageBreakBefore w:val="0"/>
              <w:kinsoku/>
              <w:wordWrap w:val="0"/>
              <w:overflowPunct w:val="0"/>
              <w:topLinePunct w:val="0"/>
              <w:autoSpaceDE w:val="0"/>
              <w:autoSpaceDN/>
              <w:bidi w:val="0"/>
              <w:spacing w:line="360" w:lineRule="auto"/>
              <w:ind w:firstLine="480" w:firstLineChars="200"/>
              <w:jc w:val="left"/>
              <w:textAlignment w:val="auto"/>
              <w:rPr>
                <w:rFonts w:hint="eastAsia" w:ascii="宋体" w:hAnsi="宋体" w:eastAsia="宋体" w:cs="宋体"/>
                <w:color w:val="auto"/>
              </w:rPr>
            </w:pPr>
            <w:bookmarkStart w:id="7" w:name="_Toc19866_WPSOffice_Level1"/>
            <w:r>
              <w:rPr>
                <w:rFonts w:hint="eastAsia" w:ascii="宋体" w:hAnsi="宋体" w:eastAsia="宋体" w:cs="宋体"/>
                <w:color w:val="auto"/>
                <w:sz w:val="24"/>
              </w:rPr>
              <w:t>项目概况</w:t>
            </w:r>
          </w:p>
          <w:p w14:paraId="3FD8FC45">
            <w:pPr>
              <w:keepNext w:val="0"/>
              <w:keepLines w:val="0"/>
              <w:pageBreakBefore w:val="0"/>
              <w:kinsoku/>
              <w:wordWrap w:val="0"/>
              <w:overflowPunct w:val="0"/>
              <w:topLinePunct w:val="0"/>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山西省高技能人才培训基地建设项目招标项目的潜在投标人应在政采云平台线上获取获取招标文件，并于2026年10月20日 09:00（北京时间）前递交投标文件。     </w:t>
            </w:r>
          </w:p>
        </w:tc>
      </w:tr>
    </w:tbl>
    <w:p w14:paraId="7C662E5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一、项目基本情况                                                </w:t>
      </w:r>
    </w:p>
    <w:p w14:paraId="46B573A1">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项目编号：1408992026AGK00203</w:t>
      </w:r>
    </w:p>
    <w:p w14:paraId="163FE84C">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项目名称：山西省高技能人才培训基地建设项目       </w:t>
      </w:r>
    </w:p>
    <w:p w14:paraId="65ECF93B">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预算金额（元）：1947500</w:t>
      </w:r>
    </w:p>
    <w:p w14:paraId="5CA1ACAE">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最高限价（元）：1602000,345500</w:t>
      </w:r>
    </w:p>
    <w:p w14:paraId="60585409">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采购需求：        </w:t>
      </w:r>
    </w:p>
    <w:p w14:paraId="798F57CF">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标项一</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标项名称: 山西省高技能人才培训基地建设项目1包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数量: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预算金额（元）：1602000</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简要规格描述或项目基本概况介绍、用途： 一包招标内容：新能源汽车检测与维修专业实训室建设、机电技术应用专业实训室建设等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备注：无           </w:t>
      </w:r>
    </w:p>
    <w:p w14:paraId="57C836A6">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标项二</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标项名称: 山西省高技能人才培训基地建设项目2包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数量: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预算金额（元）：345500</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简要规格描述或项目基本概况介绍、用途： 二包招标内容：机电技术应用专业内涵建设等   </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    备注：无           </w:t>
      </w:r>
    </w:p>
    <w:p w14:paraId="53EF613D">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合同履约期限：标项 1、2，合同签订后120个日历天内</w:t>
      </w:r>
    </w:p>
    <w:p w14:paraId="4C8481F6">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本项目（否）接受联合体投标。        </w:t>
      </w:r>
    </w:p>
    <w:p w14:paraId="29EA81F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二、申请人的资格要求     </w:t>
      </w:r>
    </w:p>
    <w:p w14:paraId="40416A5E">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1.满足《中华人民共和国政府采购法》第二十二条规定；    </w:t>
      </w:r>
    </w:p>
    <w:p w14:paraId="0E60AEE7">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2.落实政府采购政策需满足的资格要求：</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本项目专门面向中小企业，供应商须根据《工业和信息化部、国家统计局、国家发展和改革委员会、财政部关于印发中小企业划型标准规定的通知》（工信部联企业〔2011〕300号）规定的划分标准，准确划分企业类型。监狱企业、残疾人福利性单位视同小型企业；</w:t>
      </w:r>
      <w:r>
        <w:rPr>
          <w:rFonts w:hint="eastAsia" w:ascii="宋体" w:hAnsi="宋体" w:eastAsia="宋体" w:cs="宋体"/>
          <w:i w:val="0"/>
          <w:iCs w:val="0"/>
          <w:caps w:val="0"/>
          <w:color w:val="000000"/>
          <w:spacing w:val="0"/>
          <w:sz w:val="24"/>
          <w:szCs w:val="24"/>
        </w:rPr>
        <w:br w:type="textWrapping"/>
      </w:r>
      <w:r>
        <w:rPr>
          <w:rFonts w:hint="eastAsia" w:ascii="宋体" w:hAnsi="宋体" w:eastAsia="宋体" w:cs="宋体"/>
          <w:i w:val="0"/>
          <w:iCs w:val="0"/>
          <w:caps w:val="0"/>
          <w:color w:val="000000"/>
          <w:spacing w:val="0"/>
          <w:sz w:val="24"/>
          <w:szCs w:val="24"/>
        </w:rPr>
        <w:t>本项目专门面向中小企业，供应商须根据《工业和信息化部、国家统计局、国家发展和改革委员会、财政部关于印发中小企业划型标准规定的通知》（工信部联企业〔2011〕300号）规定的划分标准，准确划分企业类型。监狱企业、残疾人福利性单位视同小型企业   </w:t>
      </w:r>
    </w:p>
    <w:p w14:paraId="51F91055">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3.本项目的特定资格要求：标项1：无；标项2：无   </w:t>
      </w:r>
    </w:p>
    <w:p w14:paraId="574DE944">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三、获取招标文件    </w:t>
      </w:r>
    </w:p>
    <w:p w14:paraId="651155D2">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时间：2026年09月30日至2026年10月13日，每天上午00:00:00至12:00:00，下午12:00:00至23:59:59（北京时间，法定节假日除外）        </w:t>
      </w:r>
    </w:p>
    <w:p w14:paraId="02CAD46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地点：政采云平台线上获取</w:t>
      </w:r>
    </w:p>
    <w:p w14:paraId="0F105437">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方式：在线获取       </w:t>
      </w:r>
    </w:p>
    <w:p w14:paraId="65CC8D0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售价（元）：0       </w:t>
      </w:r>
    </w:p>
    <w:p w14:paraId="71CBC1AE">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四、提交投标文件截止时间、开标时间和地点    </w:t>
      </w:r>
    </w:p>
    <w:p w14:paraId="74CB599B">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提交投标文件截止时间：2026年10月20日 09:00（北京时间）        </w:t>
      </w:r>
    </w:p>
    <w:p w14:paraId="45FEC583">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投标地点（网址）：请登录政采云投标客户端投标     </w:t>
      </w:r>
    </w:p>
    <w:p w14:paraId="637CFDE5">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开标时间：2026年10月20日 09:00        </w:t>
      </w:r>
    </w:p>
    <w:p w14:paraId="0F0750E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开标地点：山西省运城市盐湖区运城市盐湖区铺安街天泰文化苑D幢三单元2101室山西沐泓工程项目管理有限公司会议室     </w:t>
      </w:r>
    </w:p>
    <w:p w14:paraId="5E3DEB6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五、公告期限     </w:t>
      </w:r>
    </w:p>
    <w:p w14:paraId="17EF4529">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自本公告发布之日起5个工作日。    </w:t>
      </w:r>
    </w:p>
    <w:p w14:paraId="5114A99C">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六、其他补充事宜    </w:t>
      </w:r>
    </w:p>
    <w:p w14:paraId="1B7BE445">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无      </w:t>
      </w:r>
    </w:p>
    <w:p w14:paraId="1828D32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代理费支付方式： 供应商支付 </w:t>
      </w:r>
    </w:p>
    <w:p w14:paraId="2735301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代理费收费标准： 参考国家发展和改革委员会发改价格[2011]534号规定的费率计取，由中标人在领取中标（成交）通知书时一次性付清。 </w:t>
      </w:r>
    </w:p>
    <w:p w14:paraId="3919D4B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      代理费收费金额（元）： / </w:t>
      </w:r>
    </w:p>
    <w:p w14:paraId="741A0A18">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七、对本次采购提出询问，请按以下方式联系    </w:t>
      </w:r>
    </w:p>
    <w:p w14:paraId="2B26E3D7">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1.采购人信息        </w:t>
      </w:r>
    </w:p>
    <w:p w14:paraId="4C4B6944">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名    称：山西新产业技师学院         </w:t>
      </w:r>
    </w:p>
    <w:p w14:paraId="526CABD9">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地    址：运城市盐湖区工农西街305号         </w:t>
      </w:r>
    </w:p>
    <w:p w14:paraId="42B2870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联系方式：13834474577       </w:t>
      </w:r>
    </w:p>
    <w:p w14:paraId="70D48DB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2.采购代理机构信息        </w:t>
      </w:r>
    </w:p>
    <w:p w14:paraId="360B9789">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名    称： 山西沐泓工程项目管理有限公司</w:t>
      </w:r>
    </w:p>
    <w:p w14:paraId="124CF8E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地    址：运城市盐湖区铺安街天泰文化苑北区D幢三单元2101室</w:t>
      </w:r>
    </w:p>
    <w:p w14:paraId="34ADA47F">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联系方式：18613597091         </w:t>
      </w:r>
    </w:p>
    <w:p w14:paraId="048D22FA">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3.采购代理机构信息</w:t>
      </w:r>
    </w:p>
    <w:p w14:paraId="15B091E0">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项目联系人： 王女士</w:t>
      </w:r>
    </w:p>
    <w:p w14:paraId="129584C1">
      <w:pPr>
        <w:pStyle w:val="22"/>
        <w:keepNext w:val="0"/>
        <w:keepLines w:val="0"/>
        <w:pageBreakBefore w:val="0"/>
        <w:widowControl/>
        <w:suppressLineNumbers w:val="0"/>
        <w:kinsoku/>
        <w:wordWrap w:val="0"/>
        <w:overflowPunct w:val="0"/>
        <w:topLinePunct w:val="0"/>
        <w:bidi w:val="0"/>
        <w:spacing w:before="75" w:beforeAutospacing="0" w:after="75"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电    话：18613597091</w:t>
      </w:r>
    </w:p>
    <w:p w14:paraId="28BB9A5B">
      <w:pPr>
        <w:pStyle w:val="22"/>
        <w:keepNext w:val="0"/>
        <w:keepLines w:val="0"/>
        <w:pageBreakBefore w:val="0"/>
        <w:widowControl/>
        <w:suppressLineNumbers w:val="0"/>
        <w:kinsoku/>
        <w:wordWrap w:val="0"/>
        <w:overflowPunct w:val="0"/>
        <w:topLinePunct w:val="0"/>
        <w:bidi w:val="0"/>
        <w:spacing w:before="75" w:beforeAutospacing="0" w:after="75" w:afterAutospacing="0" w:line="240" w:lineRule="auto"/>
        <w:ind w:left="0" w:right="0" w:firstLine="420"/>
        <w:rPr>
          <w:rFonts w:hint="eastAsia" w:ascii="宋体" w:hAnsi="宋体" w:eastAsia="宋体" w:cs="宋体"/>
          <w:i w:val="0"/>
          <w:iCs w:val="0"/>
          <w:caps w:val="0"/>
          <w:color w:val="000000"/>
          <w:spacing w:val="0"/>
          <w:sz w:val="24"/>
          <w:szCs w:val="24"/>
        </w:rPr>
      </w:pPr>
    </w:p>
    <w:p w14:paraId="078F0733">
      <w:pPr>
        <w:pStyle w:val="36"/>
        <w:pageBreakBefore w:val="0"/>
        <w:kinsoku/>
        <w:wordWrap w:val="0"/>
        <w:overflowPunct w:val="0"/>
        <w:topLinePunct w:val="0"/>
        <w:bidi w:val="0"/>
        <w:rPr>
          <w:rFonts w:hint="eastAsia" w:ascii="宋体" w:hAnsi="宋体" w:eastAsia="宋体" w:cs="宋体"/>
          <w:color w:val="auto"/>
          <w:sz w:val="24"/>
          <w:szCs w:val="24"/>
          <w:lang w:val="en-US" w:eastAsia="zh-CN"/>
        </w:rPr>
        <w:sectPr>
          <w:footerReference r:id="rId4" w:type="default"/>
          <w:pgSz w:w="11907" w:h="16840"/>
          <w:pgMar w:top="1440" w:right="1080" w:bottom="1440" w:left="1080" w:header="851" w:footer="1304" w:gutter="0"/>
          <w:pgNumType w:fmt="decimal" w:start="1"/>
          <w:cols w:space="720" w:num="1"/>
          <w:docGrid w:type="lines" w:linePitch="312" w:charSpace="0"/>
        </w:sectPr>
      </w:pPr>
    </w:p>
    <w:p w14:paraId="781089FC">
      <w:pPr>
        <w:pStyle w:val="2"/>
        <w:pageBreakBefore w:val="0"/>
        <w:kinsoku/>
        <w:wordWrap w:val="0"/>
        <w:overflowPunct w:val="0"/>
        <w:topLinePunct w:val="0"/>
        <w:bidi w:val="0"/>
        <w:rPr>
          <w:rFonts w:hint="eastAsia" w:ascii="宋体" w:hAnsi="宋体" w:eastAsia="宋体" w:cs="宋体"/>
          <w:color w:val="auto"/>
        </w:rPr>
      </w:pPr>
      <w:bookmarkStart w:id="8" w:name="_Toc18414"/>
      <w:bookmarkStart w:id="9" w:name="_Toc1723"/>
      <w:bookmarkStart w:id="10" w:name="_Toc14658"/>
      <w:bookmarkStart w:id="11" w:name="_Toc30931"/>
      <w:bookmarkStart w:id="12" w:name="_Toc24784"/>
      <w:bookmarkStart w:id="13" w:name="_Toc20516"/>
      <w:r>
        <w:rPr>
          <w:rFonts w:hint="eastAsia" w:ascii="宋体" w:hAnsi="宋体" w:eastAsia="宋体" w:cs="宋体"/>
          <w:color w:val="auto"/>
        </w:rPr>
        <w:t>第二章 招标文件前附表及投标须知</w:t>
      </w:r>
      <w:bookmarkEnd w:id="8"/>
      <w:bookmarkEnd w:id="9"/>
      <w:bookmarkEnd w:id="10"/>
      <w:bookmarkEnd w:id="11"/>
      <w:bookmarkEnd w:id="12"/>
      <w:bookmarkEnd w:id="13"/>
    </w:p>
    <w:p w14:paraId="75CAD9EE">
      <w:pPr>
        <w:pageBreakBefore w:val="0"/>
        <w:kinsoku/>
        <w:wordWrap w:val="0"/>
        <w:overflowPunct w:val="0"/>
        <w:topLinePunct w:val="0"/>
        <w:bidi w:val="0"/>
        <w:adjustRightInd w:val="0"/>
        <w:snapToGrid w:val="0"/>
        <w:spacing w:line="36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招标文件前附表</w:t>
      </w:r>
      <w:bookmarkEnd w:id="7"/>
    </w:p>
    <w:tbl>
      <w:tblPr>
        <w:tblStyle w:val="26"/>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1763"/>
        <w:gridCol w:w="2755"/>
        <w:gridCol w:w="3366"/>
      </w:tblGrid>
      <w:tr w14:paraId="4C27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jc w:val="center"/>
        </w:trPr>
        <w:tc>
          <w:tcPr>
            <w:tcW w:w="1792" w:type="dxa"/>
            <w:noWrap w:val="0"/>
            <w:vAlign w:val="center"/>
          </w:tcPr>
          <w:p w14:paraId="2B275310">
            <w:pPr>
              <w:pageBreakBefore w:val="0"/>
              <w:kinsoku/>
              <w:wordWrap w:val="0"/>
              <w:overflowPunct w:val="0"/>
              <w:topLinePunct w:val="0"/>
              <w:bidi w:val="0"/>
              <w:spacing w:line="3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条款号</w:t>
            </w:r>
          </w:p>
        </w:tc>
        <w:tc>
          <w:tcPr>
            <w:tcW w:w="1763" w:type="dxa"/>
            <w:noWrap w:val="0"/>
            <w:vAlign w:val="center"/>
          </w:tcPr>
          <w:p w14:paraId="0ED5DDBB">
            <w:pPr>
              <w:pageBreakBefore w:val="0"/>
              <w:kinsoku/>
              <w:wordWrap w:val="0"/>
              <w:overflowPunct w:val="0"/>
              <w:topLinePunct w:val="0"/>
              <w:bidi w:val="0"/>
              <w:spacing w:line="3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条款名称</w:t>
            </w:r>
          </w:p>
        </w:tc>
        <w:tc>
          <w:tcPr>
            <w:tcW w:w="6121" w:type="dxa"/>
            <w:gridSpan w:val="2"/>
            <w:noWrap w:val="0"/>
            <w:vAlign w:val="center"/>
          </w:tcPr>
          <w:p w14:paraId="5974A6B8">
            <w:pPr>
              <w:pageBreakBefore w:val="0"/>
              <w:kinsoku/>
              <w:wordWrap w:val="0"/>
              <w:overflowPunct w:val="0"/>
              <w:topLinePunct w:val="0"/>
              <w:bidi w:val="0"/>
              <w:spacing w:line="3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编列内容规定</w:t>
            </w:r>
          </w:p>
        </w:tc>
      </w:tr>
      <w:tr w14:paraId="2082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676" w:type="dxa"/>
            <w:gridSpan w:val="4"/>
            <w:noWrap w:val="0"/>
            <w:vAlign w:val="center"/>
          </w:tcPr>
          <w:p w14:paraId="44AC3E65">
            <w:pPr>
              <w:pageBreakBefore w:val="0"/>
              <w:kinsoku/>
              <w:wordWrap w:val="0"/>
              <w:overflowPunct w:val="0"/>
              <w:topLinePunct w:val="0"/>
              <w:bidi w:val="0"/>
              <w:spacing w:line="340"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第一章 投标须知（前附表）</w:t>
            </w:r>
          </w:p>
        </w:tc>
      </w:tr>
      <w:tr w14:paraId="1503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hRule="atLeast"/>
          <w:jc w:val="center"/>
        </w:trPr>
        <w:tc>
          <w:tcPr>
            <w:tcW w:w="9676" w:type="dxa"/>
            <w:gridSpan w:val="4"/>
            <w:noWrap w:val="0"/>
            <w:vAlign w:val="center"/>
          </w:tcPr>
          <w:p w14:paraId="41D0A622">
            <w:pPr>
              <w:pageBreakBefore w:val="0"/>
              <w:kinsoku/>
              <w:wordWrap w:val="0"/>
              <w:overflowPunct w:val="0"/>
              <w:topLinePunct w:val="0"/>
              <w:bidi w:val="0"/>
              <w:spacing w:line="340" w:lineRule="exact"/>
              <w:jc w:val="left"/>
              <w:rPr>
                <w:rFonts w:hint="eastAsia" w:ascii="宋体" w:hAnsi="宋体" w:eastAsia="宋体" w:cs="宋体"/>
                <w:b/>
                <w:bCs/>
                <w:color w:val="auto"/>
                <w:szCs w:val="21"/>
              </w:rPr>
            </w:pPr>
            <w:r>
              <w:rPr>
                <w:rFonts w:hint="eastAsia" w:ascii="宋体" w:hAnsi="宋体" w:eastAsia="宋体" w:cs="宋体"/>
                <w:b/>
                <w:bCs/>
                <w:color w:val="auto"/>
                <w:szCs w:val="21"/>
              </w:rPr>
              <w:t>一、说明</w:t>
            </w:r>
          </w:p>
        </w:tc>
      </w:tr>
      <w:tr w14:paraId="468B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792" w:type="dxa"/>
            <w:noWrap w:val="0"/>
            <w:vAlign w:val="top"/>
          </w:tcPr>
          <w:p w14:paraId="757E6C1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 第1.1</w:t>
            </w:r>
            <w:r>
              <w:rPr>
                <w:rFonts w:hint="eastAsia" w:ascii="宋体" w:hAnsi="宋体" w:eastAsia="宋体" w:cs="宋体"/>
                <w:color w:val="auto"/>
                <w:szCs w:val="21"/>
                <w:lang w:val="zh-CN"/>
              </w:rPr>
              <w:t>款</w:t>
            </w:r>
          </w:p>
        </w:tc>
        <w:tc>
          <w:tcPr>
            <w:tcW w:w="1763" w:type="dxa"/>
            <w:noWrap w:val="0"/>
            <w:vAlign w:val="top"/>
          </w:tcPr>
          <w:p w14:paraId="03758BD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招标</w:t>
            </w:r>
            <w:r>
              <w:rPr>
                <w:rFonts w:hint="eastAsia" w:ascii="宋体" w:hAnsi="宋体" w:eastAsia="宋体" w:cs="宋体"/>
                <w:color w:val="auto"/>
                <w:szCs w:val="21"/>
              </w:rPr>
              <w:t>项目</w:t>
            </w:r>
          </w:p>
        </w:tc>
        <w:tc>
          <w:tcPr>
            <w:tcW w:w="6121" w:type="dxa"/>
            <w:gridSpan w:val="2"/>
            <w:noWrap w:val="0"/>
            <w:vAlign w:val="top"/>
          </w:tcPr>
          <w:p w14:paraId="48C83009">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kern w:val="0"/>
                <w:szCs w:val="21"/>
                <w:lang w:eastAsia="zh-CN"/>
              </w:rPr>
              <w:t>山西省高技能人才培训基地建设项目</w:t>
            </w:r>
          </w:p>
        </w:tc>
      </w:tr>
      <w:tr w14:paraId="378C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1792" w:type="dxa"/>
            <w:noWrap w:val="0"/>
            <w:vAlign w:val="center"/>
          </w:tcPr>
          <w:p w14:paraId="52216A7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章第2.1</w:t>
            </w:r>
            <w:r>
              <w:rPr>
                <w:rFonts w:hint="eastAsia" w:ascii="宋体" w:hAnsi="宋体" w:eastAsia="宋体" w:cs="宋体"/>
                <w:color w:val="auto"/>
                <w:szCs w:val="21"/>
                <w:lang w:val="zh-CN"/>
              </w:rPr>
              <w:t>款</w:t>
            </w:r>
          </w:p>
        </w:tc>
        <w:tc>
          <w:tcPr>
            <w:tcW w:w="1763" w:type="dxa"/>
            <w:noWrap w:val="0"/>
            <w:vAlign w:val="center"/>
          </w:tcPr>
          <w:p w14:paraId="2825895C">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招标</w:t>
            </w:r>
            <w:r>
              <w:rPr>
                <w:rFonts w:hint="eastAsia" w:ascii="宋体" w:hAnsi="宋体" w:eastAsia="宋体" w:cs="宋体"/>
                <w:color w:val="auto"/>
                <w:szCs w:val="21"/>
              </w:rPr>
              <w:t>人</w:t>
            </w:r>
          </w:p>
        </w:tc>
        <w:tc>
          <w:tcPr>
            <w:tcW w:w="6121" w:type="dxa"/>
            <w:gridSpan w:val="2"/>
            <w:noWrap w:val="0"/>
            <w:vAlign w:val="center"/>
          </w:tcPr>
          <w:p w14:paraId="43FC7B0B">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名 称：</w:t>
            </w:r>
            <w:r>
              <w:rPr>
                <w:rFonts w:hint="eastAsia" w:ascii="宋体" w:hAnsi="宋体" w:eastAsia="宋体" w:cs="宋体"/>
                <w:color w:val="auto"/>
                <w:sz w:val="21"/>
                <w:szCs w:val="21"/>
                <w:lang w:eastAsia="zh-CN"/>
              </w:rPr>
              <w:t>山西新产业技师学院</w:t>
            </w:r>
          </w:p>
          <w:p w14:paraId="3595450C">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地 址：</w:t>
            </w:r>
            <w:r>
              <w:rPr>
                <w:rFonts w:hint="eastAsia" w:ascii="宋体" w:hAnsi="宋体" w:eastAsia="宋体" w:cs="宋体"/>
                <w:color w:val="auto"/>
                <w:szCs w:val="21"/>
                <w:lang w:eastAsia="zh-CN"/>
              </w:rPr>
              <w:t>运城市盐湖区工农西街305号</w:t>
            </w:r>
          </w:p>
          <w:p w14:paraId="2CF4833C">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联系人：</w:t>
            </w:r>
            <w:r>
              <w:rPr>
                <w:rFonts w:hint="eastAsia" w:ascii="宋体" w:hAnsi="宋体" w:eastAsia="宋体" w:cs="宋体"/>
                <w:color w:val="auto"/>
                <w:szCs w:val="21"/>
                <w:lang w:val="en-US" w:eastAsia="zh-CN"/>
              </w:rPr>
              <w:t>胡女士</w:t>
            </w:r>
          </w:p>
          <w:p w14:paraId="0A893945">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rPr>
              <w:t>联系方式：</w:t>
            </w:r>
            <w:r>
              <w:rPr>
                <w:rFonts w:hint="eastAsia" w:ascii="宋体" w:hAnsi="宋体" w:eastAsia="宋体" w:cs="宋体"/>
                <w:color w:val="auto"/>
                <w:szCs w:val="21"/>
                <w:lang w:val="en-US" w:eastAsia="zh-CN"/>
              </w:rPr>
              <w:t>13834474577</w:t>
            </w:r>
          </w:p>
        </w:tc>
      </w:tr>
      <w:tr w14:paraId="7BC3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1792" w:type="dxa"/>
            <w:noWrap w:val="0"/>
            <w:vAlign w:val="center"/>
          </w:tcPr>
          <w:p w14:paraId="63FE73D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章第2.2</w:t>
            </w:r>
            <w:r>
              <w:rPr>
                <w:rFonts w:hint="eastAsia" w:ascii="宋体" w:hAnsi="宋体" w:eastAsia="宋体" w:cs="宋体"/>
                <w:color w:val="auto"/>
                <w:szCs w:val="21"/>
                <w:lang w:val="zh-CN"/>
              </w:rPr>
              <w:t>款</w:t>
            </w:r>
          </w:p>
        </w:tc>
        <w:tc>
          <w:tcPr>
            <w:tcW w:w="1763" w:type="dxa"/>
            <w:noWrap w:val="0"/>
            <w:vAlign w:val="center"/>
          </w:tcPr>
          <w:p w14:paraId="10128D11">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招标</w:t>
            </w:r>
            <w:r>
              <w:rPr>
                <w:rFonts w:hint="eastAsia" w:ascii="宋体" w:hAnsi="宋体" w:eastAsia="宋体" w:cs="宋体"/>
                <w:color w:val="auto"/>
                <w:szCs w:val="21"/>
              </w:rPr>
              <w:t>代理机构</w:t>
            </w:r>
          </w:p>
        </w:tc>
        <w:tc>
          <w:tcPr>
            <w:tcW w:w="6121" w:type="dxa"/>
            <w:gridSpan w:val="2"/>
            <w:noWrap w:val="0"/>
            <w:vAlign w:val="center"/>
          </w:tcPr>
          <w:p w14:paraId="7FECEC6E">
            <w:pPr>
              <w:pageBreakBefore w:val="0"/>
              <w:kinsoku/>
              <w:wordWrap w:val="0"/>
              <w:overflowPunct w:val="0"/>
              <w:topLinePunct w:val="0"/>
              <w:bidi w:val="0"/>
              <w:spacing w:line="340" w:lineRule="exact"/>
              <w:rPr>
                <w:rFonts w:hint="eastAsia" w:ascii="宋体" w:hAnsi="宋体" w:eastAsia="宋体" w:cs="宋体"/>
                <w:color w:val="auto"/>
                <w:szCs w:val="21"/>
                <w:lang w:val="en-US"/>
              </w:rPr>
            </w:pPr>
            <w:r>
              <w:rPr>
                <w:rFonts w:hint="eastAsia" w:ascii="宋体" w:hAnsi="宋体" w:eastAsia="宋体" w:cs="宋体"/>
                <w:color w:val="auto"/>
                <w:szCs w:val="21"/>
                <w:lang w:val="en-US"/>
              </w:rPr>
              <w:t>名    称：</w:t>
            </w:r>
            <w:r>
              <w:rPr>
                <w:rFonts w:hint="eastAsia" w:ascii="宋体" w:hAnsi="宋体" w:eastAsia="宋体" w:cs="宋体"/>
                <w:color w:val="auto"/>
                <w:szCs w:val="21"/>
                <w:lang w:val="en-US" w:eastAsia="zh-CN"/>
              </w:rPr>
              <w:t>山西沐泓工程项目管理有限公司</w:t>
            </w:r>
            <w:r>
              <w:rPr>
                <w:rFonts w:hint="eastAsia" w:ascii="宋体" w:hAnsi="宋体" w:eastAsia="宋体" w:cs="宋体"/>
                <w:color w:val="auto"/>
                <w:szCs w:val="21"/>
                <w:lang w:val="en-US"/>
              </w:rPr>
              <w:t xml:space="preserve"> </w:t>
            </w:r>
          </w:p>
          <w:p w14:paraId="0936450B">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rPr>
              <w:t>地    址：</w:t>
            </w:r>
            <w:r>
              <w:rPr>
                <w:rFonts w:hint="eastAsia" w:ascii="宋体" w:hAnsi="宋体" w:eastAsia="宋体" w:cs="宋体"/>
                <w:color w:val="auto"/>
                <w:szCs w:val="21"/>
                <w:lang w:val="en-US" w:eastAsia="zh-CN"/>
              </w:rPr>
              <w:t>运城市盐湖区铺安街天泰文化苑北区D幢三单元2101室</w:t>
            </w:r>
          </w:p>
          <w:p w14:paraId="08705CD4">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rPr>
              <w:t>联 系 人：</w:t>
            </w:r>
            <w:r>
              <w:rPr>
                <w:rFonts w:hint="eastAsia" w:ascii="宋体" w:hAnsi="宋体" w:eastAsia="宋体" w:cs="宋体"/>
                <w:color w:val="auto"/>
                <w:szCs w:val="21"/>
                <w:lang w:val="en-US" w:eastAsia="zh-CN"/>
              </w:rPr>
              <w:t>王女士</w:t>
            </w:r>
          </w:p>
          <w:p w14:paraId="3D9DED46">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rPr>
              <w:t>电    话：</w:t>
            </w:r>
            <w:r>
              <w:rPr>
                <w:rFonts w:hint="eastAsia" w:ascii="宋体" w:hAnsi="宋体" w:eastAsia="宋体" w:cs="宋体"/>
                <w:color w:val="auto"/>
                <w:szCs w:val="21"/>
                <w:lang w:val="en-US" w:eastAsia="zh-CN"/>
              </w:rPr>
              <w:t>0359-2226128/18613597091</w:t>
            </w:r>
          </w:p>
          <w:p w14:paraId="6056A21D">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rPr>
              <w:t>电子邮件：</w:t>
            </w:r>
            <w:r>
              <w:rPr>
                <w:rFonts w:hint="eastAsia" w:ascii="宋体" w:hAnsi="宋体" w:eastAsia="宋体" w:cs="宋体"/>
                <w:color w:val="auto"/>
                <w:szCs w:val="21"/>
                <w:lang w:val="en-US" w:eastAsia="zh-CN"/>
              </w:rPr>
              <w:t>muhongsx@163.com</w:t>
            </w:r>
          </w:p>
        </w:tc>
      </w:tr>
      <w:tr w14:paraId="6DF5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792" w:type="dxa"/>
            <w:noWrap w:val="0"/>
            <w:vAlign w:val="center"/>
          </w:tcPr>
          <w:p w14:paraId="277F5F11">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章第3.1</w:t>
            </w:r>
            <w:r>
              <w:rPr>
                <w:rFonts w:hint="eastAsia" w:ascii="宋体" w:hAnsi="宋体" w:eastAsia="宋体" w:cs="宋体"/>
                <w:color w:val="auto"/>
                <w:szCs w:val="21"/>
                <w:lang w:val="zh-CN"/>
              </w:rPr>
              <w:t>款</w:t>
            </w:r>
          </w:p>
        </w:tc>
        <w:tc>
          <w:tcPr>
            <w:tcW w:w="1763" w:type="dxa"/>
            <w:noWrap w:val="0"/>
            <w:vAlign w:val="center"/>
          </w:tcPr>
          <w:p w14:paraId="39C621A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投标人资格条件</w:t>
            </w:r>
          </w:p>
        </w:tc>
        <w:tc>
          <w:tcPr>
            <w:tcW w:w="6121" w:type="dxa"/>
            <w:gridSpan w:val="2"/>
            <w:noWrap w:val="0"/>
            <w:vAlign w:val="center"/>
          </w:tcPr>
          <w:p w14:paraId="13F0AA9C">
            <w:pPr>
              <w:pageBreakBefore w:val="0"/>
              <w:kinsoku/>
              <w:wordWrap w:val="0"/>
              <w:overflowPunct w:val="0"/>
              <w:topLinePunct w:val="0"/>
              <w:bidi w:val="0"/>
              <w:spacing w:line="340" w:lineRule="exact"/>
              <w:rPr>
                <w:rFonts w:hint="eastAsia" w:ascii="宋体" w:hAnsi="宋体" w:eastAsia="宋体" w:cs="宋体"/>
                <w:color w:val="auto"/>
                <w:lang w:val="zh-CN" w:eastAsia="zh-CN"/>
              </w:rPr>
            </w:pPr>
            <w:r>
              <w:rPr>
                <w:rFonts w:hint="eastAsia" w:ascii="宋体" w:hAnsi="宋体" w:eastAsia="宋体" w:cs="宋体"/>
                <w:color w:val="auto"/>
                <w:lang w:val="zh-CN" w:eastAsia="zh-CN"/>
              </w:rPr>
              <w:t>1.满足《中华人民共和国政府采购法》第二十二条规定；</w:t>
            </w:r>
          </w:p>
          <w:p w14:paraId="074B7BC3">
            <w:pPr>
              <w:pageBreakBefore w:val="0"/>
              <w:kinsoku/>
              <w:wordWrap w:val="0"/>
              <w:overflowPunct w:val="0"/>
              <w:topLinePunct w:val="0"/>
              <w:bidi w:val="0"/>
              <w:spacing w:line="340" w:lineRule="exact"/>
              <w:rPr>
                <w:rFonts w:hint="eastAsia" w:ascii="宋体" w:hAnsi="宋体" w:eastAsia="宋体" w:cs="宋体"/>
                <w:color w:val="auto"/>
                <w:lang w:val="en-US" w:eastAsia="zh-CN"/>
              </w:rPr>
            </w:pPr>
            <w:r>
              <w:rPr>
                <w:rFonts w:hint="eastAsia" w:ascii="宋体" w:hAnsi="宋体" w:eastAsia="宋体" w:cs="宋体"/>
                <w:color w:val="auto"/>
                <w:lang w:val="zh-CN" w:eastAsia="zh-CN"/>
              </w:rPr>
              <w:t>2.落实政府采购政策需满足的资格要求：</w:t>
            </w:r>
            <w:r>
              <w:rPr>
                <w:rFonts w:hint="eastAsia" w:ascii="宋体" w:hAnsi="宋体" w:eastAsia="宋体" w:cs="宋体"/>
                <w:color w:val="auto"/>
                <w:lang w:val="en-US" w:eastAsia="zh-CN"/>
              </w:rPr>
              <w:t>本项目专门面向中小企业。</w:t>
            </w:r>
          </w:p>
          <w:p w14:paraId="2114CD47">
            <w:pPr>
              <w:pageBreakBefore w:val="0"/>
              <w:kinsoku/>
              <w:wordWrap w:val="0"/>
              <w:overflowPunct w:val="0"/>
              <w:topLinePunct w:val="0"/>
              <w:bidi w:val="0"/>
              <w:spacing w:line="340" w:lineRule="exact"/>
              <w:rPr>
                <w:rFonts w:hint="eastAsia" w:ascii="宋体" w:hAnsi="宋体" w:eastAsia="宋体" w:cs="宋体"/>
                <w:color w:val="auto"/>
                <w:lang w:val="zh-CN" w:eastAsia="zh-CN"/>
              </w:rPr>
            </w:pPr>
            <w:r>
              <w:rPr>
                <w:rFonts w:hint="eastAsia" w:ascii="宋体" w:hAnsi="宋体" w:eastAsia="宋体" w:cs="宋体"/>
                <w:color w:val="auto"/>
                <w:lang w:val="zh-CN" w:eastAsia="zh-CN"/>
              </w:rPr>
              <w:t>3.本项目的特定资格要求：</w:t>
            </w:r>
          </w:p>
          <w:p w14:paraId="0CC09398">
            <w:pPr>
              <w:pageBreakBefore w:val="0"/>
              <w:kinsoku/>
              <w:wordWrap w:val="0"/>
              <w:overflowPunct w:val="0"/>
              <w:topLinePunct w:val="0"/>
              <w:bidi w:val="0"/>
              <w:spacing w:line="340" w:lineRule="exact"/>
              <w:rPr>
                <w:rFonts w:hint="eastAsia" w:ascii="宋体" w:hAnsi="宋体" w:eastAsia="宋体" w:cs="宋体"/>
                <w:color w:val="auto"/>
                <w:lang w:val="zh-CN" w:eastAsia="zh-CN"/>
              </w:rPr>
            </w:pPr>
            <w:r>
              <w:rPr>
                <w:rFonts w:hint="eastAsia" w:ascii="宋体" w:hAnsi="宋体" w:eastAsia="宋体" w:cs="宋体"/>
                <w:color w:val="auto"/>
                <w:lang w:val="zh-CN" w:eastAsia="zh-CN"/>
              </w:rPr>
              <w:t>（1）本次招标要求投标人须具备有效的营业执照，并在人员、设备、资金等方面具有相应的能力；</w:t>
            </w:r>
          </w:p>
          <w:p w14:paraId="06E54662">
            <w:pPr>
              <w:pageBreakBefore w:val="0"/>
              <w:kinsoku/>
              <w:wordWrap w:val="0"/>
              <w:overflowPunct w:val="0"/>
              <w:topLinePunct w:val="0"/>
              <w:bidi w:val="0"/>
              <w:spacing w:line="340" w:lineRule="exact"/>
              <w:rPr>
                <w:rFonts w:hint="eastAsia" w:ascii="宋体" w:hAnsi="宋体" w:eastAsia="宋体" w:cs="宋体"/>
                <w:color w:val="auto"/>
                <w:lang w:val="zh-CN" w:eastAsia="zh-CN"/>
              </w:rPr>
            </w:pPr>
            <w:r>
              <w:rPr>
                <w:rFonts w:hint="eastAsia" w:ascii="宋体" w:hAnsi="宋体" w:eastAsia="宋体" w:cs="宋体"/>
                <w:color w:val="auto"/>
                <w:lang w:val="zh-CN" w:eastAsia="zh-CN"/>
              </w:rPr>
              <w:t>（2）单位负责人为同一人或存在控股、管理关系的不同单位不得同时参加本项目的投标；</w:t>
            </w:r>
          </w:p>
          <w:p w14:paraId="4DBFFFD9">
            <w:pPr>
              <w:pageBreakBefore w:val="0"/>
              <w:kinsoku/>
              <w:wordWrap w:val="0"/>
              <w:overflowPunct w:val="0"/>
              <w:topLinePunct w:val="0"/>
              <w:bidi w:val="0"/>
              <w:spacing w:line="340" w:lineRule="exact"/>
              <w:rPr>
                <w:rFonts w:hint="eastAsia" w:ascii="宋体" w:hAnsi="宋体" w:eastAsia="宋体" w:cs="宋体"/>
                <w:color w:val="auto"/>
                <w:lang w:val="zh-CN"/>
              </w:rPr>
            </w:pPr>
            <w:r>
              <w:rPr>
                <w:rFonts w:hint="eastAsia" w:ascii="宋体" w:hAnsi="宋体" w:eastAsia="宋体" w:cs="宋体"/>
                <w:color w:val="auto"/>
                <w:lang w:val="zh-CN" w:eastAsia="zh-CN"/>
              </w:rPr>
              <w:t>（</w:t>
            </w:r>
            <w:r>
              <w:rPr>
                <w:rFonts w:hint="eastAsia" w:ascii="宋体" w:hAnsi="宋体" w:eastAsia="宋体" w:cs="宋体"/>
                <w:color w:val="auto"/>
                <w:lang w:val="en-US" w:eastAsia="zh-CN"/>
              </w:rPr>
              <w:t>3</w:t>
            </w:r>
            <w:r>
              <w:rPr>
                <w:rFonts w:hint="eastAsia" w:ascii="宋体" w:hAnsi="宋体" w:eastAsia="宋体" w:cs="宋体"/>
                <w:color w:val="auto"/>
                <w:lang w:val="zh-CN" w:eastAsia="zh-CN"/>
              </w:rPr>
              <w:t>）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w:t>
            </w:r>
          </w:p>
        </w:tc>
      </w:tr>
      <w:tr w14:paraId="6845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92" w:type="dxa"/>
            <w:noWrap w:val="0"/>
            <w:vAlign w:val="center"/>
          </w:tcPr>
          <w:p w14:paraId="48C2492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章第5.1</w:t>
            </w:r>
            <w:r>
              <w:rPr>
                <w:rFonts w:hint="eastAsia" w:ascii="宋体" w:hAnsi="宋体" w:eastAsia="宋体" w:cs="宋体"/>
                <w:color w:val="auto"/>
                <w:szCs w:val="21"/>
                <w:lang w:val="zh-CN"/>
              </w:rPr>
              <w:t>款</w:t>
            </w:r>
          </w:p>
        </w:tc>
        <w:tc>
          <w:tcPr>
            <w:tcW w:w="1763" w:type="dxa"/>
            <w:noWrap w:val="0"/>
            <w:vAlign w:val="center"/>
          </w:tcPr>
          <w:p w14:paraId="567DA05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联合体投标</w:t>
            </w:r>
          </w:p>
        </w:tc>
        <w:tc>
          <w:tcPr>
            <w:tcW w:w="6121" w:type="dxa"/>
            <w:gridSpan w:val="2"/>
            <w:noWrap w:val="0"/>
            <w:vAlign w:val="center"/>
          </w:tcPr>
          <w:p w14:paraId="55E1049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不接受</w:t>
            </w:r>
            <w:r>
              <w:rPr>
                <w:rFonts w:hint="eastAsia" w:ascii="宋体" w:hAnsi="宋体" w:eastAsia="宋体" w:cs="宋体"/>
                <w:color w:val="auto"/>
                <w:szCs w:val="21"/>
              </w:rPr>
              <w:tab/>
            </w:r>
          </w:p>
        </w:tc>
      </w:tr>
      <w:tr w14:paraId="5C0F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92" w:type="dxa"/>
            <w:noWrap w:val="0"/>
            <w:vAlign w:val="center"/>
          </w:tcPr>
          <w:p w14:paraId="2851F96A">
            <w:pPr>
              <w:pageBreakBefore w:val="0"/>
              <w:kinsoku/>
              <w:wordWrap w:val="0"/>
              <w:overflowPunct w:val="0"/>
              <w:topLinePunct w:val="0"/>
              <w:bidi w:val="0"/>
              <w:adjustRightInd w:val="0"/>
              <w:snapToGrid w:val="0"/>
              <w:spacing w:line="360" w:lineRule="exact"/>
              <w:jc w:val="both"/>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章第6.1</w:t>
            </w:r>
            <w:r>
              <w:rPr>
                <w:rFonts w:hint="eastAsia" w:ascii="宋体" w:hAnsi="宋体" w:eastAsia="宋体" w:cs="宋体"/>
                <w:color w:val="auto"/>
                <w:kern w:val="0"/>
                <w:szCs w:val="21"/>
                <w:lang w:val="zh-CN"/>
              </w:rPr>
              <w:t>款</w:t>
            </w:r>
          </w:p>
        </w:tc>
        <w:tc>
          <w:tcPr>
            <w:tcW w:w="1763" w:type="dxa"/>
            <w:noWrap w:val="0"/>
            <w:vAlign w:val="center"/>
          </w:tcPr>
          <w:p w14:paraId="08E3C56E">
            <w:pPr>
              <w:pageBreakBefore w:val="0"/>
              <w:kinsoku/>
              <w:wordWrap w:val="0"/>
              <w:overflowPunct w:val="0"/>
              <w:topLinePunct w:val="0"/>
              <w:bidi w:val="0"/>
              <w:adjustRightInd w:val="0"/>
              <w:snapToGrid w:val="0"/>
              <w:spacing w:line="360" w:lineRule="exact"/>
              <w:jc w:val="both"/>
              <w:rPr>
                <w:rFonts w:hint="eastAsia" w:ascii="宋体" w:hAnsi="宋体" w:eastAsia="宋体" w:cs="宋体"/>
                <w:color w:val="auto"/>
                <w:szCs w:val="21"/>
              </w:rPr>
            </w:pPr>
            <w:r>
              <w:rPr>
                <w:rFonts w:hint="eastAsia" w:ascii="宋体" w:hAnsi="宋体" w:eastAsia="宋体" w:cs="宋体"/>
                <w:color w:val="auto"/>
                <w:szCs w:val="21"/>
              </w:rPr>
              <w:t>采购进口产品</w:t>
            </w:r>
          </w:p>
        </w:tc>
        <w:tc>
          <w:tcPr>
            <w:tcW w:w="6121" w:type="dxa"/>
            <w:gridSpan w:val="2"/>
            <w:noWrap w:val="0"/>
            <w:vAlign w:val="center"/>
          </w:tcPr>
          <w:p w14:paraId="3116655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lang w:val="en-US" w:eastAsia="zh-CN"/>
              </w:rPr>
              <w:t>本项目拒绝进口产品投标。</w:t>
            </w:r>
          </w:p>
        </w:tc>
      </w:tr>
      <w:tr w14:paraId="3F8D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9676" w:type="dxa"/>
            <w:gridSpan w:val="4"/>
            <w:noWrap w:val="0"/>
            <w:vAlign w:val="center"/>
          </w:tcPr>
          <w:p w14:paraId="0546DD18">
            <w:pPr>
              <w:pageBreakBefore w:val="0"/>
              <w:kinsoku/>
              <w:wordWrap w:val="0"/>
              <w:overflowPunct w:val="0"/>
              <w:topLinePunct w:val="0"/>
              <w:bidi w:val="0"/>
              <w:spacing w:line="340" w:lineRule="exact"/>
              <w:rPr>
                <w:rFonts w:hint="eastAsia" w:ascii="宋体" w:hAnsi="宋体" w:eastAsia="宋体" w:cs="宋体"/>
                <w:b/>
                <w:bCs/>
                <w:color w:val="auto"/>
                <w:szCs w:val="21"/>
              </w:rPr>
            </w:pPr>
          </w:p>
          <w:p w14:paraId="744B4FC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Cs w:val="21"/>
              </w:rPr>
              <w:t>二、招标文件</w:t>
            </w:r>
          </w:p>
        </w:tc>
      </w:tr>
      <w:tr w14:paraId="0320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792" w:type="dxa"/>
            <w:noWrap w:val="0"/>
            <w:vAlign w:val="center"/>
          </w:tcPr>
          <w:p w14:paraId="33B3D1A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章第7.3</w:t>
            </w:r>
            <w:r>
              <w:rPr>
                <w:rFonts w:hint="eastAsia" w:ascii="宋体" w:hAnsi="宋体" w:eastAsia="宋体" w:cs="宋体"/>
                <w:color w:val="auto"/>
                <w:szCs w:val="21"/>
                <w:lang w:val="zh-CN"/>
              </w:rPr>
              <w:t>款</w:t>
            </w:r>
          </w:p>
        </w:tc>
        <w:tc>
          <w:tcPr>
            <w:tcW w:w="1763" w:type="dxa"/>
            <w:noWrap w:val="0"/>
            <w:vAlign w:val="center"/>
          </w:tcPr>
          <w:p w14:paraId="78E6213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财政部门指定的</w:t>
            </w:r>
          </w:p>
          <w:p w14:paraId="2EC8AF9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媒体</w:t>
            </w:r>
          </w:p>
        </w:tc>
        <w:tc>
          <w:tcPr>
            <w:tcW w:w="6121" w:type="dxa"/>
            <w:gridSpan w:val="2"/>
            <w:noWrap w:val="0"/>
            <w:vAlign w:val="center"/>
          </w:tcPr>
          <w:p w14:paraId="4C30F8EC">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山西省政府采购网</w:t>
            </w:r>
          </w:p>
        </w:tc>
      </w:tr>
      <w:tr w14:paraId="6E7A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792" w:type="dxa"/>
            <w:noWrap w:val="0"/>
            <w:vAlign w:val="center"/>
          </w:tcPr>
          <w:p w14:paraId="2D93090A">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章第8.1</w:t>
            </w:r>
            <w:r>
              <w:rPr>
                <w:rFonts w:hint="eastAsia" w:ascii="宋体" w:hAnsi="宋体" w:eastAsia="宋体" w:cs="宋体"/>
                <w:color w:val="auto"/>
                <w:szCs w:val="21"/>
                <w:lang w:val="zh-CN"/>
              </w:rPr>
              <w:t>款</w:t>
            </w:r>
          </w:p>
        </w:tc>
        <w:tc>
          <w:tcPr>
            <w:tcW w:w="1763" w:type="dxa"/>
            <w:noWrap w:val="0"/>
            <w:vAlign w:val="center"/>
          </w:tcPr>
          <w:p w14:paraId="0F55E46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招标文件的提供</w:t>
            </w:r>
          </w:p>
          <w:p w14:paraId="5183002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期限</w:t>
            </w:r>
          </w:p>
        </w:tc>
        <w:tc>
          <w:tcPr>
            <w:tcW w:w="6121" w:type="dxa"/>
            <w:gridSpan w:val="2"/>
            <w:noWrap w:val="0"/>
            <w:vAlign w:val="center"/>
          </w:tcPr>
          <w:p w14:paraId="57F67EC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zh-CN" w:eastAsia="zh-CN"/>
              </w:rPr>
              <w:t>202</w:t>
            </w: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eastAsia="zh-CN"/>
              </w:rPr>
              <w:t>年</w:t>
            </w:r>
            <w:r>
              <w:rPr>
                <w:rFonts w:hint="eastAsia" w:ascii="宋体" w:hAnsi="宋体" w:eastAsia="宋体" w:cs="宋体"/>
                <w:color w:val="auto"/>
                <w:szCs w:val="21"/>
                <w:lang w:val="en-US" w:eastAsia="zh-CN"/>
              </w:rPr>
              <w:t>9</w:t>
            </w:r>
            <w:r>
              <w:rPr>
                <w:rFonts w:hint="eastAsia" w:ascii="宋体" w:hAnsi="宋体" w:eastAsia="宋体" w:cs="宋体"/>
                <w:color w:val="auto"/>
                <w:szCs w:val="21"/>
                <w:lang w:val="zh-CN" w:eastAsia="zh-CN"/>
              </w:rPr>
              <w:t>月</w:t>
            </w:r>
            <w:r>
              <w:rPr>
                <w:rFonts w:hint="eastAsia" w:ascii="宋体" w:hAnsi="宋体" w:eastAsia="宋体" w:cs="宋体"/>
                <w:color w:val="auto"/>
                <w:szCs w:val="21"/>
                <w:lang w:val="en-US" w:eastAsia="zh-CN"/>
              </w:rPr>
              <w:t>30</w:t>
            </w:r>
            <w:r>
              <w:rPr>
                <w:rFonts w:hint="eastAsia" w:ascii="宋体" w:hAnsi="宋体" w:eastAsia="宋体" w:cs="宋体"/>
                <w:color w:val="auto"/>
                <w:szCs w:val="21"/>
                <w:lang w:val="zh-CN" w:eastAsia="zh-CN"/>
              </w:rPr>
              <w:t>日00时00分00秒至202</w:t>
            </w: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eastAsia="zh-CN"/>
              </w:rPr>
              <w:t>年</w:t>
            </w:r>
            <w:r>
              <w:rPr>
                <w:rFonts w:hint="eastAsia" w:ascii="宋体" w:hAnsi="宋体" w:eastAsia="宋体" w:cs="宋体"/>
                <w:color w:val="auto"/>
                <w:szCs w:val="21"/>
                <w:lang w:val="en-US" w:eastAsia="zh-CN"/>
              </w:rPr>
              <w:t>10</w:t>
            </w:r>
            <w:r>
              <w:rPr>
                <w:rFonts w:hint="eastAsia" w:ascii="宋体" w:hAnsi="宋体" w:eastAsia="宋体" w:cs="宋体"/>
                <w:color w:val="auto"/>
                <w:szCs w:val="21"/>
                <w:lang w:val="zh-CN" w:eastAsia="zh-CN"/>
              </w:rPr>
              <w:t>月</w:t>
            </w:r>
            <w:r>
              <w:rPr>
                <w:rFonts w:hint="eastAsia" w:ascii="宋体" w:hAnsi="宋体" w:eastAsia="宋体" w:cs="宋体"/>
                <w:color w:val="auto"/>
                <w:szCs w:val="21"/>
                <w:lang w:val="en-US" w:eastAsia="zh-CN"/>
              </w:rPr>
              <w:t>13</w:t>
            </w:r>
            <w:r>
              <w:rPr>
                <w:rFonts w:hint="eastAsia" w:ascii="宋体" w:hAnsi="宋体" w:eastAsia="宋体" w:cs="宋体"/>
                <w:color w:val="auto"/>
                <w:szCs w:val="21"/>
                <w:lang w:val="zh-CN" w:eastAsia="zh-CN"/>
              </w:rPr>
              <w:t>日</w:t>
            </w:r>
            <w:r>
              <w:rPr>
                <w:rFonts w:hint="eastAsia" w:ascii="宋体" w:hAnsi="宋体" w:eastAsia="宋体" w:cs="宋体"/>
                <w:color w:val="auto"/>
                <w:szCs w:val="21"/>
                <w:lang w:val="en-US" w:eastAsia="zh-CN"/>
              </w:rPr>
              <w:t>23</w:t>
            </w:r>
            <w:r>
              <w:rPr>
                <w:rFonts w:hint="eastAsia" w:ascii="宋体" w:hAnsi="宋体" w:eastAsia="宋体" w:cs="宋体"/>
                <w:color w:val="auto"/>
                <w:szCs w:val="21"/>
                <w:lang w:val="zh-CN" w:eastAsia="zh-CN"/>
              </w:rPr>
              <w:t>时</w:t>
            </w:r>
            <w:r>
              <w:rPr>
                <w:rFonts w:hint="eastAsia" w:ascii="宋体" w:hAnsi="宋体" w:eastAsia="宋体" w:cs="宋体"/>
                <w:color w:val="auto"/>
                <w:szCs w:val="21"/>
                <w:lang w:val="en-US" w:eastAsia="zh-CN"/>
              </w:rPr>
              <w:t>59</w:t>
            </w:r>
            <w:r>
              <w:rPr>
                <w:rFonts w:hint="eastAsia" w:ascii="宋体" w:hAnsi="宋体" w:eastAsia="宋体" w:cs="宋体"/>
                <w:color w:val="auto"/>
                <w:szCs w:val="21"/>
                <w:lang w:val="zh-CN" w:eastAsia="zh-CN"/>
              </w:rPr>
              <w:t>分</w:t>
            </w:r>
            <w:r>
              <w:rPr>
                <w:rFonts w:hint="eastAsia" w:ascii="宋体" w:hAnsi="宋体" w:eastAsia="宋体" w:cs="宋体"/>
                <w:color w:val="auto"/>
                <w:szCs w:val="21"/>
                <w:lang w:val="en-US" w:eastAsia="zh-CN"/>
              </w:rPr>
              <w:t>59</w:t>
            </w:r>
            <w:r>
              <w:rPr>
                <w:rFonts w:hint="eastAsia" w:ascii="宋体" w:hAnsi="宋体" w:eastAsia="宋体" w:cs="宋体"/>
                <w:color w:val="auto"/>
                <w:szCs w:val="21"/>
                <w:lang w:val="zh-CN" w:eastAsia="zh-CN"/>
              </w:rPr>
              <w:t>秒（北京时间）</w:t>
            </w:r>
          </w:p>
        </w:tc>
      </w:tr>
      <w:tr w14:paraId="325D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792" w:type="dxa"/>
            <w:noWrap w:val="0"/>
            <w:vAlign w:val="center"/>
          </w:tcPr>
          <w:p w14:paraId="7C4785B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章第8.2</w:t>
            </w:r>
            <w:r>
              <w:rPr>
                <w:rFonts w:hint="eastAsia" w:ascii="宋体" w:hAnsi="宋体" w:eastAsia="宋体" w:cs="宋体"/>
                <w:color w:val="auto"/>
                <w:szCs w:val="21"/>
                <w:lang w:val="zh-CN"/>
              </w:rPr>
              <w:t>款</w:t>
            </w:r>
          </w:p>
        </w:tc>
        <w:tc>
          <w:tcPr>
            <w:tcW w:w="1763" w:type="dxa"/>
            <w:noWrap w:val="0"/>
            <w:vAlign w:val="center"/>
          </w:tcPr>
          <w:p w14:paraId="572E66FB">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招标</w:t>
            </w:r>
            <w:r>
              <w:rPr>
                <w:rFonts w:hint="eastAsia" w:ascii="宋体" w:hAnsi="宋体" w:eastAsia="宋体" w:cs="宋体"/>
                <w:color w:val="auto"/>
                <w:szCs w:val="21"/>
              </w:rPr>
              <w:t>文件的获取</w:t>
            </w:r>
          </w:p>
        </w:tc>
        <w:tc>
          <w:tcPr>
            <w:tcW w:w="6121" w:type="dxa"/>
            <w:gridSpan w:val="2"/>
            <w:noWrap w:val="0"/>
            <w:vAlign w:val="center"/>
          </w:tcPr>
          <w:p w14:paraId="5469575A">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eastAsia="zh-CN"/>
              </w:rPr>
              <w:t>通过山西省政府采购网－</w:t>
            </w:r>
            <w:r>
              <w:rPr>
                <w:rFonts w:hint="eastAsia" w:ascii="宋体" w:hAnsi="宋体" w:eastAsia="宋体" w:cs="宋体"/>
                <w:color w:val="auto"/>
                <w:szCs w:val="21"/>
                <w:lang w:val="en-US" w:eastAsia="zh-CN"/>
              </w:rPr>
              <w:t>政府采购云平台获取电子版采购</w:t>
            </w:r>
            <w:r>
              <w:rPr>
                <w:rFonts w:hint="eastAsia" w:ascii="宋体" w:hAnsi="宋体" w:eastAsia="宋体" w:cs="宋体"/>
                <w:color w:val="auto"/>
                <w:szCs w:val="21"/>
              </w:rPr>
              <w:t>文件，此为获取</w:t>
            </w:r>
            <w:r>
              <w:rPr>
                <w:rFonts w:hint="eastAsia" w:ascii="宋体" w:hAnsi="宋体" w:eastAsia="宋体" w:cs="宋体"/>
                <w:color w:val="auto"/>
                <w:szCs w:val="21"/>
                <w:lang w:val="en-US" w:eastAsia="zh-CN"/>
              </w:rPr>
              <w:t>采购</w:t>
            </w:r>
            <w:r>
              <w:rPr>
                <w:rFonts w:hint="eastAsia" w:ascii="宋体" w:hAnsi="宋体" w:eastAsia="宋体" w:cs="宋体"/>
                <w:color w:val="auto"/>
                <w:szCs w:val="21"/>
              </w:rPr>
              <w:t>文件的唯一途径，通过其他渠道获取</w:t>
            </w:r>
            <w:r>
              <w:rPr>
                <w:rFonts w:hint="eastAsia" w:ascii="宋体" w:hAnsi="宋体" w:eastAsia="宋体" w:cs="宋体"/>
                <w:color w:val="auto"/>
                <w:szCs w:val="21"/>
                <w:lang w:val="en-US" w:eastAsia="zh-CN"/>
              </w:rPr>
              <w:t>采购</w:t>
            </w:r>
            <w:r>
              <w:rPr>
                <w:rFonts w:hint="eastAsia" w:ascii="宋体" w:hAnsi="宋体" w:eastAsia="宋体" w:cs="宋体"/>
                <w:color w:val="auto"/>
                <w:szCs w:val="21"/>
              </w:rPr>
              <w:t>文件的不具备投标资格。</w:t>
            </w:r>
          </w:p>
        </w:tc>
      </w:tr>
      <w:tr w14:paraId="56BE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792" w:type="dxa"/>
            <w:noWrap w:val="0"/>
            <w:vAlign w:val="center"/>
          </w:tcPr>
          <w:p w14:paraId="39246398">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eastAsia="zh-CN"/>
              </w:rPr>
              <w:t>第二章第</w:t>
            </w:r>
            <w:r>
              <w:rPr>
                <w:rFonts w:hint="eastAsia" w:ascii="宋体" w:hAnsi="宋体" w:eastAsia="宋体" w:cs="宋体"/>
                <w:color w:val="auto"/>
                <w:szCs w:val="21"/>
                <w:lang w:val="en-US" w:eastAsia="zh-CN"/>
              </w:rPr>
              <w:t>9.3款</w:t>
            </w:r>
          </w:p>
        </w:tc>
        <w:tc>
          <w:tcPr>
            <w:tcW w:w="1763" w:type="dxa"/>
            <w:noWrap w:val="0"/>
            <w:vAlign w:val="center"/>
          </w:tcPr>
          <w:p w14:paraId="01527D0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一般条款允许偏离的最高项数</w:t>
            </w:r>
          </w:p>
        </w:tc>
        <w:tc>
          <w:tcPr>
            <w:tcW w:w="6121" w:type="dxa"/>
            <w:gridSpan w:val="2"/>
            <w:noWrap w:val="0"/>
            <w:vAlign w:val="center"/>
          </w:tcPr>
          <w:p w14:paraId="06F00686">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highlight w:val="none"/>
              </w:rPr>
              <w:t>一般商务和技术条款偏离项数之和≥</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项将导致无效投标。</w:t>
            </w:r>
          </w:p>
        </w:tc>
      </w:tr>
      <w:tr w14:paraId="13F8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792" w:type="dxa"/>
            <w:noWrap w:val="0"/>
            <w:vAlign w:val="center"/>
          </w:tcPr>
          <w:p w14:paraId="381EF01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章第11.1</w:t>
            </w:r>
            <w:r>
              <w:rPr>
                <w:rFonts w:hint="eastAsia" w:ascii="宋体" w:hAnsi="宋体" w:eastAsia="宋体" w:cs="宋体"/>
                <w:color w:val="auto"/>
                <w:szCs w:val="21"/>
                <w:lang w:val="zh-CN"/>
              </w:rPr>
              <w:t>款</w:t>
            </w:r>
          </w:p>
        </w:tc>
        <w:tc>
          <w:tcPr>
            <w:tcW w:w="1763" w:type="dxa"/>
            <w:noWrap w:val="0"/>
            <w:vAlign w:val="center"/>
          </w:tcPr>
          <w:p w14:paraId="5C8DE32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提交投标文件</w:t>
            </w:r>
          </w:p>
          <w:p w14:paraId="6529D2D9">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截止时间</w:t>
            </w:r>
          </w:p>
          <w:p w14:paraId="1049525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rPr>
              <w:t>开标时间</w:t>
            </w:r>
            <w:r>
              <w:rPr>
                <w:rFonts w:hint="eastAsia" w:ascii="宋体" w:hAnsi="宋体" w:eastAsia="宋体" w:cs="宋体"/>
                <w:color w:val="auto"/>
                <w:szCs w:val="21"/>
                <w:lang w:eastAsia="zh-CN"/>
              </w:rPr>
              <w:t>）</w:t>
            </w:r>
          </w:p>
        </w:tc>
        <w:tc>
          <w:tcPr>
            <w:tcW w:w="6121" w:type="dxa"/>
            <w:gridSpan w:val="2"/>
            <w:noWrap w:val="0"/>
            <w:vAlign w:val="center"/>
          </w:tcPr>
          <w:p w14:paraId="371BDBF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zh-CN" w:eastAsia="zh-CN"/>
              </w:rPr>
              <w:t>202</w:t>
            </w: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eastAsia="zh-CN"/>
              </w:rPr>
              <w:t>年</w:t>
            </w:r>
            <w:r>
              <w:rPr>
                <w:rFonts w:hint="eastAsia" w:ascii="宋体" w:hAnsi="宋体" w:eastAsia="宋体" w:cs="宋体"/>
                <w:color w:val="auto"/>
                <w:szCs w:val="21"/>
                <w:lang w:val="en-US" w:eastAsia="zh-CN"/>
              </w:rPr>
              <w:t>10</w:t>
            </w:r>
            <w:r>
              <w:rPr>
                <w:rFonts w:hint="eastAsia" w:ascii="宋体" w:hAnsi="宋体" w:eastAsia="宋体" w:cs="宋体"/>
                <w:color w:val="auto"/>
                <w:szCs w:val="21"/>
                <w:lang w:val="zh-CN" w:eastAsia="zh-CN"/>
              </w:rPr>
              <w:t>月</w:t>
            </w:r>
            <w:r>
              <w:rPr>
                <w:rFonts w:hint="eastAsia" w:ascii="宋体" w:hAnsi="宋体" w:eastAsia="宋体" w:cs="宋体"/>
                <w:color w:val="auto"/>
                <w:szCs w:val="21"/>
                <w:lang w:val="en-US" w:eastAsia="zh-CN"/>
              </w:rPr>
              <w:t>20</w:t>
            </w:r>
            <w:r>
              <w:rPr>
                <w:rFonts w:hint="eastAsia" w:ascii="宋体" w:hAnsi="宋体" w:eastAsia="宋体" w:cs="宋体"/>
                <w:color w:val="auto"/>
                <w:szCs w:val="21"/>
                <w:lang w:val="zh-CN" w:eastAsia="zh-CN"/>
              </w:rPr>
              <w:t>日</w:t>
            </w:r>
            <w:r>
              <w:rPr>
                <w:rFonts w:hint="eastAsia" w:ascii="宋体" w:hAnsi="宋体" w:eastAsia="宋体" w:cs="宋体"/>
                <w:color w:val="auto"/>
                <w:szCs w:val="21"/>
                <w:lang w:val="en-US" w:eastAsia="zh-CN"/>
              </w:rPr>
              <w:t>09</w:t>
            </w:r>
            <w:r>
              <w:rPr>
                <w:rFonts w:hint="eastAsia" w:ascii="宋体" w:hAnsi="宋体" w:eastAsia="宋体" w:cs="宋体"/>
                <w:color w:val="auto"/>
                <w:szCs w:val="21"/>
                <w:lang w:val="zh-CN" w:eastAsia="zh-CN"/>
              </w:rPr>
              <w:t>时00分（北京时间）</w:t>
            </w:r>
          </w:p>
        </w:tc>
      </w:tr>
      <w:tr w14:paraId="5F11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676" w:type="dxa"/>
            <w:gridSpan w:val="4"/>
            <w:noWrap w:val="0"/>
            <w:vAlign w:val="center"/>
          </w:tcPr>
          <w:p w14:paraId="261E75BE">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Cs w:val="21"/>
              </w:rPr>
              <w:t>三、投标文件的编写</w:t>
            </w:r>
          </w:p>
        </w:tc>
      </w:tr>
      <w:tr w14:paraId="47F3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92" w:type="dxa"/>
            <w:noWrap w:val="0"/>
            <w:vAlign w:val="center"/>
          </w:tcPr>
          <w:p w14:paraId="06E3A68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章第15.7</w:t>
            </w:r>
            <w:r>
              <w:rPr>
                <w:rFonts w:hint="eastAsia" w:ascii="宋体" w:hAnsi="宋体" w:eastAsia="宋体" w:cs="宋体"/>
                <w:color w:val="auto"/>
                <w:szCs w:val="21"/>
                <w:lang w:val="zh-CN"/>
              </w:rPr>
              <w:t>款</w:t>
            </w:r>
          </w:p>
        </w:tc>
        <w:tc>
          <w:tcPr>
            <w:tcW w:w="1763" w:type="dxa"/>
            <w:noWrap w:val="0"/>
            <w:vAlign w:val="center"/>
          </w:tcPr>
          <w:p w14:paraId="44A2A73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预算金额</w:t>
            </w:r>
            <w:r>
              <w:rPr>
                <w:rFonts w:hint="eastAsia" w:ascii="宋体" w:hAnsi="宋体" w:eastAsia="宋体" w:cs="宋体"/>
                <w:color w:val="auto"/>
                <w:szCs w:val="21"/>
                <w:lang w:val="en-US" w:eastAsia="zh-CN"/>
              </w:rPr>
              <w:t>（最高限价）</w:t>
            </w:r>
          </w:p>
        </w:tc>
        <w:tc>
          <w:tcPr>
            <w:tcW w:w="6121" w:type="dxa"/>
            <w:gridSpan w:val="2"/>
            <w:noWrap w:val="0"/>
            <w:vAlign w:val="center"/>
          </w:tcPr>
          <w:p w14:paraId="289D04E3">
            <w:pPr>
              <w:pageBreakBefore w:val="0"/>
              <w:kinsoku/>
              <w:wordWrap w:val="0"/>
              <w:overflowPunct w:val="0"/>
              <w:topLinePunct w:val="0"/>
              <w:bidi w:val="0"/>
              <w:spacing w:line="340" w:lineRule="exact"/>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1947500‬元，其中一包：1602000元；二包：345500元。</w:t>
            </w:r>
          </w:p>
        </w:tc>
      </w:tr>
      <w:tr w14:paraId="1246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92" w:type="dxa"/>
            <w:noWrap w:val="0"/>
            <w:vAlign w:val="center"/>
          </w:tcPr>
          <w:p w14:paraId="69068DBE">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章第15.3</w:t>
            </w:r>
            <w:r>
              <w:rPr>
                <w:rFonts w:hint="eastAsia" w:ascii="宋体" w:hAnsi="宋体" w:eastAsia="宋体" w:cs="宋体"/>
                <w:color w:val="auto"/>
                <w:szCs w:val="21"/>
                <w:lang w:val="zh-CN"/>
              </w:rPr>
              <w:t>款</w:t>
            </w:r>
          </w:p>
        </w:tc>
        <w:tc>
          <w:tcPr>
            <w:tcW w:w="1763" w:type="dxa"/>
            <w:noWrap w:val="0"/>
            <w:vAlign w:val="center"/>
          </w:tcPr>
          <w:p w14:paraId="394188A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备选方案</w:t>
            </w:r>
          </w:p>
        </w:tc>
        <w:tc>
          <w:tcPr>
            <w:tcW w:w="6121" w:type="dxa"/>
            <w:gridSpan w:val="2"/>
            <w:noWrap w:val="0"/>
            <w:vAlign w:val="center"/>
          </w:tcPr>
          <w:p w14:paraId="0C51B4CA">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不接受</w:t>
            </w:r>
          </w:p>
        </w:tc>
      </w:tr>
      <w:tr w14:paraId="2AAD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792" w:type="dxa"/>
            <w:noWrap w:val="0"/>
            <w:vAlign w:val="center"/>
          </w:tcPr>
          <w:p w14:paraId="400A14DE">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章第18.1</w:t>
            </w:r>
            <w:r>
              <w:rPr>
                <w:rFonts w:hint="eastAsia" w:ascii="宋体" w:hAnsi="宋体" w:eastAsia="宋体" w:cs="宋体"/>
                <w:color w:val="auto"/>
                <w:szCs w:val="21"/>
                <w:lang w:val="zh-CN"/>
              </w:rPr>
              <w:t>款</w:t>
            </w:r>
          </w:p>
        </w:tc>
        <w:tc>
          <w:tcPr>
            <w:tcW w:w="1763" w:type="dxa"/>
            <w:noWrap w:val="0"/>
            <w:vAlign w:val="center"/>
          </w:tcPr>
          <w:p w14:paraId="266E7E3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投标保证金</w:t>
            </w:r>
          </w:p>
        </w:tc>
        <w:tc>
          <w:tcPr>
            <w:tcW w:w="6121" w:type="dxa"/>
            <w:gridSpan w:val="2"/>
            <w:noWrap w:val="0"/>
            <w:vAlign w:val="center"/>
          </w:tcPr>
          <w:p w14:paraId="20A668BC">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1.交纳方式：通过本单位基本银行账户电汇、银行保函、支票、汇票、本票或金融机构、担保机构出具的保函等非现金形式提交。</w:t>
            </w:r>
          </w:p>
          <w:p w14:paraId="49B4A204">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2.截止时间：202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10</w:t>
            </w:r>
            <w:r>
              <w:rPr>
                <w:rFonts w:hint="eastAsia" w:ascii="宋体" w:hAnsi="宋体" w:eastAsia="宋体" w:cs="宋体"/>
                <w:color w:val="auto"/>
              </w:rPr>
              <w:t>月</w:t>
            </w:r>
            <w:r>
              <w:rPr>
                <w:rFonts w:hint="eastAsia" w:ascii="宋体" w:hAnsi="宋体" w:eastAsia="宋体" w:cs="宋体"/>
                <w:color w:val="auto"/>
                <w:lang w:val="en-US" w:eastAsia="zh-CN"/>
              </w:rPr>
              <w:t>20</w:t>
            </w:r>
            <w:r>
              <w:rPr>
                <w:rFonts w:hint="eastAsia" w:ascii="宋体" w:hAnsi="宋体" w:eastAsia="宋体" w:cs="宋体"/>
                <w:color w:val="auto"/>
              </w:rPr>
              <w:t>日09时00分（北京时间）（以实际到账时间为准）；</w:t>
            </w:r>
          </w:p>
          <w:p w14:paraId="19FF51E6">
            <w:pPr>
              <w:pageBreakBefore w:val="0"/>
              <w:kinsoku/>
              <w:wordWrap w:val="0"/>
              <w:overflowPunct w:val="0"/>
              <w:topLinePunct w:val="0"/>
              <w:bidi w:val="0"/>
              <w:spacing w:line="340" w:lineRule="exact"/>
              <w:rPr>
                <w:rFonts w:hint="eastAsia" w:ascii="宋体" w:hAnsi="宋体" w:eastAsia="宋体" w:cs="宋体"/>
                <w:color w:val="auto"/>
                <w:lang w:eastAsia="zh-CN"/>
              </w:rPr>
            </w:pPr>
            <w:r>
              <w:rPr>
                <w:rFonts w:hint="eastAsia" w:ascii="宋体" w:hAnsi="宋体" w:eastAsia="宋体" w:cs="宋体"/>
                <w:color w:val="auto"/>
              </w:rPr>
              <w:t>3.投标保证金：</w:t>
            </w:r>
            <w:r>
              <w:rPr>
                <w:rFonts w:hint="eastAsia" w:ascii="宋体" w:hAnsi="宋体" w:eastAsia="宋体" w:cs="宋体"/>
                <w:color w:val="auto"/>
                <w:lang w:val="en-US" w:eastAsia="zh-CN"/>
              </w:rPr>
              <w:t>一包：</w:t>
            </w:r>
            <w:r>
              <w:rPr>
                <w:rFonts w:hint="eastAsia" w:ascii="宋体" w:hAnsi="宋体" w:eastAsia="宋体" w:cs="宋体"/>
                <w:color w:val="auto"/>
              </w:rPr>
              <w:t>人民币</w:t>
            </w:r>
            <w:r>
              <w:rPr>
                <w:rFonts w:hint="eastAsia" w:ascii="宋体" w:hAnsi="宋体" w:eastAsia="宋体" w:cs="宋体"/>
                <w:color w:val="auto"/>
                <w:lang w:val="en-US" w:eastAsia="zh-CN"/>
              </w:rPr>
              <w:t>壹万陆仟元整；二包：人民币叁仟肆佰元整</w:t>
            </w:r>
            <w:r>
              <w:rPr>
                <w:rFonts w:hint="eastAsia" w:ascii="宋体" w:hAnsi="宋体" w:eastAsia="宋体" w:cs="宋体"/>
                <w:color w:val="auto"/>
              </w:rPr>
              <w:t>。交纳投标保证金时请在备注栏中注明项目</w:t>
            </w:r>
            <w:r>
              <w:rPr>
                <w:rFonts w:hint="eastAsia" w:ascii="宋体" w:hAnsi="宋体" w:eastAsia="宋体" w:cs="宋体"/>
                <w:color w:val="auto"/>
                <w:lang w:val="en-US" w:eastAsia="zh-CN"/>
              </w:rPr>
              <w:t>名称+包号。</w:t>
            </w:r>
          </w:p>
          <w:p w14:paraId="437D6218">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4.支付账户信息</w:t>
            </w:r>
          </w:p>
          <w:p w14:paraId="5A59BBDB">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开户名：山西沐泓工程项目管理有限公司</w:t>
            </w:r>
          </w:p>
          <w:p w14:paraId="1EC087A9">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开户行：中国银行股份有限公司运城东城支行</w:t>
            </w:r>
          </w:p>
          <w:p w14:paraId="1DF89A87">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行号：104181006342</w:t>
            </w:r>
          </w:p>
          <w:p w14:paraId="0E9D518D">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账号：143013529168</w:t>
            </w:r>
          </w:p>
          <w:p w14:paraId="7065E4FB">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 xml:space="preserve">5.以银行汇款或者支票形式提交的投标保证金应当从其基本账户转出。 </w:t>
            </w:r>
          </w:p>
          <w:p w14:paraId="380B961B">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采用银行汇款和支票，应当明确收款账号，投标文件中需附汇票存根或银行转账通知扫描件及其基本账户转出的证明。</w:t>
            </w:r>
          </w:p>
          <w:p w14:paraId="115EFCF6">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6.采用非电汇形式缴纳的，投标人须在投标截止前银行保函、支票、汇票、本票或金融机构、担保机构出具的保函原件扫描件发送至</w:t>
            </w:r>
            <w:r>
              <w:rPr>
                <w:rFonts w:hint="eastAsia" w:ascii="宋体" w:hAnsi="宋体" w:eastAsia="宋体" w:cs="宋体"/>
                <w:color w:val="auto"/>
                <w:lang w:eastAsia="zh-CN"/>
              </w:rPr>
              <w:t>山西沐泓工程项目管理有限公司</w:t>
            </w:r>
            <w:r>
              <w:rPr>
                <w:rFonts w:hint="eastAsia" w:ascii="宋体" w:hAnsi="宋体" w:eastAsia="宋体" w:cs="宋体"/>
                <w:color w:val="auto"/>
              </w:rPr>
              <w:t>邮箱。邮件标题格式为：项目名称+公司名称。</w:t>
            </w:r>
          </w:p>
          <w:p w14:paraId="4003058D">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7.电汇形式退还方式：通过本单位基本银行账户退还，退还投标保证金时，银行手续费由投标人自行承担。</w:t>
            </w:r>
          </w:p>
        </w:tc>
      </w:tr>
      <w:tr w14:paraId="599C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792" w:type="dxa"/>
            <w:noWrap w:val="0"/>
            <w:vAlign w:val="center"/>
          </w:tcPr>
          <w:p w14:paraId="319ACC2C">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章第19.1</w:t>
            </w:r>
            <w:r>
              <w:rPr>
                <w:rFonts w:hint="eastAsia" w:ascii="宋体" w:hAnsi="宋体" w:eastAsia="宋体" w:cs="宋体"/>
                <w:color w:val="auto"/>
                <w:szCs w:val="21"/>
                <w:lang w:val="zh-CN"/>
              </w:rPr>
              <w:t>款</w:t>
            </w:r>
          </w:p>
        </w:tc>
        <w:tc>
          <w:tcPr>
            <w:tcW w:w="1763" w:type="dxa"/>
            <w:noWrap w:val="0"/>
            <w:vAlign w:val="center"/>
          </w:tcPr>
          <w:p w14:paraId="0C72854E">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投标有效期</w:t>
            </w:r>
          </w:p>
        </w:tc>
        <w:tc>
          <w:tcPr>
            <w:tcW w:w="6121" w:type="dxa"/>
            <w:gridSpan w:val="2"/>
            <w:noWrap w:val="0"/>
            <w:vAlign w:val="center"/>
          </w:tcPr>
          <w:p w14:paraId="10E11A89">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90日历天</w:t>
            </w:r>
          </w:p>
        </w:tc>
      </w:tr>
      <w:tr w14:paraId="0450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792" w:type="dxa"/>
            <w:noWrap w:val="0"/>
            <w:vAlign w:val="center"/>
          </w:tcPr>
          <w:p w14:paraId="0E0D44D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章第20.1</w:t>
            </w:r>
            <w:r>
              <w:rPr>
                <w:rFonts w:hint="eastAsia" w:ascii="宋体" w:hAnsi="宋体" w:eastAsia="宋体" w:cs="宋体"/>
                <w:color w:val="auto"/>
                <w:szCs w:val="21"/>
                <w:lang w:val="zh-CN"/>
              </w:rPr>
              <w:t>款</w:t>
            </w:r>
          </w:p>
        </w:tc>
        <w:tc>
          <w:tcPr>
            <w:tcW w:w="1763" w:type="dxa"/>
            <w:noWrap w:val="0"/>
            <w:vAlign w:val="center"/>
          </w:tcPr>
          <w:p w14:paraId="548331D7">
            <w:pPr>
              <w:pageBreakBefore w:val="0"/>
              <w:kinsoku/>
              <w:wordWrap w:val="0"/>
              <w:overflowPunct w:val="0"/>
              <w:topLinePunct w:val="0"/>
              <w:bidi w:val="0"/>
              <w:snapToGrid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投标文件</w:t>
            </w:r>
            <w:r>
              <w:rPr>
                <w:rFonts w:hint="eastAsia" w:ascii="宋体" w:hAnsi="宋体" w:eastAsia="宋体" w:cs="宋体"/>
                <w:color w:val="auto"/>
                <w:szCs w:val="21"/>
                <w:lang w:val="en-US" w:eastAsia="zh-CN"/>
              </w:rPr>
              <w:t>制作</w:t>
            </w:r>
          </w:p>
        </w:tc>
        <w:tc>
          <w:tcPr>
            <w:tcW w:w="6121" w:type="dxa"/>
            <w:gridSpan w:val="2"/>
            <w:noWrap w:val="0"/>
            <w:vAlign w:val="center"/>
          </w:tcPr>
          <w:p w14:paraId="698C8D4C">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eastAsia="宋体" w:cs="宋体"/>
                <w:color w:val="auto"/>
                <w:szCs w:val="21"/>
              </w:rPr>
              <w:t>、</w:t>
            </w:r>
            <w:r>
              <w:rPr>
                <w:rFonts w:hint="eastAsia" w:ascii="宋体" w:hAnsi="宋体" w:eastAsia="宋体" w:cs="宋体"/>
                <w:color w:val="auto"/>
                <w:szCs w:val="21"/>
                <w:lang w:eastAsia="zh-CN"/>
              </w:rPr>
              <w:t>供应商</w:t>
            </w:r>
            <w:r>
              <w:rPr>
                <w:rFonts w:hint="eastAsia" w:ascii="宋体" w:hAnsi="宋体" w:eastAsia="宋体" w:cs="宋体"/>
                <w:color w:val="auto"/>
                <w:szCs w:val="21"/>
              </w:rPr>
              <w:t>要按照采购文件要求进行签章和加密，并在开标时使用制作电子版</w:t>
            </w:r>
            <w:r>
              <w:rPr>
                <w:rFonts w:hint="eastAsia" w:ascii="宋体" w:hAnsi="宋体" w:eastAsia="宋体" w:cs="宋体"/>
                <w:color w:val="auto"/>
                <w:szCs w:val="21"/>
                <w:lang w:eastAsia="zh-CN"/>
              </w:rPr>
              <w:t>响应文件</w:t>
            </w:r>
            <w:r>
              <w:rPr>
                <w:rFonts w:hint="eastAsia" w:ascii="宋体" w:hAnsi="宋体" w:eastAsia="宋体" w:cs="宋体"/>
                <w:color w:val="auto"/>
                <w:szCs w:val="21"/>
              </w:rPr>
              <w:t>的 CA 数字证书进行解密操作。开标过程中，因</w:t>
            </w:r>
            <w:r>
              <w:rPr>
                <w:rFonts w:hint="eastAsia" w:ascii="宋体" w:hAnsi="宋体" w:eastAsia="宋体" w:cs="宋体"/>
                <w:color w:val="auto"/>
                <w:szCs w:val="21"/>
                <w:lang w:eastAsia="zh-CN"/>
              </w:rPr>
              <w:t>供应商</w:t>
            </w:r>
            <w:r>
              <w:rPr>
                <w:rFonts w:hint="eastAsia" w:ascii="宋体" w:hAnsi="宋体" w:eastAsia="宋体" w:cs="宋体"/>
                <w:color w:val="auto"/>
                <w:szCs w:val="21"/>
              </w:rPr>
              <w:t>个人原因造成</w:t>
            </w:r>
            <w:r>
              <w:rPr>
                <w:rFonts w:hint="eastAsia" w:ascii="宋体" w:hAnsi="宋体" w:eastAsia="宋体" w:cs="宋体"/>
                <w:color w:val="auto"/>
                <w:szCs w:val="21"/>
                <w:lang w:eastAsia="zh-CN"/>
              </w:rPr>
              <w:t>响应文件</w:t>
            </w:r>
            <w:r>
              <w:rPr>
                <w:rFonts w:hint="eastAsia" w:ascii="宋体" w:hAnsi="宋体" w:eastAsia="宋体" w:cs="宋体"/>
                <w:color w:val="auto"/>
                <w:szCs w:val="21"/>
              </w:rPr>
              <w:t xml:space="preserve">未解密的，视为无效投标。 </w:t>
            </w:r>
          </w:p>
          <w:p w14:paraId="57AD69FC">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w:t>
            </w:r>
            <w:r>
              <w:rPr>
                <w:rFonts w:hint="eastAsia" w:ascii="宋体" w:hAnsi="宋体" w:eastAsia="宋体" w:cs="宋体"/>
                <w:color w:val="auto"/>
                <w:szCs w:val="21"/>
                <w:lang w:eastAsia="zh-CN"/>
              </w:rPr>
              <w:t>供应商</w:t>
            </w:r>
            <w:r>
              <w:rPr>
                <w:rFonts w:hint="eastAsia" w:ascii="宋体" w:hAnsi="宋体" w:eastAsia="宋体" w:cs="宋体"/>
                <w:color w:val="auto"/>
                <w:szCs w:val="21"/>
              </w:rPr>
              <w:t>通过投标客户端编制完</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后，使用企业 CA 数字证书对</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进行加密，生成加密后的</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，在开标时再行解密。（加密、解密必须使用同一CA数字证书）。</w:t>
            </w:r>
          </w:p>
          <w:p w14:paraId="48B19761">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lang w:eastAsia="zh-CN"/>
              </w:rPr>
              <w:t>、供应商</w:t>
            </w:r>
            <w:r>
              <w:rPr>
                <w:rFonts w:hint="eastAsia" w:ascii="宋体" w:hAnsi="宋体" w:eastAsia="宋体" w:cs="宋体"/>
                <w:color w:val="auto"/>
                <w:szCs w:val="21"/>
              </w:rPr>
              <w:t>应使用政采云系统的响应文件编制工具，按照操作手册编制电子</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，并使用数字证书（CA）按照</w:t>
            </w:r>
            <w:r>
              <w:rPr>
                <w:rFonts w:hint="eastAsia" w:ascii="宋体" w:hAnsi="宋体" w:eastAsia="宋体" w:cs="宋体"/>
                <w:color w:val="auto"/>
                <w:szCs w:val="21"/>
                <w:lang w:val="en-US" w:eastAsia="zh-CN"/>
              </w:rPr>
              <w:t>采购</w:t>
            </w:r>
            <w:r>
              <w:rPr>
                <w:rFonts w:hint="eastAsia" w:ascii="宋体" w:hAnsi="宋体" w:eastAsia="宋体" w:cs="宋体"/>
                <w:color w:val="auto"/>
                <w:szCs w:val="21"/>
              </w:rPr>
              <w:t>文件规定签字、签章。同时使用数字证书（CA）对</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进行加密。</w:t>
            </w:r>
          </w:p>
          <w:p w14:paraId="4A66C58F">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在上传电子</w:t>
            </w:r>
            <w:r>
              <w:rPr>
                <w:rFonts w:hint="eastAsia" w:ascii="宋体" w:hAnsi="宋体" w:eastAsia="宋体" w:cs="宋体"/>
                <w:color w:val="auto"/>
                <w:szCs w:val="21"/>
                <w:lang w:val="en-US" w:eastAsia="zh-CN"/>
              </w:rPr>
              <w:t>响应文件</w:t>
            </w:r>
            <w:r>
              <w:rPr>
                <w:rFonts w:hint="eastAsia" w:ascii="宋体" w:hAnsi="宋体" w:eastAsia="宋体" w:cs="宋体"/>
                <w:color w:val="auto"/>
                <w:szCs w:val="21"/>
              </w:rPr>
              <w:t>时，需对应系统中每个模块要求，形成独立的PDF格式文件，按照指定对应模块，逐条完成上传，保存后提交。</w:t>
            </w:r>
          </w:p>
          <w:p w14:paraId="1BC8230F">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rPr>
              <w:t>如：上传营业执照和开户许可证，要把营业执照和开户许可证形成独立PDF格式文档，在模块处完成上传。</w:t>
            </w:r>
          </w:p>
          <w:p w14:paraId="39C8CBF5">
            <w:pPr>
              <w:pageBreakBefore w:val="0"/>
              <w:kinsoku/>
              <w:wordWrap w:val="0"/>
              <w:overflowPunct w:val="0"/>
              <w:topLinePunct w:val="0"/>
              <w:bidi w:val="0"/>
              <w:snapToGrid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5、请在投标系统“商务技术模块”上传完整“第六章 投标文件组成”要求的所有内容。</w:t>
            </w:r>
            <w:r>
              <w:rPr>
                <w:rFonts w:hint="eastAsia" w:ascii="宋体" w:hAnsi="宋体" w:eastAsia="宋体" w:cs="宋体"/>
                <w:color w:val="auto"/>
                <w:szCs w:val="21"/>
              </w:rPr>
              <w:t>如果</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没有按规定</w:t>
            </w:r>
            <w:r>
              <w:rPr>
                <w:rFonts w:hint="eastAsia" w:ascii="宋体" w:hAnsi="宋体" w:eastAsia="宋体" w:cs="宋体"/>
                <w:color w:val="auto"/>
                <w:szCs w:val="21"/>
                <w:lang w:val="en-US" w:eastAsia="zh-CN"/>
              </w:rPr>
              <w:t>上传</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将可能导致投标被否决。</w:t>
            </w:r>
          </w:p>
          <w:p w14:paraId="6B81BEF7">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rPr>
              <w:t>电子</w:t>
            </w:r>
            <w:r>
              <w:rPr>
                <w:rFonts w:hint="eastAsia" w:ascii="宋体" w:hAnsi="宋体" w:eastAsia="宋体" w:cs="宋体"/>
                <w:color w:val="auto"/>
                <w:szCs w:val="21"/>
                <w:lang w:eastAsia="zh-CN"/>
              </w:rPr>
              <w:t>响应文件</w:t>
            </w:r>
            <w:r>
              <w:rPr>
                <w:rFonts w:hint="eastAsia" w:ascii="宋体" w:hAnsi="宋体" w:eastAsia="宋体" w:cs="宋体"/>
                <w:color w:val="auto"/>
                <w:szCs w:val="21"/>
              </w:rPr>
              <w:t>所附各类证件、证书、证明，均随响应文件统一编排页码进行上传。</w:t>
            </w:r>
          </w:p>
          <w:p w14:paraId="10AE008D">
            <w:pPr>
              <w:pageBreakBefore w:val="0"/>
              <w:kinsoku/>
              <w:wordWrap w:val="0"/>
              <w:overflowPunct w:val="0"/>
              <w:topLinePunct w:val="0"/>
              <w:bidi w:val="0"/>
              <w:snapToGrid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7、</w:t>
            </w:r>
            <w:r>
              <w:rPr>
                <w:rFonts w:hint="eastAsia" w:ascii="宋体" w:hAnsi="宋体" w:eastAsia="宋体" w:cs="宋体"/>
                <w:color w:val="auto"/>
                <w:szCs w:val="21"/>
              </w:rPr>
              <w:t>如果</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没有按规定网上递交电子</w:t>
            </w:r>
            <w:r>
              <w:rPr>
                <w:rFonts w:hint="eastAsia" w:ascii="宋体" w:hAnsi="宋体" w:eastAsia="宋体" w:cs="宋体"/>
                <w:color w:val="auto"/>
                <w:szCs w:val="21"/>
                <w:lang w:eastAsia="zh-CN"/>
              </w:rPr>
              <w:t>响应文件</w:t>
            </w:r>
            <w:r>
              <w:rPr>
                <w:rFonts w:hint="eastAsia" w:ascii="宋体" w:hAnsi="宋体" w:eastAsia="宋体" w:cs="宋体"/>
                <w:color w:val="auto"/>
                <w:szCs w:val="21"/>
              </w:rPr>
              <w:t>，视为投标无效。</w:t>
            </w:r>
          </w:p>
        </w:tc>
      </w:tr>
      <w:tr w14:paraId="0767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9676" w:type="dxa"/>
            <w:gridSpan w:val="4"/>
            <w:noWrap w:val="0"/>
            <w:vAlign w:val="center"/>
          </w:tcPr>
          <w:p w14:paraId="01D6EFE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Cs w:val="21"/>
              </w:rPr>
              <w:t>四、投标文件的递交</w:t>
            </w:r>
          </w:p>
        </w:tc>
      </w:tr>
      <w:tr w14:paraId="1D04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792" w:type="dxa"/>
            <w:noWrap w:val="0"/>
            <w:vAlign w:val="center"/>
          </w:tcPr>
          <w:p w14:paraId="27BB3F5B">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章第2</w:t>
            </w:r>
            <w:r>
              <w:rPr>
                <w:rFonts w:hint="eastAsia" w:ascii="宋体" w:hAnsi="宋体" w:eastAsia="宋体" w:cs="宋体"/>
                <w:color w:val="auto"/>
                <w:szCs w:val="21"/>
                <w:lang w:val="en-US" w:eastAsia="zh-CN"/>
              </w:rPr>
              <w:t>1</w:t>
            </w:r>
            <w:r>
              <w:rPr>
                <w:rFonts w:hint="eastAsia" w:ascii="宋体" w:hAnsi="宋体" w:eastAsia="宋体" w:cs="宋体"/>
                <w:color w:val="auto"/>
                <w:szCs w:val="21"/>
              </w:rPr>
              <w:t>.1</w:t>
            </w:r>
            <w:r>
              <w:rPr>
                <w:rFonts w:hint="eastAsia" w:ascii="宋体" w:hAnsi="宋体" w:eastAsia="宋体" w:cs="宋体"/>
                <w:color w:val="auto"/>
                <w:szCs w:val="21"/>
                <w:lang w:val="zh-CN"/>
              </w:rPr>
              <w:t>款</w:t>
            </w:r>
          </w:p>
        </w:tc>
        <w:tc>
          <w:tcPr>
            <w:tcW w:w="1763" w:type="dxa"/>
            <w:noWrap w:val="0"/>
            <w:vAlign w:val="center"/>
          </w:tcPr>
          <w:p w14:paraId="3B23A62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投标文件的递交</w:t>
            </w:r>
          </w:p>
          <w:p w14:paraId="464EAA81">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地点</w:t>
            </w:r>
          </w:p>
        </w:tc>
        <w:tc>
          <w:tcPr>
            <w:tcW w:w="6121" w:type="dxa"/>
            <w:gridSpan w:val="2"/>
            <w:noWrap w:val="0"/>
            <w:vAlign w:val="center"/>
          </w:tcPr>
          <w:p w14:paraId="7AFB8638">
            <w:pPr>
              <w:pageBreakBefore w:val="0"/>
              <w:numPr>
                <w:ilvl w:val="0"/>
                <w:numId w:val="0"/>
              </w:numPr>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电子文件请通过政采云投标客户端上传投标文件；</w:t>
            </w:r>
          </w:p>
        </w:tc>
      </w:tr>
      <w:tr w14:paraId="7958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676" w:type="dxa"/>
            <w:gridSpan w:val="4"/>
            <w:noWrap w:val="0"/>
            <w:vAlign w:val="center"/>
          </w:tcPr>
          <w:p w14:paraId="64E3DDE9">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Cs w:val="21"/>
              </w:rPr>
              <w:t>五、开标和评标</w:t>
            </w:r>
          </w:p>
        </w:tc>
      </w:tr>
      <w:tr w14:paraId="18BE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792" w:type="dxa"/>
            <w:noWrap w:val="0"/>
            <w:vAlign w:val="center"/>
          </w:tcPr>
          <w:p w14:paraId="0627AEB7">
            <w:pPr>
              <w:pageBreakBefore w:val="0"/>
              <w:kinsoku/>
              <w:wordWrap w:val="0"/>
              <w:overflowPunct w:val="0"/>
              <w:topLinePunct w:val="0"/>
              <w:bidi w:val="0"/>
              <w:spacing w:line="340" w:lineRule="exact"/>
              <w:jc w:val="center"/>
              <w:rPr>
                <w:rFonts w:hint="eastAsia" w:ascii="宋体" w:hAnsi="宋体" w:eastAsia="宋体" w:cs="宋体"/>
                <w:color w:val="auto"/>
                <w:szCs w:val="21"/>
              </w:rPr>
            </w:pPr>
            <w:r>
              <w:rPr>
                <w:rFonts w:hint="eastAsia" w:ascii="宋体" w:hAnsi="宋体" w:eastAsia="宋体" w:cs="宋体"/>
                <w:color w:val="auto"/>
                <w:szCs w:val="21"/>
              </w:rPr>
              <w:t>其他</w:t>
            </w:r>
          </w:p>
        </w:tc>
        <w:tc>
          <w:tcPr>
            <w:tcW w:w="1763" w:type="dxa"/>
            <w:noWrap w:val="0"/>
            <w:vAlign w:val="center"/>
          </w:tcPr>
          <w:p w14:paraId="6CE1075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 w:val="21"/>
                <w:szCs w:val="21"/>
                <w:lang w:val="en-US" w:eastAsia="zh-CN"/>
              </w:rPr>
              <w:t>资格审查资料</w:t>
            </w:r>
          </w:p>
        </w:tc>
        <w:tc>
          <w:tcPr>
            <w:tcW w:w="6121" w:type="dxa"/>
            <w:gridSpan w:val="2"/>
            <w:noWrap w:val="0"/>
            <w:vAlign w:val="center"/>
          </w:tcPr>
          <w:p w14:paraId="7E1916AD">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1、若为法人须附法定代表人身份证明书；若为授权委托代理人需提供法定代表人身份证明书、法定代表人授权委托书、法人身份证及被授权人的身份证</w:t>
            </w:r>
            <w:r>
              <w:rPr>
                <w:rFonts w:hint="eastAsia" w:ascii="宋体" w:hAnsi="宋体" w:eastAsia="宋体" w:cs="宋体"/>
                <w:color w:val="auto"/>
                <w:szCs w:val="21"/>
                <w:lang w:eastAsia="zh-CN"/>
              </w:rPr>
              <w:t>；</w:t>
            </w:r>
          </w:p>
          <w:p w14:paraId="42E52640">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2、投标函；</w:t>
            </w:r>
          </w:p>
          <w:p w14:paraId="204946CD">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、营业执照</w:t>
            </w:r>
            <w:r>
              <w:rPr>
                <w:rFonts w:hint="eastAsia" w:ascii="宋体" w:hAnsi="宋体" w:eastAsia="宋体" w:cs="宋体"/>
                <w:color w:val="auto"/>
                <w:szCs w:val="21"/>
                <w:lang w:val="en-US" w:eastAsia="zh-CN"/>
              </w:rPr>
              <w:t>；</w:t>
            </w:r>
          </w:p>
          <w:p w14:paraId="69B0738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、银行基本账户开户许可证或基本存款账户信息；</w:t>
            </w:r>
          </w:p>
          <w:p w14:paraId="54E282B0">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5</w:t>
            </w:r>
            <w:r>
              <w:rPr>
                <w:rFonts w:hint="eastAsia" w:ascii="宋体" w:hAnsi="宋体" w:eastAsia="宋体" w:cs="宋体"/>
                <w:color w:val="auto"/>
                <w:szCs w:val="21"/>
              </w:rPr>
              <w:t>、</w:t>
            </w:r>
            <w:r>
              <w:rPr>
                <w:rFonts w:hint="eastAsia" w:ascii="宋体" w:hAnsi="宋体" w:eastAsia="宋体" w:cs="宋体"/>
                <w:color w:val="auto"/>
                <w:szCs w:val="21"/>
                <w:lang w:eastAsia="zh-CN"/>
              </w:rPr>
              <w:t>投标人信用承诺书</w:t>
            </w:r>
            <w:r>
              <w:rPr>
                <w:rFonts w:hint="eastAsia" w:ascii="宋体" w:hAnsi="宋体" w:eastAsia="宋体" w:cs="宋体"/>
                <w:color w:val="auto"/>
                <w:szCs w:val="21"/>
              </w:rPr>
              <w:t>；</w:t>
            </w:r>
          </w:p>
          <w:p w14:paraId="2798BE30">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rPr>
              <w:t>投标保证金</w:t>
            </w:r>
            <w:r>
              <w:rPr>
                <w:rFonts w:hint="eastAsia" w:ascii="宋体" w:hAnsi="宋体" w:eastAsia="宋体" w:cs="宋体"/>
                <w:color w:val="auto"/>
                <w:szCs w:val="21"/>
                <w:lang w:eastAsia="zh-CN"/>
              </w:rPr>
              <w:t>缴纳</w:t>
            </w:r>
            <w:r>
              <w:rPr>
                <w:rFonts w:hint="eastAsia" w:ascii="宋体" w:hAnsi="宋体" w:eastAsia="宋体" w:cs="宋体"/>
                <w:color w:val="auto"/>
                <w:szCs w:val="21"/>
              </w:rPr>
              <w:t>凭证；</w:t>
            </w:r>
          </w:p>
          <w:p w14:paraId="3FCF458F">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7、投标人自行承诺企业、法定代表人有无行贿犯罪行为（格式自拟），并对其真实性负责；</w:t>
            </w:r>
          </w:p>
          <w:p w14:paraId="234332B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en-US" w:eastAsia="zh-CN"/>
              </w:rPr>
              <w:t>8、</w:t>
            </w:r>
            <w:r>
              <w:rPr>
                <w:rFonts w:hint="eastAsia" w:ascii="宋体" w:hAnsi="宋体" w:eastAsia="宋体" w:cs="宋体"/>
                <w:color w:val="auto"/>
                <w:szCs w:val="21"/>
              </w:rPr>
              <w:t>诚信投标承诺书；</w:t>
            </w:r>
          </w:p>
          <w:p w14:paraId="57664D2D">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9、中小企业声明函。</w:t>
            </w:r>
          </w:p>
          <w:p w14:paraId="41C6F638">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b/>
                <w:bCs/>
                <w:color w:val="auto"/>
                <w:sz w:val="21"/>
                <w:szCs w:val="20"/>
                <w:highlight w:val="none"/>
              </w:rPr>
              <w:t>注：</w:t>
            </w:r>
            <w:r>
              <w:rPr>
                <w:rFonts w:hint="eastAsia" w:ascii="宋体" w:hAnsi="宋体" w:eastAsia="宋体" w:cs="宋体"/>
                <w:b/>
                <w:bCs/>
                <w:color w:val="auto"/>
                <w:sz w:val="21"/>
                <w:szCs w:val="16"/>
                <w:highlight w:val="none"/>
              </w:rPr>
              <w:t>（1）</w:t>
            </w:r>
            <w:r>
              <w:rPr>
                <w:rFonts w:hint="eastAsia" w:ascii="宋体" w:hAnsi="宋体" w:eastAsia="宋体" w:cs="宋体"/>
                <w:b/>
                <w:bCs/>
                <w:color w:val="auto"/>
                <w:sz w:val="21"/>
                <w:szCs w:val="16"/>
                <w:highlight w:val="none"/>
                <w:lang w:val="en-US" w:eastAsia="zh-CN"/>
              </w:rPr>
              <w:t>招标人</w:t>
            </w:r>
            <w:r>
              <w:rPr>
                <w:rFonts w:hint="eastAsia" w:ascii="宋体" w:hAnsi="宋体" w:eastAsia="宋体" w:cs="宋体"/>
                <w:b/>
                <w:bCs/>
                <w:color w:val="auto"/>
                <w:sz w:val="21"/>
                <w:szCs w:val="16"/>
                <w:highlight w:val="none"/>
              </w:rPr>
              <w:t>有权在签订合同前要求中标供应商提供相关证明材料以核实中标供应商承诺事项的真实性。（2）</w:t>
            </w:r>
            <w:r>
              <w:rPr>
                <w:rFonts w:hint="eastAsia" w:ascii="宋体" w:hAnsi="宋体" w:eastAsia="宋体" w:cs="宋体"/>
                <w:b/>
                <w:bCs/>
                <w:color w:val="auto"/>
                <w:sz w:val="21"/>
                <w:szCs w:val="16"/>
                <w:highlight w:val="none"/>
                <w:lang w:val="en-US" w:eastAsia="zh-CN"/>
              </w:rPr>
              <w:t>投标人</w:t>
            </w:r>
            <w:r>
              <w:rPr>
                <w:rFonts w:hint="eastAsia" w:ascii="宋体" w:hAnsi="宋体" w:eastAsia="宋体" w:cs="宋体"/>
                <w:b/>
                <w:bCs/>
                <w:color w:val="auto"/>
                <w:sz w:val="21"/>
                <w:szCs w:val="16"/>
                <w:highlight w:val="none"/>
              </w:rPr>
              <w:t>对信用承诺内容的真实性、合法性、有效性负责。如作出虚假信用承诺，视同为“提供虚假材料谋取中标、成交”的违法行为。经调查核实后，按照《中华人民共和国政府采购法》第七十七条规定，处以采购金额千分之五以上千分之十以下的罚款，列入不良行为记录名单，在一至三年内禁止参加政府采购活动；有违法所得的，并处没收违法所得，情节严重的</w:t>
            </w:r>
            <w:r>
              <w:rPr>
                <w:rFonts w:hint="eastAsia" w:ascii="宋体" w:hAnsi="宋体" w:eastAsia="宋体" w:cs="宋体"/>
                <w:b/>
                <w:bCs/>
                <w:color w:val="auto"/>
                <w:sz w:val="21"/>
                <w:szCs w:val="16"/>
                <w:highlight w:val="none"/>
                <w:lang w:val="en-US" w:eastAsia="zh-CN"/>
              </w:rPr>
              <w:t>，由市场监管部门吊销营业执照；构成犯罪的，依法追究刑事责任。（3）</w:t>
            </w:r>
            <w:r>
              <w:rPr>
                <w:rFonts w:hint="eastAsia" w:ascii="宋体" w:hAnsi="宋体" w:eastAsia="宋体" w:cs="宋体"/>
                <w:b/>
                <w:bCs/>
                <w:color w:val="auto"/>
                <w:sz w:val="21"/>
                <w:szCs w:val="20"/>
                <w:highlight w:val="none"/>
              </w:rPr>
              <w:t>以上材料扫描件均要求清晰可见，因投标人原因导致电子投标文件不清晰致使审核人员无法确定是否符合招标文件要求的，后果由投标人自行承担。</w:t>
            </w:r>
          </w:p>
        </w:tc>
      </w:tr>
      <w:tr w14:paraId="5488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676" w:type="dxa"/>
            <w:gridSpan w:val="4"/>
            <w:noWrap w:val="0"/>
            <w:vAlign w:val="center"/>
          </w:tcPr>
          <w:p w14:paraId="4936305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Cs w:val="21"/>
              </w:rPr>
              <w:t>六、合同签订</w:t>
            </w:r>
          </w:p>
        </w:tc>
      </w:tr>
      <w:tr w14:paraId="2129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792" w:type="dxa"/>
            <w:noWrap w:val="0"/>
            <w:vAlign w:val="center"/>
          </w:tcPr>
          <w:p w14:paraId="5F38E412">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w:t>
            </w:r>
            <w:r>
              <w:rPr>
                <w:rFonts w:hint="eastAsia" w:ascii="宋体" w:hAnsi="宋体" w:eastAsia="宋体" w:cs="宋体"/>
                <w:color w:val="auto"/>
                <w:szCs w:val="21"/>
                <w:lang w:val="en-US" w:eastAsia="zh-CN"/>
              </w:rPr>
              <w:t>30</w:t>
            </w:r>
            <w:r>
              <w:rPr>
                <w:rFonts w:hint="eastAsia" w:ascii="宋体" w:hAnsi="宋体" w:eastAsia="宋体" w:cs="宋体"/>
                <w:color w:val="auto"/>
                <w:szCs w:val="21"/>
              </w:rPr>
              <w:t>.1</w:t>
            </w:r>
            <w:r>
              <w:rPr>
                <w:rFonts w:hint="eastAsia" w:ascii="宋体" w:hAnsi="宋体" w:eastAsia="宋体" w:cs="宋体"/>
                <w:color w:val="auto"/>
                <w:szCs w:val="21"/>
                <w:lang w:val="zh-CN"/>
              </w:rPr>
              <w:t>款</w:t>
            </w:r>
          </w:p>
        </w:tc>
        <w:tc>
          <w:tcPr>
            <w:tcW w:w="1763" w:type="dxa"/>
            <w:noWrap w:val="0"/>
            <w:vAlign w:val="center"/>
          </w:tcPr>
          <w:p w14:paraId="54E76B12">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履约担保</w:t>
            </w:r>
          </w:p>
        </w:tc>
        <w:tc>
          <w:tcPr>
            <w:tcW w:w="6121" w:type="dxa"/>
            <w:gridSpan w:val="2"/>
            <w:noWrap w:val="0"/>
            <w:vAlign w:val="center"/>
          </w:tcPr>
          <w:p w14:paraId="4D8CF577">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双方自行协商</w:t>
            </w:r>
          </w:p>
        </w:tc>
      </w:tr>
      <w:tr w14:paraId="76DE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92" w:type="dxa"/>
            <w:noWrap w:val="0"/>
            <w:vAlign w:val="center"/>
          </w:tcPr>
          <w:p w14:paraId="4F6E5862">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章第3</w:t>
            </w:r>
            <w:r>
              <w:rPr>
                <w:rFonts w:hint="eastAsia" w:ascii="宋体" w:hAnsi="宋体" w:eastAsia="宋体" w:cs="宋体"/>
                <w:color w:val="auto"/>
                <w:szCs w:val="21"/>
                <w:lang w:val="en-US" w:eastAsia="zh-CN"/>
              </w:rPr>
              <w:t>7</w:t>
            </w:r>
            <w:r>
              <w:rPr>
                <w:rFonts w:hint="eastAsia" w:ascii="宋体" w:hAnsi="宋体" w:eastAsia="宋体" w:cs="宋体"/>
                <w:color w:val="auto"/>
                <w:szCs w:val="21"/>
              </w:rPr>
              <w:t>.1</w:t>
            </w:r>
            <w:r>
              <w:rPr>
                <w:rFonts w:hint="eastAsia" w:ascii="宋体" w:hAnsi="宋体" w:eastAsia="宋体" w:cs="宋体"/>
                <w:color w:val="auto"/>
                <w:szCs w:val="21"/>
                <w:lang w:val="zh-CN"/>
              </w:rPr>
              <w:t>款</w:t>
            </w:r>
          </w:p>
        </w:tc>
        <w:tc>
          <w:tcPr>
            <w:tcW w:w="1763" w:type="dxa"/>
            <w:noWrap w:val="0"/>
            <w:vAlign w:val="center"/>
          </w:tcPr>
          <w:p w14:paraId="1519CBD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招标代理服务费</w:t>
            </w:r>
          </w:p>
        </w:tc>
        <w:tc>
          <w:tcPr>
            <w:tcW w:w="6121" w:type="dxa"/>
            <w:gridSpan w:val="2"/>
            <w:noWrap w:val="0"/>
            <w:vAlign w:val="center"/>
          </w:tcPr>
          <w:p w14:paraId="179AE786">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参考国家发展和改革委员会发改价格[2011]534号规定的费率计取，由中标人在领取中标（成交）通知书时一次性付清。</w:t>
            </w:r>
          </w:p>
        </w:tc>
      </w:tr>
      <w:tr w14:paraId="630E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676" w:type="dxa"/>
            <w:gridSpan w:val="4"/>
            <w:noWrap w:val="0"/>
            <w:vAlign w:val="center"/>
          </w:tcPr>
          <w:p w14:paraId="721E0240">
            <w:pPr>
              <w:pageBreakBefore w:val="0"/>
              <w:kinsoku/>
              <w:wordWrap w:val="0"/>
              <w:overflowPunct w:val="0"/>
              <w:topLinePunct w:val="0"/>
              <w:bidi w:val="0"/>
              <w:spacing w:line="340" w:lineRule="exact"/>
              <w:jc w:val="center"/>
              <w:rPr>
                <w:rFonts w:hint="eastAsia" w:ascii="宋体" w:hAnsi="宋体" w:eastAsia="宋体" w:cs="宋体"/>
                <w:color w:val="auto"/>
                <w:szCs w:val="21"/>
              </w:rPr>
            </w:pPr>
            <w:r>
              <w:rPr>
                <w:rFonts w:hint="eastAsia" w:ascii="宋体" w:hAnsi="宋体" w:eastAsia="宋体" w:cs="宋体"/>
                <w:color w:val="auto"/>
                <w:szCs w:val="21"/>
              </w:rPr>
              <w:t>第三章  评标方法及标准</w:t>
            </w:r>
            <w:r>
              <w:rPr>
                <w:rFonts w:hint="eastAsia" w:ascii="宋体" w:hAnsi="宋体" w:eastAsia="宋体" w:cs="宋体"/>
                <w:color w:val="auto"/>
                <w:szCs w:val="21"/>
                <w:lang w:eastAsia="zh-CN"/>
              </w:rPr>
              <w:t>（</w:t>
            </w:r>
            <w:r>
              <w:rPr>
                <w:rFonts w:hint="eastAsia" w:ascii="宋体" w:hAnsi="宋体" w:eastAsia="宋体" w:cs="宋体"/>
                <w:color w:val="auto"/>
                <w:szCs w:val="21"/>
              </w:rPr>
              <w:t>综合评分法</w:t>
            </w:r>
            <w:r>
              <w:rPr>
                <w:rFonts w:hint="eastAsia" w:ascii="宋体" w:hAnsi="宋体" w:eastAsia="宋体" w:cs="宋体"/>
                <w:color w:val="auto"/>
                <w:szCs w:val="21"/>
                <w:lang w:eastAsia="zh-CN"/>
              </w:rPr>
              <w:t>）</w:t>
            </w:r>
            <w:r>
              <w:rPr>
                <w:rFonts w:hint="eastAsia" w:ascii="宋体" w:hAnsi="宋体" w:eastAsia="宋体" w:cs="宋体"/>
                <w:color w:val="auto"/>
                <w:szCs w:val="21"/>
              </w:rPr>
              <w:t>（前附表）</w:t>
            </w:r>
          </w:p>
        </w:tc>
      </w:tr>
      <w:tr w14:paraId="6AA0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92" w:type="dxa"/>
            <w:noWrap w:val="0"/>
            <w:vAlign w:val="center"/>
          </w:tcPr>
          <w:p w14:paraId="2EC474D0">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第三章第2.1</w:t>
            </w:r>
            <w:r>
              <w:rPr>
                <w:rFonts w:hint="eastAsia" w:ascii="宋体" w:hAnsi="宋体" w:eastAsia="宋体" w:cs="宋体"/>
                <w:color w:val="auto"/>
                <w:szCs w:val="21"/>
                <w:lang w:val="zh-CN"/>
              </w:rPr>
              <w:t>款</w:t>
            </w:r>
          </w:p>
        </w:tc>
        <w:tc>
          <w:tcPr>
            <w:tcW w:w="1763" w:type="dxa"/>
            <w:noWrap w:val="0"/>
            <w:vAlign w:val="center"/>
          </w:tcPr>
          <w:p w14:paraId="38B6F932">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评标因素和标准</w:t>
            </w:r>
          </w:p>
        </w:tc>
        <w:tc>
          <w:tcPr>
            <w:tcW w:w="6121" w:type="dxa"/>
            <w:gridSpan w:val="2"/>
            <w:noWrap w:val="0"/>
            <w:vAlign w:val="center"/>
          </w:tcPr>
          <w:p w14:paraId="7301C73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商务、技术、报价</w:t>
            </w:r>
          </w:p>
        </w:tc>
      </w:tr>
      <w:tr w14:paraId="58E0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792" w:type="dxa"/>
            <w:vMerge w:val="restart"/>
            <w:noWrap w:val="0"/>
            <w:vAlign w:val="center"/>
          </w:tcPr>
          <w:p w14:paraId="24A899D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第三章第2.2</w:t>
            </w:r>
            <w:r>
              <w:rPr>
                <w:rFonts w:hint="eastAsia" w:ascii="宋体" w:hAnsi="宋体" w:eastAsia="宋体" w:cs="宋体"/>
                <w:color w:val="auto"/>
                <w:szCs w:val="21"/>
                <w:lang w:val="zh-CN"/>
              </w:rPr>
              <w:t>款</w:t>
            </w:r>
          </w:p>
        </w:tc>
        <w:tc>
          <w:tcPr>
            <w:tcW w:w="1763" w:type="dxa"/>
            <w:vMerge w:val="restart"/>
            <w:noWrap w:val="0"/>
            <w:vAlign w:val="center"/>
          </w:tcPr>
          <w:p w14:paraId="1BC58BC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权值</w:t>
            </w:r>
          </w:p>
        </w:tc>
        <w:tc>
          <w:tcPr>
            <w:tcW w:w="2755" w:type="dxa"/>
            <w:noWrap w:val="0"/>
            <w:vAlign w:val="center"/>
          </w:tcPr>
          <w:p w14:paraId="2A430E82">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评审因素</w:t>
            </w:r>
          </w:p>
        </w:tc>
        <w:tc>
          <w:tcPr>
            <w:tcW w:w="3366" w:type="dxa"/>
            <w:noWrap w:val="0"/>
            <w:vAlign w:val="center"/>
          </w:tcPr>
          <w:p w14:paraId="2BA24294">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权值</w:t>
            </w:r>
          </w:p>
        </w:tc>
      </w:tr>
      <w:tr w14:paraId="3D3E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92" w:type="dxa"/>
            <w:vMerge w:val="continue"/>
            <w:noWrap w:val="0"/>
            <w:vAlign w:val="center"/>
          </w:tcPr>
          <w:p w14:paraId="105D89A6">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1763" w:type="dxa"/>
            <w:vMerge w:val="continue"/>
            <w:noWrap w:val="0"/>
            <w:vAlign w:val="center"/>
          </w:tcPr>
          <w:p w14:paraId="23C4AC3E">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2755" w:type="dxa"/>
            <w:noWrap w:val="0"/>
            <w:vAlign w:val="center"/>
          </w:tcPr>
          <w:p w14:paraId="7282BBBD">
            <w:pPr>
              <w:pageBreakBefore w:val="0"/>
              <w:kinsoku/>
              <w:wordWrap w:val="0"/>
              <w:overflowPunct w:val="0"/>
              <w:topLinePunct w:val="0"/>
              <w:bidi w:val="0"/>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w:t>
            </w:r>
          </w:p>
        </w:tc>
        <w:tc>
          <w:tcPr>
            <w:tcW w:w="3366" w:type="dxa"/>
            <w:noWrap w:val="0"/>
            <w:vAlign w:val="center"/>
          </w:tcPr>
          <w:p w14:paraId="67013C84">
            <w:pPr>
              <w:pageBreakBefore w:val="0"/>
              <w:kinsoku/>
              <w:wordWrap w:val="0"/>
              <w:overflowPunct w:val="0"/>
              <w:topLinePunct w:val="0"/>
              <w:bidi w:val="0"/>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19</w:t>
            </w:r>
            <w:r>
              <w:rPr>
                <w:rFonts w:hint="eastAsia" w:ascii="宋体" w:hAnsi="宋体" w:eastAsia="宋体" w:cs="宋体"/>
                <w:color w:val="auto"/>
                <w:szCs w:val="21"/>
                <w:highlight w:val="none"/>
              </w:rPr>
              <w:t>％</w:t>
            </w:r>
          </w:p>
        </w:tc>
      </w:tr>
      <w:tr w14:paraId="6DAE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792" w:type="dxa"/>
            <w:vMerge w:val="continue"/>
            <w:noWrap w:val="0"/>
            <w:vAlign w:val="center"/>
          </w:tcPr>
          <w:p w14:paraId="67072480">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1763" w:type="dxa"/>
            <w:vMerge w:val="continue"/>
            <w:noWrap w:val="0"/>
            <w:vAlign w:val="center"/>
          </w:tcPr>
          <w:p w14:paraId="43D589A4">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2755" w:type="dxa"/>
            <w:noWrap w:val="0"/>
            <w:vAlign w:val="center"/>
          </w:tcPr>
          <w:p w14:paraId="7E880A6B">
            <w:pPr>
              <w:pageBreakBefore w:val="0"/>
              <w:kinsoku/>
              <w:wordWrap w:val="0"/>
              <w:overflowPunct w:val="0"/>
              <w:topLinePunct w:val="0"/>
              <w:bidi w:val="0"/>
              <w:spacing w:line="34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技术</w:t>
            </w:r>
          </w:p>
        </w:tc>
        <w:tc>
          <w:tcPr>
            <w:tcW w:w="3366" w:type="dxa"/>
            <w:noWrap w:val="0"/>
            <w:vAlign w:val="center"/>
          </w:tcPr>
          <w:p w14:paraId="17F3F0A0">
            <w:pPr>
              <w:pageBreakBefore w:val="0"/>
              <w:kinsoku/>
              <w:wordWrap w:val="0"/>
              <w:overflowPunct w:val="0"/>
              <w:topLinePunct w:val="0"/>
              <w:bidi w:val="0"/>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51</w:t>
            </w:r>
            <w:r>
              <w:rPr>
                <w:rFonts w:hint="eastAsia" w:ascii="宋体" w:hAnsi="宋体" w:eastAsia="宋体" w:cs="宋体"/>
                <w:color w:val="auto"/>
                <w:szCs w:val="21"/>
                <w:highlight w:val="none"/>
              </w:rPr>
              <w:t>％</w:t>
            </w:r>
          </w:p>
        </w:tc>
      </w:tr>
      <w:tr w14:paraId="177B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792" w:type="dxa"/>
            <w:vMerge w:val="continue"/>
            <w:noWrap w:val="0"/>
            <w:vAlign w:val="center"/>
          </w:tcPr>
          <w:p w14:paraId="2B2FB97C">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1763" w:type="dxa"/>
            <w:vMerge w:val="continue"/>
            <w:noWrap w:val="0"/>
            <w:vAlign w:val="center"/>
          </w:tcPr>
          <w:p w14:paraId="28680183">
            <w:pPr>
              <w:pageBreakBefore w:val="0"/>
              <w:kinsoku/>
              <w:wordWrap w:val="0"/>
              <w:overflowPunct w:val="0"/>
              <w:topLinePunct w:val="0"/>
              <w:bidi w:val="0"/>
              <w:spacing w:line="340" w:lineRule="exact"/>
              <w:rPr>
                <w:rFonts w:hint="eastAsia" w:ascii="宋体" w:hAnsi="宋体" w:eastAsia="宋体" w:cs="宋体"/>
                <w:color w:val="auto"/>
                <w:szCs w:val="21"/>
              </w:rPr>
            </w:pPr>
          </w:p>
        </w:tc>
        <w:tc>
          <w:tcPr>
            <w:tcW w:w="2755" w:type="dxa"/>
            <w:noWrap w:val="0"/>
            <w:vAlign w:val="center"/>
          </w:tcPr>
          <w:p w14:paraId="538E922B">
            <w:pPr>
              <w:pageBreakBefore w:val="0"/>
              <w:kinsoku/>
              <w:wordWrap w:val="0"/>
              <w:overflowPunct w:val="0"/>
              <w:topLinePunct w:val="0"/>
              <w:bidi w:val="0"/>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3366" w:type="dxa"/>
            <w:noWrap w:val="0"/>
            <w:vAlign w:val="center"/>
          </w:tcPr>
          <w:p w14:paraId="0336660B">
            <w:pPr>
              <w:pageBreakBefore w:val="0"/>
              <w:kinsoku/>
              <w:wordWrap w:val="0"/>
              <w:overflowPunct w:val="0"/>
              <w:topLinePunct w:val="0"/>
              <w:bidi w:val="0"/>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w:t>
            </w:r>
          </w:p>
        </w:tc>
      </w:tr>
      <w:tr w14:paraId="0110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92" w:type="dxa"/>
            <w:noWrap w:val="0"/>
            <w:vAlign w:val="center"/>
          </w:tcPr>
          <w:p w14:paraId="43251DF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第三章第3.2</w:t>
            </w:r>
            <w:r>
              <w:rPr>
                <w:rFonts w:hint="eastAsia" w:ascii="宋体" w:hAnsi="宋体" w:eastAsia="宋体" w:cs="宋体"/>
                <w:color w:val="auto"/>
                <w:szCs w:val="21"/>
                <w:lang w:val="zh-CN"/>
              </w:rPr>
              <w:t>款</w:t>
            </w:r>
          </w:p>
        </w:tc>
        <w:tc>
          <w:tcPr>
            <w:tcW w:w="1763" w:type="dxa"/>
            <w:noWrap w:val="0"/>
            <w:vAlign w:val="center"/>
          </w:tcPr>
          <w:p w14:paraId="00A5042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无效投标的规定</w:t>
            </w:r>
          </w:p>
        </w:tc>
        <w:tc>
          <w:tcPr>
            <w:tcW w:w="6121" w:type="dxa"/>
            <w:gridSpan w:val="2"/>
            <w:noWrap w:val="0"/>
            <w:vAlign w:val="center"/>
          </w:tcPr>
          <w:p w14:paraId="15CB44A6">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投标文件属下列情况之一的，应在资格性、符合性检查时按照无效投标处理：</w:t>
            </w:r>
          </w:p>
          <w:p w14:paraId="062684B5">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lang w:val="en-US" w:eastAsia="zh-CN"/>
              </w:rPr>
              <w:t>1</w:t>
            </w:r>
            <w:r>
              <w:rPr>
                <w:rFonts w:hint="eastAsia" w:ascii="宋体" w:hAnsi="宋体" w:eastAsia="宋体" w:cs="宋体"/>
                <w:color w:val="auto"/>
                <w:lang w:eastAsia="zh-CN"/>
              </w:rPr>
              <w:t>）</w:t>
            </w:r>
            <w:r>
              <w:rPr>
                <w:rFonts w:hint="eastAsia" w:ascii="宋体" w:hAnsi="宋体" w:eastAsia="宋体" w:cs="宋体"/>
                <w:color w:val="auto"/>
              </w:rPr>
              <w:t>应交未交投标保证金或金额不足、投标保证金形式不符合招标文件要求的；</w:t>
            </w:r>
          </w:p>
          <w:p w14:paraId="68AE4547">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（2）未按照招标文件规定要求签署、盖章的；</w:t>
            </w:r>
          </w:p>
          <w:p w14:paraId="12247D88">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（3）投标有效期不足的；</w:t>
            </w:r>
          </w:p>
          <w:p w14:paraId="51C9B4BF">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 xml:space="preserve">（4）参加政府采购活动前三年内，在经营活动中有重大违法记录的； </w:t>
            </w:r>
          </w:p>
          <w:p w14:paraId="4C307FBB">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（5）不具备第</w:t>
            </w:r>
            <w:r>
              <w:rPr>
                <w:rFonts w:hint="eastAsia" w:ascii="宋体" w:hAnsi="宋体" w:eastAsia="宋体" w:cs="宋体"/>
                <w:color w:val="auto"/>
                <w:lang w:val="en-US" w:eastAsia="zh-CN"/>
              </w:rPr>
              <w:t>二</w:t>
            </w:r>
            <w:r>
              <w:rPr>
                <w:rFonts w:hint="eastAsia" w:ascii="宋体" w:hAnsi="宋体" w:eastAsia="宋体" w:cs="宋体"/>
                <w:color w:val="auto"/>
              </w:rPr>
              <w:t>章“投标须知”第3.1</w:t>
            </w:r>
            <w:r>
              <w:rPr>
                <w:rFonts w:hint="eastAsia" w:ascii="宋体" w:hAnsi="宋体" w:eastAsia="宋体" w:cs="宋体"/>
                <w:color w:val="auto"/>
                <w:lang w:val="zh-CN"/>
              </w:rPr>
              <w:t>款</w:t>
            </w:r>
            <w:r>
              <w:rPr>
                <w:rFonts w:hint="eastAsia" w:ascii="宋体" w:hAnsi="宋体" w:eastAsia="宋体" w:cs="宋体"/>
                <w:color w:val="auto"/>
              </w:rPr>
              <w:t>规定的投标人资格要求的；</w:t>
            </w:r>
          </w:p>
          <w:p w14:paraId="59D29DAD">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（6）不满足第</w:t>
            </w:r>
            <w:r>
              <w:rPr>
                <w:rFonts w:hint="eastAsia" w:ascii="宋体" w:hAnsi="宋体" w:eastAsia="宋体" w:cs="宋体"/>
                <w:color w:val="auto"/>
                <w:lang w:val="en-US" w:eastAsia="zh-CN"/>
              </w:rPr>
              <w:t>二</w:t>
            </w:r>
            <w:r>
              <w:rPr>
                <w:rFonts w:hint="eastAsia" w:ascii="宋体" w:hAnsi="宋体" w:eastAsia="宋体" w:cs="宋体"/>
                <w:color w:val="auto"/>
              </w:rPr>
              <w:t>章“投标须知”第9.1</w:t>
            </w:r>
            <w:r>
              <w:rPr>
                <w:rFonts w:hint="eastAsia" w:ascii="宋体" w:hAnsi="宋体" w:eastAsia="宋体" w:cs="宋体"/>
                <w:color w:val="auto"/>
                <w:lang w:val="zh-CN"/>
              </w:rPr>
              <w:t>款</w:t>
            </w:r>
            <w:r>
              <w:rPr>
                <w:rFonts w:hint="eastAsia" w:ascii="宋体" w:hAnsi="宋体" w:eastAsia="宋体" w:cs="宋体"/>
                <w:color w:val="auto"/>
              </w:rPr>
              <w:t>、第9.2</w:t>
            </w:r>
            <w:r>
              <w:rPr>
                <w:rFonts w:hint="eastAsia" w:ascii="宋体" w:hAnsi="宋体" w:eastAsia="宋体" w:cs="宋体"/>
                <w:color w:val="auto"/>
                <w:lang w:val="zh-CN"/>
              </w:rPr>
              <w:t>款</w:t>
            </w:r>
            <w:r>
              <w:rPr>
                <w:rFonts w:hint="eastAsia" w:ascii="宋体" w:hAnsi="宋体" w:eastAsia="宋体" w:cs="宋体"/>
                <w:color w:val="auto"/>
              </w:rPr>
              <w:t>规定的实质性要求的；</w:t>
            </w:r>
          </w:p>
          <w:p w14:paraId="1FDFD776">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（7）同一投标人提交两个以上不同的投标文件或者投标报价的；</w:t>
            </w:r>
          </w:p>
          <w:p w14:paraId="17A954B1">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（8）投标文件载明的投标范围小于招标文件规定的招标范围的</w:t>
            </w:r>
            <w:r>
              <w:rPr>
                <w:rFonts w:hint="eastAsia" w:ascii="宋体" w:hAnsi="宋体" w:eastAsia="宋体" w:cs="宋体"/>
                <w:color w:val="auto"/>
                <w:lang w:eastAsia="zh-CN"/>
              </w:rPr>
              <w:t>（</w:t>
            </w:r>
            <w:r>
              <w:rPr>
                <w:rFonts w:hint="eastAsia" w:ascii="宋体" w:hAnsi="宋体" w:eastAsia="宋体" w:cs="宋体"/>
                <w:color w:val="auto"/>
              </w:rPr>
              <w:t>缺漏招标文件所要求的内容</w:t>
            </w:r>
            <w:r>
              <w:rPr>
                <w:rFonts w:hint="eastAsia" w:ascii="宋体" w:hAnsi="宋体" w:eastAsia="宋体" w:cs="宋体"/>
                <w:color w:val="auto"/>
                <w:lang w:eastAsia="zh-CN"/>
              </w:rPr>
              <w:t>）</w:t>
            </w:r>
            <w:r>
              <w:rPr>
                <w:rFonts w:hint="eastAsia" w:ascii="宋体" w:hAnsi="宋体" w:eastAsia="宋体" w:cs="宋体"/>
                <w:color w:val="auto"/>
              </w:rPr>
              <w:t>；</w:t>
            </w:r>
          </w:p>
          <w:p w14:paraId="2C92D2C3">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（9）投标货物性能、规格、检验标准和方法、服务等不满足招标文件的相关要求和超出采购人接受的偏差范围的；</w:t>
            </w:r>
          </w:p>
          <w:p w14:paraId="5B138487">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（10）投标文件附有</w:t>
            </w:r>
            <w:r>
              <w:rPr>
                <w:rFonts w:hint="eastAsia" w:ascii="宋体" w:hAnsi="宋体" w:eastAsia="宋体" w:cs="宋体"/>
                <w:color w:val="auto"/>
                <w:lang w:val="en-US" w:eastAsia="zh-CN"/>
              </w:rPr>
              <w:t>招标人</w:t>
            </w:r>
            <w:r>
              <w:rPr>
                <w:rFonts w:hint="eastAsia" w:ascii="宋体" w:hAnsi="宋体" w:eastAsia="宋体" w:cs="宋体"/>
                <w:color w:val="auto"/>
              </w:rPr>
              <w:t>不能接受的条件；</w:t>
            </w:r>
          </w:p>
          <w:p w14:paraId="0BF9B8C9">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（11）不符合招标文件规定的分包、转包规定等其他实质性要求；</w:t>
            </w:r>
          </w:p>
          <w:p w14:paraId="017855B7">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（12）不符合</w:t>
            </w:r>
            <w:r>
              <w:rPr>
                <w:rFonts w:hint="eastAsia" w:ascii="宋体" w:hAnsi="宋体" w:eastAsia="宋体" w:cs="宋体"/>
                <w:color w:val="auto"/>
                <w:lang w:eastAsia="zh-CN"/>
              </w:rPr>
              <w:t>法律法规</w:t>
            </w:r>
            <w:r>
              <w:rPr>
                <w:rFonts w:hint="eastAsia" w:ascii="宋体" w:hAnsi="宋体" w:eastAsia="宋体" w:cs="宋体"/>
                <w:color w:val="auto"/>
              </w:rPr>
              <w:t>的规定。</w:t>
            </w:r>
          </w:p>
        </w:tc>
      </w:tr>
      <w:tr w14:paraId="73E7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jc w:val="center"/>
        </w:trPr>
        <w:tc>
          <w:tcPr>
            <w:tcW w:w="1792" w:type="dxa"/>
            <w:noWrap w:val="0"/>
            <w:vAlign w:val="center"/>
          </w:tcPr>
          <w:p w14:paraId="53614A1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第三章第3.3</w:t>
            </w:r>
            <w:r>
              <w:rPr>
                <w:rFonts w:hint="eastAsia" w:ascii="宋体" w:hAnsi="宋体" w:eastAsia="宋体" w:cs="宋体"/>
                <w:color w:val="auto"/>
                <w:szCs w:val="21"/>
                <w:lang w:val="zh-CN"/>
              </w:rPr>
              <w:t>款</w:t>
            </w:r>
          </w:p>
        </w:tc>
        <w:tc>
          <w:tcPr>
            <w:tcW w:w="1763" w:type="dxa"/>
            <w:noWrap w:val="0"/>
            <w:vAlign w:val="center"/>
          </w:tcPr>
          <w:p w14:paraId="23DA6B6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废标的规定</w:t>
            </w:r>
          </w:p>
        </w:tc>
        <w:tc>
          <w:tcPr>
            <w:tcW w:w="6121" w:type="dxa"/>
            <w:gridSpan w:val="2"/>
            <w:noWrap w:val="0"/>
            <w:vAlign w:val="center"/>
          </w:tcPr>
          <w:p w14:paraId="1BEA4DE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有下列情形之一时，评标委员会应予以废标：</w:t>
            </w:r>
          </w:p>
          <w:p w14:paraId="5B1B8905">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（1）符合专业条件的投标人或者对招标文件作实质性响应的投标人不足三家的；</w:t>
            </w:r>
          </w:p>
          <w:p w14:paraId="1F84592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（2）出现影响采购公正的违法、违规行为的；</w:t>
            </w:r>
          </w:p>
          <w:p w14:paraId="0EDCA32B">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（3）投标人的报价均超过了采购预算的；</w:t>
            </w:r>
          </w:p>
          <w:p w14:paraId="2CE31929">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（4）因重大变故，采购任务取消的。</w:t>
            </w:r>
          </w:p>
        </w:tc>
      </w:tr>
      <w:tr w14:paraId="4949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92" w:type="dxa"/>
            <w:noWrap w:val="0"/>
            <w:vAlign w:val="center"/>
          </w:tcPr>
          <w:p w14:paraId="7CAF161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第三章第6</w:t>
            </w:r>
            <w:r>
              <w:rPr>
                <w:rFonts w:hint="eastAsia" w:ascii="宋体" w:hAnsi="宋体" w:eastAsia="宋体" w:cs="宋体"/>
                <w:color w:val="auto"/>
                <w:szCs w:val="21"/>
                <w:lang w:val="zh-CN"/>
              </w:rPr>
              <w:t>款</w:t>
            </w:r>
          </w:p>
        </w:tc>
        <w:tc>
          <w:tcPr>
            <w:tcW w:w="1763" w:type="dxa"/>
            <w:noWrap w:val="0"/>
            <w:vAlign w:val="center"/>
          </w:tcPr>
          <w:p w14:paraId="0FB177C0">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确定中标人</w:t>
            </w:r>
          </w:p>
        </w:tc>
        <w:tc>
          <w:tcPr>
            <w:tcW w:w="6121" w:type="dxa"/>
            <w:gridSpan w:val="2"/>
            <w:noWrap w:val="0"/>
            <w:vAlign w:val="center"/>
          </w:tcPr>
          <w:p w14:paraId="11AD860E">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评标委员会按得分从高到低的</w:t>
            </w:r>
            <w:r>
              <w:rPr>
                <w:rFonts w:hint="eastAsia" w:ascii="宋体" w:hAnsi="宋体" w:eastAsia="宋体" w:cs="宋体"/>
                <w:color w:val="auto"/>
                <w:szCs w:val="21"/>
                <w:lang w:eastAsia="zh-CN"/>
              </w:rPr>
              <w:t>顺序</w:t>
            </w:r>
            <w:r>
              <w:rPr>
                <w:rFonts w:hint="eastAsia" w:ascii="宋体" w:hAnsi="宋体" w:eastAsia="宋体" w:cs="宋体"/>
                <w:color w:val="auto"/>
                <w:szCs w:val="21"/>
              </w:rPr>
              <w:t>对投标人进行排序（当投标人得分相同时，报价低者排名在前；当投标人综合评分且报价相同时，按技术部分得分由高者排名在前。）根据</w:t>
            </w:r>
            <w:r>
              <w:rPr>
                <w:rFonts w:hint="eastAsia" w:ascii="宋体" w:hAnsi="宋体" w:eastAsia="宋体" w:cs="宋体"/>
                <w:color w:val="auto"/>
                <w:szCs w:val="21"/>
                <w:lang w:val="en-US" w:eastAsia="zh-CN"/>
              </w:rPr>
              <w:t>招标</w:t>
            </w:r>
            <w:r>
              <w:rPr>
                <w:rFonts w:hint="eastAsia" w:ascii="宋体" w:hAnsi="宋体" w:eastAsia="宋体" w:cs="宋体"/>
                <w:color w:val="auto"/>
                <w:szCs w:val="21"/>
              </w:rPr>
              <w:t>人的授权，直接确定排名第一的投标人为中标人。</w:t>
            </w:r>
          </w:p>
        </w:tc>
      </w:tr>
      <w:tr w14:paraId="34B3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92" w:type="dxa"/>
            <w:noWrap w:val="0"/>
            <w:vAlign w:val="center"/>
          </w:tcPr>
          <w:p w14:paraId="0907EF9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本项目需要落实的政府采购政策</w:t>
            </w:r>
          </w:p>
        </w:tc>
        <w:tc>
          <w:tcPr>
            <w:tcW w:w="7884" w:type="dxa"/>
            <w:gridSpan w:val="3"/>
            <w:noWrap w:val="0"/>
            <w:vAlign w:val="center"/>
          </w:tcPr>
          <w:p w14:paraId="14D2EE90">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1、按照财政部《政府采购进口产品管理办法》（财库[2007]119号）的有关规定，本采购文件涉及的所有采购内容除特别标注为“可接受进口产品”外，均必须采购国产产品。进口产品特指“通过中国海关报关验放进入中国境内且产自关境外的产品”。投标产品各项技术标准必须符合国家强制性标准，否则投标无效。</w:t>
            </w:r>
          </w:p>
          <w:p w14:paraId="0C9466D7">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2、《政府采购促进中小企业发展管理办法》（财库﹝2020﹞46 号）；</w:t>
            </w:r>
          </w:p>
          <w:p w14:paraId="40731B9F">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3、《财政部、司法部关于政府采购支持监狱企业发展有关问题的通知》（财库[2014]68号）；</w:t>
            </w:r>
          </w:p>
          <w:p w14:paraId="20C67AA3">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4、《财政部 民政部 中国残疾人联合会关于促进残疾人就业政府采购政策的通知》（财库〔2017〕141号）。</w:t>
            </w:r>
          </w:p>
          <w:p w14:paraId="20C62068">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"_Toc19413 " </w:instrText>
            </w:r>
            <w:r>
              <w:rPr>
                <w:rFonts w:hint="eastAsia" w:ascii="宋体" w:hAnsi="宋体" w:eastAsia="宋体" w:cs="宋体"/>
                <w:color w:val="auto"/>
              </w:rPr>
              <w:fldChar w:fldCharType="separate"/>
            </w:r>
            <w:r>
              <w:rPr>
                <w:rFonts w:hint="eastAsia" w:ascii="宋体" w:hAnsi="宋体" w:eastAsia="宋体" w:cs="宋体"/>
                <w:color w:val="auto"/>
              </w:rPr>
              <w:t>关于印发《节能产品政府采购</w:t>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"_Toc22393 " </w:instrText>
            </w:r>
            <w:r>
              <w:rPr>
                <w:rFonts w:hint="eastAsia" w:ascii="宋体" w:hAnsi="宋体" w:eastAsia="宋体" w:cs="宋体"/>
                <w:color w:val="auto"/>
              </w:rPr>
              <w:fldChar w:fldCharType="separate"/>
            </w:r>
            <w:r>
              <w:rPr>
                <w:rFonts w:hint="eastAsia" w:ascii="宋体" w:hAnsi="宋体" w:eastAsia="宋体" w:cs="宋体"/>
                <w:color w:val="auto"/>
              </w:rPr>
              <w:t>实施意见》的通知（财库〔2004〕185号）</w:t>
            </w:r>
            <w:r>
              <w:rPr>
                <w:rFonts w:hint="eastAsia" w:ascii="宋体" w:hAnsi="宋体" w:eastAsia="宋体" w:cs="宋体"/>
                <w:color w:val="auto"/>
              </w:rPr>
              <w:fldChar w:fldCharType="end"/>
            </w:r>
          </w:p>
          <w:p w14:paraId="6841CCF3">
            <w:pPr>
              <w:pageBreakBefore w:val="0"/>
              <w:kinsoku/>
              <w:wordWrap w:val="0"/>
              <w:overflowPunct w:val="0"/>
              <w:topLinePunct w:val="0"/>
              <w:bidi w:val="0"/>
              <w:spacing w:line="340" w:lineRule="exact"/>
              <w:rPr>
                <w:rFonts w:hint="eastAsia"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"_Toc23604 " </w:instrText>
            </w:r>
            <w:r>
              <w:rPr>
                <w:rFonts w:hint="eastAsia" w:ascii="宋体" w:hAnsi="宋体" w:eastAsia="宋体" w:cs="宋体"/>
                <w:color w:val="auto"/>
              </w:rPr>
              <w:fldChar w:fldCharType="separate"/>
            </w:r>
            <w:r>
              <w:rPr>
                <w:rFonts w:hint="eastAsia" w:ascii="宋体" w:hAnsi="宋体" w:eastAsia="宋体" w:cs="宋体"/>
                <w:color w:val="auto"/>
              </w:rPr>
              <w:t>关于环境标志产品政府采购实施的意见（财库〔2006〕90号）</w:t>
            </w:r>
            <w:r>
              <w:rPr>
                <w:rFonts w:hint="eastAsia" w:ascii="宋体" w:hAnsi="宋体" w:eastAsia="宋体" w:cs="宋体"/>
                <w:color w:val="auto"/>
              </w:rPr>
              <w:fldChar w:fldCharType="end"/>
            </w:r>
          </w:p>
          <w:p w14:paraId="0F02CA7A">
            <w:pPr>
              <w:pStyle w:val="6"/>
              <w:pageBreakBefore w:val="0"/>
              <w:kinsoku/>
              <w:wordWrap w:val="0"/>
              <w:overflowPunct w:val="0"/>
              <w:topLinePunct w:val="0"/>
              <w:bidi w:val="0"/>
              <w:ind w:left="0" w:leftChars="0" w:firstLine="0" w:firstLineChars="0"/>
              <w:rPr>
                <w:rFonts w:hint="eastAsia" w:ascii="宋体" w:hAnsi="宋体" w:eastAsia="宋体" w:cs="宋体"/>
                <w:color w:val="auto"/>
                <w:szCs w:val="21"/>
                <w:lang w:eastAsia="zh-CN"/>
              </w:rPr>
            </w:pPr>
            <w:r>
              <w:rPr>
                <w:rFonts w:hint="eastAsia" w:ascii="宋体" w:hAnsi="宋体" w:eastAsia="宋体" w:cs="宋体"/>
                <w:color w:val="auto"/>
                <w:lang w:val="en-US" w:eastAsia="zh-CN"/>
              </w:rPr>
              <w:t>7、</w:t>
            </w:r>
            <w:r>
              <w:rPr>
                <w:rFonts w:hint="eastAsia" w:ascii="宋体" w:hAnsi="宋体" w:eastAsia="宋体" w:cs="宋体"/>
                <w:color w:val="auto"/>
              </w:rPr>
              <w:t>山西省财政厅关于进一步加大政府采购支持中小企业力度助力扎实稳住经济的通知</w:t>
            </w:r>
            <w:r>
              <w:rPr>
                <w:rFonts w:hint="eastAsia" w:ascii="宋体" w:hAnsi="宋体" w:eastAsia="宋体" w:cs="宋体"/>
                <w:color w:val="auto"/>
                <w:lang w:eastAsia="zh-CN"/>
              </w:rPr>
              <w:t>（</w:t>
            </w:r>
            <w:r>
              <w:rPr>
                <w:rFonts w:hint="eastAsia" w:ascii="宋体" w:hAnsi="宋体" w:eastAsia="宋体" w:cs="宋体"/>
                <w:color w:val="auto"/>
              </w:rPr>
              <w:t>晋财购〔2022〕6号</w:t>
            </w:r>
            <w:r>
              <w:rPr>
                <w:rFonts w:hint="eastAsia" w:ascii="宋体" w:hAnsi="宋体" w:eastAsia="宋体" w:cs="宋体"/>
                <w:color w:val="auto"/>
                <w:lang w:eastAsia="zh-CN"/>
              </w:rPr>
              <w:t>）</w:t>
            </w:r>
          </w:p>
        </w:tc>
      </w:tr>
      <w:tr w14:paraId="4AB6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92" w:type="dxa"/>
            <w:noWrap w:val="0"/>
            <w:vAlign w:val="center"/>
          </w:tcPr>
          <w:p w14:paraId="0CA10DCA">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落实政府采购政策采取的措施</w:t>
            </w:r>
          </w:p>
        </w:tc>
        <w:tc>
          <w:tcPr>
            <w:tcW w:w="7884" w:type="dxa"/>
            <w:gridSpan w:val="3"/>
            <w:noWrap w:val="0"/>
            <w:vAlign w:val="center"/>
          </w:tcPr>
          <w:p w14:paraId="69F1DABF">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1、中小微企业参加本项目投标时：</w:t>
            </w:r>
          </w:p>
          <w:p w14:paraId="45A4B8B6">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（1）须按照工信部联【2011】300号《中小企业划型标准规定》的标准如实填写《中小企业声明函》（格式见第</w:t>
            </w:r>
            <w:r>
              <w:rPr>
                <w:rFonts w:hint="eastAsia" w:ascii="宋体" w:hAnsi="宋体" w:eastAsia="宋体" w:cs="宋体"/>
                <w:color w:val="auto"/>
                <w:szCs w:val="21"/>
                <w:lang w:eastAsia="zh-CN"/>
              </w:rPr>
              <w:t>五</w:t>
            </w:r>
            <w:r>
              <w:rPr>
                <w:rFonts w:hint="eastAsia" w:ascii="宋体" w:hAnsi="宋体" w:eastAsia="宋体" w:cs="宋体"/>
                <w:color w:val="auto"/>
                <w:szCs w:val="21"/>
              </w:rPr>
              <w:t>章 响应文件组成）。</w:t>
            </w:r>
          </w:p>
          <w:p w14:paraId="47A7E82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（2）价格优惠：小型企业和微型企业给予</w:t>
            </w:r>
            <w:r>
              <w:rPr>
                <w:rFonts w:hint="eastAsia" w:ascii="宋体" w:hAnsi="宋体" w:eastAsia="宋体" w:cs="宋体"/>
                <w:color w:val="auto"/>
                <w:szCs w:val="21"/>
                <w:lang w:val="en-US" w:eastAsia="zh-CN"/>
              </w:rPr>
              <w:t>15</w:t>
            </w:r>
            <w:r>
              <w:rPr>
                <w:rFonts w:hint="eastAsia" w:ascii="宋体" w:hAnsi="宋体" w:eastAsia="宋体" w:cs="宋体"/>
                <w:color w:val="auto"/>
                <w:szCs w:val="21"/>
              </w:rPr>
              <w:t>%的价格扣除；用扣除后的报价参与评审。</w:t>
            </w:r>
          </w:p>
          <w:p w14:paraId="4598355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b/>
                <w:bCs/>
                <w:color w:val="auto"/>
                <w:sz w:val="22"/>
                <w:szCs w:val="22"/>
                <w:lang w:val="en-US" w:eastAsia="zh-CN"/>
              </w:rPr>
              <w:t>本项目专门面向中小企业采购，不再执行价格优惠政策。</w:t>
            </w:r>
          </w:p>
          <w:p w14:paraId="0DD56468">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2、监狱企业参加本项目投标时：</w:t>
            </w:r>
          </w:p>
          <w:p w14:paraId="21A8102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（1）须出具监狱管理局、戒毒管理局等主管部门出具的证明文件。</w:t>
            </w:r>
          </w:p>
          <w:p w14:paraId="14F5A5CD">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（2）价格优惠：监狱企业给予</w:t>
            </w:r>
            <w:r>
              <w:rPr>
                <w:rFonts w:hint="eastAsia" w:ascii="宋体" w:hAnsi="宋体" w:eastAsia="宋体" w:cs="宋体"/>
                <w:color w:val="auto"/>
                <w:szCs w:val="21"/>
                <w:lang w:val="en-US" w:eastAsia="zh-CN"/>
              </w:rPr>
              <w:t>15</w:t>
            </w:r>
            <w:r>
              <w:rPr>
                <w:rFonts w:hint="eastAsia" w:ascii="宋体" w:hAnsi="宋体" w:eastAsia="宋体" w:cs="宋体"/>
                <w:color w:val="auto"/>
                <w:szCs w:val="21"/>
              </w:rPr>
              <w:t>%的价格扣除；用扣除后的报价参与评审。</w:t>
            </w:r>
          </w:p>
          <w:p w14:paraId="178A638E">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（3）监狱企业属于小型、微型企业的，不重复享受政策</w:t>
            </w:r>
            <w:r>
              <w:rPr>
                <w:rFonts w:hint="eastAsia" w:ascii="宋体" w:hAnsi="宋体" w:eastAsia="宋体" w:cs="宋体"/>
                <w:color w:val="auto"/>
                <w:szCs w:val="21"/>
                <w:lang w:eastAsia="zh-CN"/>
              </w:rPr>
              <w:t>。</w:t>
            </w:r>
          </w:p>
          <w:p w14:paraId="190A1DBF">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3、残疾人福利性单位参加本项目投标时：</w:t>
            </w:r>
          </w:p>
          <w:p w14:paraId="6FDD6D91">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（1）残疾人福利性单位应满足以下条件：</w:t>
            </w:r>
          </w:p>
          <w:p w14:paraId="45D54450">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①安置的残疾人占本单位在职职工人数的比例不低于25%（含25%），并且安置的残疾人人数不低于10人（含10人）。</w:t>
            </w:r>
          </w:p>
          <w:p w14:paraId="292839DA">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②依法与安置的每位残疾人签订了一年以上（含一年）的劳动合同或服务协议。</w:t>
            </w:r>
          </w:p>
          <w:p w14:paraId="4FA81D30">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③为安置的每位残疾人按时缴纳了社会保险。</w:t>
            </w:r>
          </w:p>
          <w:p w14:paraId="7A4A587C">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④向安置的每位残疾人支付的工资不低于单位所在区县适用的经省级人民政府批准的月最低工资标准。</w:t>
            </w:r>
          </w:p>
          <w:p w14:paraId="52BC3B1C">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⑤提供本单位制造的货物（由本单位承担工程/提供服务），或者提供其他残疾人福利性单位制造的货物（不包括使用非残疾人福利性单位注册商标的货物）。</w:t>
            </w:r>
          </w:p>
          <w:p w14:paraId="1BD442F1">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须如实填写《残疾人福利性单位声明函》（格式见第六章 响应文件组成），并附相关证明材料。</w:t>
            </w:r>
          </w:p>
          <w:p w14:paraId="5F4B7C22">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（2）价格优惠：残疾人福利性单位给予15%的价格扣除，用扣除后的报价参与评审。</w:t>
            </w:r>
          </w:p>
          <w:p w14:paraId="7214AB33">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（3）残疾人单位属于小型、微型企业的，不重复享受政策。</w:t>
            </w:r>
          </w:p>
          <w:p w14:paraId="22420CF7">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4、政府采购支持绿色、创新等方面发展：</w:t>
            </w:r>
          </w:p>
          <w:p w14:paraId="26D9676B">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 须出具相关部门出具的证明材料。</w:t>
            </w:r>
          </w:p>
          <w:p w14:paraId="41EB73C3">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 价格优惠：绿色、创新给予15%的价格扣除；用扣除后的报价参与评审。</w:t>
            </w:r>
          </w:p>
          <w:p w14:paraId="7FEBAA65">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5、供应商属于小、微型企业、监狱企业、残疾人福利性单位、绿色、创新的，最多只能享受一次价格扣除，不重复享受政策优惠。</w:t>
            </w:r>
          </w:p>
          <w:p w14:paraId="46C0013B">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属于政府强制采购产品的，投标产品必须为财库[2019]19号《关于印发节能产品政府采购品目清单的通知》--“附件：节能产品政府采购品目清单”中的产品。属于政府优先采购产品且投标产品为“附件：节能产品政府采购品目清单”中的产品的，在同等条件下优先采购。</w:t>
            </w:r>
          </w:p>
          <w:p w14:paraId="402268CF">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7、属于政府优先采购产品，投标产品为财库[2019]18号《关于印发环境标志产品政府采购品目清单的通知》--“附件：环境标志产品政府采购品目清单”中的产品的，在同等条件下优先采购。</w:t>
            </w:r>
          </w:p>
          <w:p w14:paraId="7C564A27">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8、涉及创新产品、创新服务的</w:t>
            </w:r>
          </w:p>
          <w:p w14:paraId="7575F0C1">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供应商提供创新产品或创新服务属于《山西省创新产品和服务推荐清单》中创新产品或创新服务的，对供应商的报价给予折扣，以折扣后的价格参与评审。</w:t>
            </w:r>
          </w:p>
          <w:p w14:paraId="46449A6F">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9、涉及商品包装和快递包装的</w:t>
            </w:r>
          </w:p>
          <w:p w14:paraId="6F99D815">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本文件列出商品包装和快递包装要求的，供应商应承诺商品包装符合《商品包装政府采购需求标准（试行）》，快递包装符合《快递包装政府采购需求标准（试行）》。</w:t>
            </w:r>
          </w:p>
          <w:p w14:paraId="424180D5">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b/>
                <w:bCs/>
                <w:color w:val="auto"/>
                <w:szCs w:val="21"/>
                <w:lang w:val="en-US" w:eastAsia="zh-CN"/>
              </w:rPr>
              <w:t>本项目所属行业为：其他未列明行业。</w:t>
            </w:r>
          </w:p>
        </w:tc>
      </w:tr>
      <w:tr w14:paraId="72FD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676" w:type="dxa"/>
            <w:gridSpan w:val="4"/>
            <w:noWrap w:val="0"/>
            <w:vAlign w:val="center"/>
          </w:tcPr>
          <w:p w14:paraId="7F67C97D">
            <w:pPr>
              <w:pageBreakBefore w:val="0"/>
              <w:kinsoku/>
              <w:wordWrap w:val="0"/>
              <w:overflowPunct w:val="0"/>
              <w:topLinePunct w:val="0"/>
              <w:bidi w:val="0"/>
              <w:spacing w:line="340" w:lineRule="exact"/>
              <w:jc w:val="center"/>
              <w:rPr>
                <w:rFonts w:hint="eastAsia" w:ascii="宋体" w:hAnsi="宋体" w:eastAsia="宋体" w:cs="宋体"/>
                <w:color w:val="auto"/>
                <w:szCs w:val="21"/>
              </w:rPr>
            </w:pPr>
            <w:r>
              <w:rPr>
                <w:rFonts w:hint="eastAsia" w:ascii="宋体" w:hAnsi="宋体" w:eastAsia="宋体" w:cs="宋体"/>
                <w:b/>
                <w:bCs/>
                <w:color w:val="auto"/>
                <w:szCs w:val="21"/>
              </w:rPr>
              <w:t>第四章  政府采购合同格式</w:t>
            </w:r>
          </w:p>
        </w:tc>
      </w:tr>
      <w:tr w14:paraId="149B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92" w:type="dxa"/>
            <w:noWrap w:val="0"/>
            <w:vAlign w:val="center"/>
          </w:tcPr>
          <w:p w14:paraId="5E36A257">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 xml:space="preserve">甲方名称、地址 </w:t>
            </w:r>
          </w:p>
        </w:tc>
        <w:tc>
          <w:tcPr>
            <w:tcW w:w="7884" w:type="dxa"/>
            <w:gridSpan w:val="3"/>
            <w:noWrap w:val="0"/>
            <w:vAlign w:val="center"/>
          </w:tcPr>
          <w:p w14:paraId="45B7F73B">
            <w:pPr>
              <w:pageBreakBefore w:val="0"/>
              <w:kinsoku/>
              <w:wordWrap w:val="0"/>
              <w:overflowPunct w:val="0"/>
              <w:topLinePunct w:val="0"/>
              <w:bidi w:val="0"/>
              <w:spacing w:line="340" w:lineRule="exact"/>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招 标</w:t>
            </w:r>
            <w:r>
              <w:rPr>
                <w:rFonts w:hint="eastAsia" w:ascii="宋体" w:hAnsi="宋体" w:eastAsia="宋体" w:cs="宋体"/>
                <w:color w:val="auto"/>
                <w:szCs w:val="21"/>
                <w:lang w:val="zh-CN"/>
              </w:rPr>
              <w:t xml:space="preserve"> 人：山西新产业技师学院</w:t>
            </w:r>
          </w:p>
          <w:p w14:paraId="30CB4589">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lang w:val="zh-CN"/>
              </w:rPr>
              <w:t>地  </w:t>
            </w:r>
            <w:r>
              <w:rPr>
                <w:rFonts w:hint="eastAsia" w:ascii="宋体" w:hAnsi="宋体" w:eastAsia="宋体" w:cs="宋体"/>
                <w:color w:val="auto"/>
                <w:szCs w:val="21"/>
              </w:rPr>
              <w:t xml:space="preserve"> </w:t>
            </w:r>
            <w:r>
              <w:rPr>
                <w:rFonts w:hint="eastAsia" w:ascii="宋体" w:hAnsi="宋体" w:eastAsia="宋体" w:cs="宋体"/>
                <w:color w:val="auto"/>
                <w:szCs w:val="21"/>
                <w:lang w:val="zh-CN"/>
              </w:rPr>
              <w:t>址：运城市盐湖区工农西街305号</w:t>
            </w:r>
          </w:p>
        </w:tc>
      </w:tr>
      <w:tr w14:paraId="2478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792" w:type="dxa"/>
            <w:noWrap w:val="0"/>
            <w:vAlign w:val="center"/>
          </w:tcPr>
          <w:p w14:paraId="38C2FA5D">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rPr>
              <w:t>项目</w:t>
            </w:r>
            <w:r>
              <w:rPr>
                <w:rFonts w:hint="eastAsia" w:ascii="宋体" w:hAnsi="宋体" w:eastAsia="宋体" w:cs="宋体"/>
                <w:color w:val="auto"/>
                <w:szCs w:val="21"/>
                <w:lang w:val="en-US" w:eastAsia="zh-CN"/>
              </w:rPr>
              <w:t>地点</w:t>
            </w:r>
          </w:p>
        </w:tc>
        <w:tc>
          <w:tcPr>
            <w:tcW w:w="7884" w:type="dxa"/>
            <w:gridSpan w:val="3"/>
            <w:noWrap w:val="0"/>
            <w:vAlign w:val="center"/>
          </w:tcPr>
          <w:p w14:paraId="1F37ACAE">
            <w:pPr>
              <w:pageBreakBefore w:val="0"/>
              <w:kinsoku/>
              <w:wordWrap w:val="0"/>
              <w:overflowPunct w:val="0"/>
              <w:topLinePunct w:val="0"/>
              <w:bidi w:val="0"/>
              <w:spacing w:line="340" w:lineRule="exact"/>
              <w:rPr>
                <w:rFonts w:hint="eastAsia" w:ascii="宋体" w:hAnsi="宋体" w:eastAsia="宋体" w:cs="宋体"/>
                <w:color w:val="auto"/>
                <w:szCs w:val="21"/>
                <w:lang w:eastAsia="zh-CN"/>
              </w:rPr>
            </w:pPr>
            <w:r>
              <w:rPr>
                <w:rFonts w:hint="eastAsia" w:ascii="宋体" w:hAnsi="宋体" w:eastAsia="宋体" w:cs="宋体"/>
                <w:color w:val="auto"/>
                <w:szCs w:val="21"/>
                <w:lang w:val="zh-CN"/>
              </w:rPr>
              <w:t>运城市盐湖区工农西街305号（山西新产业技师学院）</w:t>
            </w:r>
          </w:p>
        </w:tc>
      </w:tr>
      <w:tr w14:paraId="2FA0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792" w:type="dxa"/>
            <w:noWrap w:val="0"/>
            <w:vAlign w:val="center"/>
          </w:tcPr>
          <w:p w14:paraId="6DDBA966">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合同履约期限</w:t>
            </w:r>
          </w:p>
        </w:tc>
        <w:tc>
          <w:tcPr>
            <w:tcW w:w="7884" w:type="dxa"/>
            <w:gridSpan w:val="3"/>
            <w:noWrap w:val="0"/>
            <w:vAlign w:val="center"/>
          </w:tcPr>
          <w:p w14:paraId="2E839F4C">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合同签订后120个日历天内</w:t>
            </w:r>
          </w:p>
        </w:tc>
      </w:tr>
      <w:tr w14:paraId="63C0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92" w:type="dxa"/>
            <w:noWrap w:val="0"/>
            <w:vAlign w:val="center"/>
          </w:tcPr>
          <w:p w14:paraId="0DFF1385">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质保期</w:t>
            </w:r>
          </w:p>
        </w:tc>
        <w:tc>
          <w:tcPr>
            <w:tcW w:w="7884" w:type="dxa"/>
            <w:gridSpan w:val="3"/>
            <w:noWrap w:val="0"/>
            <w:vAlign w:val="center"/>
          </w:tcPr>
          <w:p w14:paraId="76A98196">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1年</w:t>
            </w:r>
          </w:p>
        </w:tc>
      </w:tr>
      <w:tr w14:paraId="38C0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92" w:type="dxa"/>
            <w:noWrap w:val="0"/>
            <w:vAlign w:val="center"/>
          </w:tcPr>
          <w:p w14:paraId="7B0F7FEE">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合同价款支付方式</w:t>
            </w:r>
          </w:p>
        </w:tc>
        <w:tc>
          <w:tcPr>
            <w:tcW w:w="7884" w:type="dxa"/>
            <w:gridSpan w:val="3"/>
            <w:noWrap w:val="0"/>
            <w:vAlign w:val="center"/>
          </w:tcPr>
          <w:p w14:paraId="6CE5D941">
            <w:pPr>
              <w:pageBreakBefore w:val="0"/>
              <w:kinsoku/>
              <w:wordWrap w:val="0"/>
              <w:overflowPunct w:val="0"/>
              <w:topLinePunct w:val="0"/>
              <w:bidi w:val="0"/>
              <w:spacing w:line="34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双方协商</w:t>
            </w:r>
          </w:p>
        </w:tc>
      </w:tr>
      <w:tr w14:paraId="3473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792" w:type="dxa"/>
            <w:noWrap w:val="0"/>
            <w:vAlign w:val="center"/>
          </w:tcPr>
          <w:p w14:paraId="4F09E3B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技术要求</w:t>
            </w:r>
          </w:p>
        </w:tc>
        <w:tc>
          <w:tcPr>
            <w:tcW w:w="7884" w:type="dxa"/>
            <w:gridSpan w:val="3"/>
            <w:noWrap w:val="0"/>
            <w:vAlign w:val="center"/>
          </w:tcPr>
          <w:p w14:paraId="4DEDB33C">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详见“第</w:t>
            </w:r>
            <w:r>
              <w:rPr>
                <w:rFonts w:hint="eastAsia" w:ascii="宋体" w:hAnsi="宋体" w:eastAsia="宋体" w:cs="宋体"/>
                <w:color w:val="auto"/>
                <w:szCs w:val="21"/>
                <w:lang w:eastAsia="zh-CN"/>
              </w:rPr>
              <w:t>五</w:t>
            </w:r>
            <w:r>
              <w:rPr>
                <w:rFonts w:hint="eastAsia" w:ascii="宋体" w:hAnsi="宋体" w:eastAsia="宋体" w:cs="宋体"/>
                <w:color w:val="auto"/>
                <w:szCs w:val="21"/>
              </w:rPr>
              <w:t>章</w:t>
            </w:r>
            <w:r>
              <w:rPr>
                <w:rFonts w:hint="eastAsia" w:ascii="宋体" w:hAnsi="宋体" w:eastAsia="宋体" w:cs="宋体"/>
                <w:color w:val="auto"/>
                <w:szCs w:val="21"/>
                <w:lang w:val="en-US" w:eastAsia="zh-CN"/>
              </w:rPr>
              <w:t xml:space="preserve">  采购需求</w:t>
            </w:r>
            <w:r>
              <w:rPr>
                <w:rFonts w:hint="eastAsia" w:ascii="宋体" w:hAnsi="宋体" w:eastAsia="宋体" w:cs="宋体"/>
                <w:color w:val="auto"/>
                <w:szCs w:val="21"/>
              </w:rPr>
              <w:t>”</w:t>
            </w:r>
          </w:p>
        </w:tc>
      </w:tr>
      <w:tr w14:paraId="216A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92" w:type="dxa"/>
            <w:noWrap w:val="0"/>
            <w:vAlign w:val="center"/>
          </w:tcPr>
          <w:p w14:paraId="1C91510F">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合同未尽事项</w:t>
            </w:r>
          </w:p>
        </w:tc>
        <w:tc>
          <w:tcPr>
            <w:tcW w:w="7884" w:type="dxa"/>
            <w:gridSpan w:val="3"/>
            <w:noWrap w:val="0"/>
            <w:vAlign w:val="center"/>
          </w:tcPr>
          <w:p w14:paraId="61B87C33">
            <w:pPr>
              <w:pageBreakBefore w:val="0"/>
              <w:kinsoku/>
              <w:wordWrap w:val="0"/>
              <w:overflowPunct w:val="0"/>
              <w:topLinePunct w:val="0"/>
              <w:bidi w:val="0"/>
              <w:spacing w:line="340" w:lineRule="exact"/>
              <w:rPr>
                <w:rFonts w:hint="eastAsia" w:ascii="宋体" w:hAnsi="宋体" w:eastAsia="宋体" w:cs="宋体"/>
                <w:color w:val="auto"/>
                <w:szCs w:val="21"/>
              </w:rPr>
            </w:pPr>
            <w:r>
              <w:rPr>
                <w:rFonts w:hint="eastAsia" w:ascii="宋体" w:hAnsi="宋体" w:eastAsia="宋体" w:cs="宋体"/>
                <w:color w:val="auto"/>
                <w:szCs w:val="21"/>
              </w:rPr>
              <w:t>协商解决</w:t>
            </w:r>
          </w:p>
        </w:tc>
      </w:tr>
      <w:tr w14:paraId="44E8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676" w:type="dxa"/>
            <w:gridSpan w:val="4"/>
            <w:noWrap w:val="0"/>
            <w:vAlign w:val="center"/>
          </w:tcPr>
          <w:p w14:paraId="220F53EC">
            <w:pPr>
              <w:pageBreakBefore w:val="0"/>
              <w:kinsoku/>
              <w:wordWrap w:val="0"/>
              <w:overflowPunct w:val="0"/>
              <w:topLinePunct w:val="0"/>
              <w:bidi w:val="0"/>
              <w:spacing w:line="340" w:lineRule="exact"/>
              <w:ind w:left="0" w:leftChars="0" w:right="0" w:rightChars="0" w:firstLine="0" w:firstLineChars="0"/>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其他补充内容</w:t>
            </w:r>
          </w:p>
        </w:tc>
      </w:tr>
      <w:tr w14:paraId="4533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atLeast"/>
          <w:jc w:val="center"/>
        </w:trPr>
        <w:tc>
          <w:tcPr>
            <w:tcW w:w="9676" w:type="dxa"/>
            <w:gridSpan w:val="4"/>
            <w:noWrap w:val="0"/>
            <w:vAlign w:val="center"/>
          </w:tcPr>
          <w:p w14:paraId="6525DD5B">
            <w:pPr>
              <w:pageBreakBefore w:val="0"/>
              <w:kinsoku/>
              <w:wordWrap w:val="0"/>
              <w:overflowPunct w:val="0"/>
              <w:topLinePunct w:val="0"/>
              <w:bidi w:val="0"/>
              <w:spacing w:line="340" w:lineRule="exact"/>
              <w:ind w:left="0" w:leftChars="0" w:right="0" w:rightChars="0" w:firstLine="0" w:firstLineChars="0"/>
              <w:jc w:val="left"/>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投标文件电子版的解密：本项目为全流程电子标，无需到现场开标，投标人需在规定的投标截止时间（开标时间）后30分钟内通过山西省政府采购平台（http://www.ccgp-shanxi.gov.cn/home.html）投标人账户对所提交的加密的电子投标文件进行解密操作，超过规定的解密时间将无法解密、将失去投标资格。</w:t>
            </w:r>
          </w:p>
        </w:tc>
      </w:tr>
      <w:tr w14:paraId="78A0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676" w:type="dxa"/>
            <w:gridSpan w:val="4"/>
            <w:noWrap w:val="0"/>
            <w:vAlign w:val="center"/>
          </w:tcPr>
          <w:p w14:paraId="3D7049C4">
            <w:pPr>
              <w:pageBreakBefore w:val="0"/>
              <w:kinsoku/>
              <w:wordWrap w:val="0"/>
              <w:overflowPunct w:val="0"/>
              <w:topLinePunct w:val="0"/>
              <w:bidi w:val="0"/>
              <w:spacing w:line="340" w:lineRule="exact"/>
              <w:ind w:left="0" w:leftChars="0" w:right="0" w:rightChars="0" w:firstLine="0" w:firstLineChars="0"/>
              <w:jc w:val="left"/>
              <w:rPr>
                <w:rFonts w:hint="eastAsia" w:ascii="宋体" w:hAnsi="宋体" w:eastAsia="宋体" w:cs="宋体"/>
                <w:color w:val="auto"/>
                <w:szCs w:val="21"/>
                <w:lang w:val="en-US" w:eastAsia="zh-CN"/>
              </w:rPr>
            </w:pPr>
            <w:r>
              <w:rPr>
                <w:rFonts w:hint="eastAsia" w:ascii="宋体" w:hAnsi="宋体" w:eastAsia="宋体" w:cs="宋体"/>
                <w:szCs w:val="21"/>
                <w:lang w:val="en-US" w:eastAsia="zh-CN"/>
              </w:rPr>
              <w:t>纸质版响应文件3</w:t>
            </w:r>
            <w:r>
              <w:rPr>
                <w:rFonts w:hint="eastAsia" w:ascii="宋体" w:hAnsi="宋体" w:eastAsia="宋体" w:cs="宋体"/>
                <w:szCs w:val="21"/>
              </w:rPr>
              <w:t>份</w:t>
            </w:r>
            <w:r>
              <w:rPr>
                <w:rFonts w:hint="eastAsia" w:ascii="宋体" w:hAnsi="宋体" w:eastAsia="宋体" w:cs="宋体"/>
                <w:szCs w:val="21"/>
                <w:lang w:eastAsia="zh-CN"/>
              </w:rPr>
              <w:t>（应由</w:t>
            </w:r>
            <w:r>
              <w:rPr>
                <w:rFonts w:hint="eastAsia" w:ascii="宋体" w:hAnsi="宋体" w:eastAsia="宋体" w:cs="宋体"/>
                <w:szCs w:val="21"/>
                <w:lang w:val="en-US" w:eastAsia="zh-CN"/>
              </w:rPr>
              <w:t>投标文件制作工具生成的</w:t>
            </w:r>
            <w:r>
              <w:rPr>
                <w:rFonts w:hint="eastAsia" w:ascii="宋体" w:hAnsi="宋体" w:eastAsia="宋体" w:cs="宋体"/>
                <w:szCs w:val="21"/>
                <w:lang w:eastAsia="zh-CN"/>
              </w:rPr>
              <w:t>电子响应文件导出</w:t>
            </w:r>
            <w:r>
              <w:rPr>
                <w:rFonts w:hint="eastAsia" w:ascii="宋体" w:hAnsi="宋体" w:eastAsia="宋体" w:cs="宋体"/>
                <w:szCs w:val="21"/>
                <w:lang w:val="en-US" w:eastAsia="zh-CN"/>
              </w:rPr>
              <w:t>打印胶装</w:t>
            </w:r>
            <w:r>
              <w:rPr>
                <w:rFonts w:hint="eastAsia" w:ascii="宋体" w:hAnsi="宋体" w:eastAsia="宋体" w:cs="宋体"/>
                <w:szCs w:val="21"/>
                <w:lang w:eastAsia="zh-CN"/>
              </w:rPr>
              <w:t>），</w:t>
            </w:r>
            <w:r>
              <w:rPr>
                <w:rFonts w:hint="eastAsia" w:ascii="宋体" w:hAnsi="宋体" w:eastAsia="宋体" w:cs="宋体"/>
                <w:szCs w:val="21"/>
                <w:lang w:val="en-US" w:eastAsia="zh-CN"/>
              </w:rPr>
              <w:t>应在投标截止后2日内邮寄至招标代理机构。纸质版响应文件仅用于项目存档使用。</w:t>
            </w:r>
          </w:p>
        </w:tc>
      </w:tr>
    </w:tbl>
    <w:p w14:paraId="5ED8EC50">
      <w:pPr>
        <w:pageBreakBefore w:val="0"/>
        <w:kinsoku/>
        <w:wordWrap w:val="0"/>
        <w:overflowPunct w:val="0"/>
        <w:topLinePunct w:val="0"/>
        <w:bidi w:val="0"/>
        <w:adjustRightInd w:val="0"/>
        <w:snapToGrid w:val="0"/>
        <w:spacing w:line="360" w:lineRule="auto"/>
        <w:ind w:firstLine="1675" w:firstLineChars="596"/>
        <w:rPr>
          <w:rFonts w:hint="eastAsia" w:ascii="宋体" w:hAnsi="宋体" w:eastAsia="宋体" w:cs="宋体"/>
          <w:b/>
          <w:bCs/>
          <w:color w:val="auto"/>
          <w:sz w:val="28"/>
          <w:szCs w:val="28"/>
        </w:rPr>
        <w:sectPr>
          <w:pgSz w:w="11907" w:h="16840"/>
          <w:pgMar w:top="1440" w:right="1080" w:bottom="1440" w:left="1080" w:header="851" w:footer="1304" w:gutter="0"/>
          <w:pgNumType w:fmt="decimal"/>
          <w:cols w:space="720" w:num="1"/>
          <w:docGrid w:type="lines" w:linePitch="312" w:charSpace="0"/>
        </w:sectPr>
      </w:pPr>
    </w:p>
    <w:p w14:paraId="6F89A38A">
      <w:pPr>
        <w:pStyle w:val="14"/>
        <w:pageBreakBefore w:val="0"/>
        <w:kinsoku/>
        <w:wordWrap w:val="0"/>
        <w:overflowPunct w:val="0"/>
        <w:topLinePunct w:val="0"/>
        <w:bidi w:val="0"/>
        <w:adjustRightInd w:val="0"/>
        <w:snapToGrid w:val="0"/>
        <w:spacing w:line="420" w:lineRule="exact"/>
        <w:jc w:val="center"/>
        <w:rPr>
          <w:rFonts w:hint="eastAsia" w:ascii="宋体" w:hAnsi="宋体" w:eastAsia="宋体" w:cs="宋体"/>
          <w:b/>
          <w:color w:val="auto"/>
          <w:spacing w:val="100"/>
          <w:sz w:val="32"/>
          <w:szCs w:val="32"/>
        </w:rPr>
      </w:pPr>
      <w:bookmarkStart w:id="14" w:name="_Toc28412_WPSOffice_Level1"/>
      <w:r>
        <w:rPr>
          <w:rFonts w:hint="eastAsia" w:ascii="宋体" w:hAnsi="宋体" w:eastAsia="宋体" w:cs="宋体"/>
          <w:b/>
          <w:color w:val="auto"/>
          <w:sz w:val="32"/>
          <w:szCs w:val="32"/>
        </w:rPr>
        <w:t xml:space="preserve">  投标须知</w:t>
      </w:r>
      <w:bookmarkEnd w:id="14"/>
    </w:p>
    <w:p w14:paraId="29FE1488">
      <w:pPr>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一、说明</w:t>
      </w:r>
    </w:p>
    <w:p w14:paraId="2C9EC39A">
      <w:pPr>
        <w:pageBreakBefore w:val="0"/>
        <w:kinsoku/>
        <w:wordWrap w:val="0"/>
        <w:overflowPunct w:val="0"/>
        <w:topLinePunct w:val="0"/>
        <w:bidi w:val="0"/>
        <w:adjustRightInd w:val="0"/>
        <w:snapToGrid w:val="0"/>
        <w:spacing w:line="42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1.适用范围</w:t>
      </w:r>
    </w:p>
    <w:p w14:paraId="3471E681">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1.1本招标文件仅适用于第一章“招标文件前附表”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以下简称</w:t>
      </w:r>
      <w:r>
        <w:rPr>
          <w:rFonts w:hint="eastAsia" w:ascii="宋体" w:hAnsi="宋体" w:eastAsia="宋体" w:cs="宋体"/>
          <w:b/>
          <w:color w:val="auto"/>
          <w:sz w:val="24"/>
          <w:szCs w:val="24"/>
        </w:rPr>
        <w:t>招标文件前附表</w:t>
      </w:r>
      <w:r>
        <w:rPr>
          <w:rFonts w:hint="eastAsia" w:ascii="宋体" w:hAnsi="宋体" w:eastAsia="宋体" w:cs="宋体"/>
          <w:b/>
          <w:color w:val="auto"/>
          <w:sz w:val="24"/>
          <w:szCs w:val="24"/>
          <w:lang w:eastAsia="zh-CN"/>
        </w:rPr>
        <w:t>）</w:t>
      </w:r>
      <w:r>
        <w:rPr>
          <w:rFonts w:hint="eastAsia" w:ascii="宋体" w:hAnsi="宋体" w:eastAsia="宋体" w:cs="宋体"/>
          <w:color w:val="auto"/>
          <w:sz w:val="24"/>
          <w:szCs w:val="24"/>
        </w:rPr>
        <w:t>中所叙述的采购项目。</w:t>
      </w:r>
    </w:p>
    <w:p w14:paraId="01CBC508">
      <w:pPr>
        <w:pageBreakBefore w:val="0"/>
        <w:kinsoku/>
        <w:wordWrap w:val="0"/>
        <w:overflowPunct w:val="0"/>
        <w:topLinePunct w:val="0"/>
        <w:bidi w:val="0"/>
        <w:adjustRightInd w:val="0"/>
        <w:snapToGrid w:val="0"/>
        <w:spacing w:line="42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2.定义</w:t>
      </w:r>
    </w:p>
    <w:p w14:paraId="4C70AC79">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2.1 “</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人”系指依法进行政府采购的国家机关、事业单位、团体组织。本采购项目的采购人名称、地址、电话、联系人见</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w:t>
      </w:r>
    </w:p>
    <w:p w14:paraId="08DC4D61">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b/>
          <w:color w:val="auto"/>
          <w:sz w:val="24"/>
          <w:szCs w:val="24"/>
        </w:rPr>
      </w:pPr>
      <w:r>
        <w:rPr>
          <w:rFonts w:hint="eastAsia" w:ascii="宋体" w:hAnsi="宋体" w:eastAsia="宋体" w:cs="宋体"/>
          <w:color w:val="auto"/>
          <w:sz w:val="24"/>
          <w:szCs w:val="24"/>
        </w:rPr>
        <w:t>2.2 “</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代理机构”系指接受</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人委托，</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采购项目的经财政部门认定资格的其他</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代理机构。本采购项目的采购代理机构名称、地址、电话、联系人见</w:t>
      </w:r>
      <w:r>
        <w:rPr>
          <w:rFonts w:hint="eastAsia" w:ascii="宋体" w:hAnsi="宋体" w:eastAsia="宋体" w:cs="宋体"/>
          <w:b/>
          <w:color w:val="auto"/>
          <w:sz w:val="24"/>
          <w:szCs w:val="24"/>
        </w:rPr>
        <w:t>招标文件前附表。</w:t>
      </w:r>
    </w:p>
    <w:p w14:paraId="7E27149F">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2.3 “投标人”系指响应招标、参加投标竞争的法人、其他组织或自然人。</w:t>
      </w:r>
    </w:p>
    <w:p w14:paraId="70E5EC23">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 “货物”系指投标人按招标文件要求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向采购人提供的各种形态和种类的物品，包括原材料、设备、产品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包括软件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及相关的其备品备件、工具、手册</w:t>
      </w:r>
      <w:r>
        <w:rPr>
          <w:rFonts w:hint="eastAsia" w:ascii="宋体" w:hAnsi="宋体" w:eastAsia="宋体" w:cs="宋体"/>
          <w:color w:val="auto"/>
          <w:sz w:val="24"/>
          <w:szCs w:val="24"/>
          <w:lang w:eastAsia="zh-CN"/>
        </w:rPr>
        <w:t>及其他</w:t>
      </w:r>
      <w:r>
        <w:rPr>
          <w:rFonts w:hint="eastAsia" w:ascii="宋体" w:hAnsi="宋体" w:eastAsia="宋体" w:cs="宋体"/>
          <w:color w:val="auto"/>
          <w:sz w:val="24"/>
          <w:szCs w:val="24"/>
        </w:rPr>
        <w:t>技术资料和材料。</w:t>
      </w:r>
    </w:p>
    <w:p w14:paraId="44F3075E">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2.5 “服务”系指招标文件规定投标人须承担的服务</w:t>
      </w:r>
      <w:r>
        <w:rPr>
          <w:rFonts w:hint="eastAsia" w:ascii="宋体" w:hAnsi="宋体" w:eastAsia="宋体" w:cs="宋体"/>
          <w:color w:val="auto"/>
          <w:sz w:val="24"/>
          <w:szCs w:val="24"/>
          <w:lang w:eastAsia="zh-CN"/>
        </w:rPr>
        <w:t>及其他的</w:t>
      </w:r>
      <w:r>
        <w:rPr>
          <w:rFonts w:hint="eastAsia" w:ascii="宋体" w:hAnsi="宋体" w:eastAsia="宋体" w:cs="宋体"/>
          <w:color w:val="auto"/>
          <w:sz w:val="24"/>
          <w:szCs w:val="24"/>
        </w:rPr>
        <w:t>义务。</w:t>
      </w:r>
    </w:p>
    <w:p w14:paraId="2A08B7E1">
      <w:pPr>
        <w:pageBreakBefore w:val="0"/>
        <w:kinsoku/>
        <w:wordWrap w:val="0"/>
        <w:overflowPunct w:val="0"/>
        <w:topLinePunct w:val="0"/>
        <w:bidi w:val="0"/>
        <w:adjustRightInd w:val="0"/>
        <w:snapToGrid w:val="0"/>
        <w:spacing w:line="42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3.投标人的资格要求</w:t>
      </w:r>
    </w:p>
    <w:p w14:paraId="3404C80C">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3.1投标人应当符合</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中规定的下列资格条件要求；</w:t>
      </w:r>
    </w:p>
    <w:p w14:paraId="2EB31B87">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（l）</w:t>
      </w:r>
      <w:r>
        <w:rPr>
          <w:rFonts w:hint="eastAsia" w:ascii="宋体" w:hAnsi="宋体" w:eastAsia="宋体" w:cs="宋体"/>
          <w:color w:val="auto"/>
          <w:kern w:val="0"/>
          <w:sz w:val="24"/>
          <w:szCs w:val="24"/>
          <w:lang w:val="zh-CN"/>
        </w:rPr>
        <w:t>《政府采购法》第二十二条第一款规定的</w:t>
      </w:r>
      <w:r>
        <w:rPr>
          <w:rFonts w:hint="eastAsia" w:ascii="宋体" w:hAnsi="宋体" w:eastAsia="宋体" w:cs="宋体"/>
          <w:color w:val="auto"/>
          <w:sz w:val="24"/>
          <w:szCs w:val="24"/>
        </w:rPr>
        <w:t>投标人基本资格条件</w:t>
      </w:r>
      <w:r>
        <w:rPr>
          <w:rFonts w:hint="eastAsia" w:ascii="宋体" w:hAnsi="宋体" w:eastAsia="宋体" w:cs="宋体"/>
          <w:color w:val="auto"/>
          <w:kern w:val="0"/>
          <w:sz w:val="24"/>
          <w:szCs w:val="24"/>
          <w:lang w:val="zh-CN"/>
        </w:rPr>
        <w:t>；</w:t>
      </w:r>
    </w:p>
    <w:p w14:paraId="7F8D2574">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（2）采购项目有特殊要求，招标文件</w:t>
      </w:r>
      <w:r>
        <w:rPr>
          <w:rFonts w:hint="eastAsia" w:ascii="宋体" w:hAnsi="宋体" w:eastAsia="宋体" w:cs="宋体"/>
          <w:color w:val="auto"/>
          <w:kern w:val="0"/>
          <w:sz w:val="24"/>
          <w:szCs w:val="24"/>
          <w:lang w:val="zh-CN"/>
        </w:rPr>
        <w:t>规定的</w:t>
      </w:r>
      <w:r>
        <w:rPr>
          <w:rFonts w:hint="eastAsia" w:ascii="宋体" w:hAnsi="宋体" w:eastAsia="宋体" w:cs="宋体"/>
          <w:color w:val="auto"/>
          <w:sz w:val="24"/>
          <w:szCs w:val="24"/>
        </w:rPr>
        <w:t>投标人特定资格条件。</w:t>
      </w:r>
    </w:p>
    <w:p w14:paraId="4E8A795F">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3.2投标人不得存在下列情形之一：</w:t>
      </w:r>
    </w:p>
    <w:p w14:paraId="0B67AEB1">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（l）与采购人或采购代理机构存在</w:t>
      </w:r>
      <w:r>
        <w:rPr>
          <w:rFonts w:hint="eastAsia" w:ascii="宋体" w:hAnsi="宋体" w:eastAsia="宋体" w:cs="宋体"/>
          <w:bCs/>
          <w:color w:val="auto"/>
          <w:sz w:val="24"/>
          <w:szCs w:val="24"/>
        </w:rPr>
        <w:t>隶属关系或者其他利害关系</w:t>
      </w:r>
      <w:r>
        <w:rPr>
          <w:rFonts w:hint="eastAsia" w:ascii="宋体" w:hAnsi="宋体" w:eastAsia="宋体" w:cs="宋体"/>
          <w:color w:val="auto"/>
          <w:sz w:val="24"/>
          <w:szCs w:val="24"/>
        </w:rPr>
        <w:t>。</w:t>
      </w:r>
    </w:p>
    <w:p w14:paraId="6ED96789">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（2）投标人或者其法定代表人、董事、监事、高级管理人员因经营活动中的违法行为受到行政处罚，但警告和罚款额在三万元以下的行政处罚除外；</w:t>
      </w:r>
    </w:p>
    <w:p w14:paraId="609155D3">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（3）投标人或者其法定代表人、董事、监事、高级管理人员因经营活动中的违法行为受到刑事处罚。</w:t>
      </w:r>
    </w:p>
    <w:p w14:paraId="48FD8F90">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3.3法定代表人或者负责人为同一人或者存在控股、管理关系的两个以上</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，不得参加</w:t>
      </w:r>
      <w:r>
        <w:rPr>
          <w:rFonts w:hint="eastAsia" w:ascii="宋体" w:hAnsi="宋体" w:eastAsia="宋体" w:cs="宋体"/>
          <w:color w:val="auto"/>
          <w:sz w:val="24"/>
          <w:szCs w:val="24"/>
          <w:lang w:val="en-US" w:eastAsia="zh-CN"/>
        </w:rPr>
        <w:t>本次</w:t>
      </w:r>
      <w:r>
        <w:rPr>
          <w:rFonts w:hint="eastAsia" w:ascii="宋体" w:hAnsi="宋体" w:eastAsia="宋体" w:cs="宋体"/>
          <w:color w:val="auto"/>
          <w:sz w:val="24"/>
          <w:szCs w:val="24"/>
        </w:rPr>
        <w:t>政府采购项目投标。</w:t>
      </w:r>
    </w:p>
    <w:p w14:paraId="6B550A1F">
      <w:pPr>
        <w:pageBreakBefore w:val="0"/>
        <w:kinsoku/>
        <w:wordWrap w:val="0"/>
        <w:overflowPunct w:val="0"/>
        <w:topLinePunct w:val="0"/>
        <w:bidi w:val="0"/>
        <w:adjustRightInd w:val="0"/>
        <w:snapToGrid w:val="0"/>
        <w:spacing w:line="420" w:lineRule="exact"/>
        <w:ind w:left="723" w:hanging="723" w:hangingChars="300"/>
        <w:rPr>
          <w:rFonts w:hint="eastAsia" w:ascii="宋体" w:hAnsi="宋体" w:eastAsia="宋体" w:cs="宋体"/>
          <w:b/>
          <w:bCs/>
          <w:color w:val="auto"/>
          <w:sz w:val="24"/>
          <w:szCs w:val="24"/>
        </w:rPr>
      </w:pPr>
      <w:r>
        <w:rPr>
          <w:rFonts w:hint="eastAsia" w:ascii="宋体" w:hAnsi="宋体" w:eastAsia="宋体" w:cs="宋体"/>
          <w:b/>
          <w:bCs/>
          <w:color w:val="auto"/>
          <w:sz w:val="24"/>
          <w:szCs w:val="24"/>
        </w:rPr>
        <w:t>4.投标费用</w:t>
      </w:r>
    </w:p>
    <w:p w14:paraId="49CDAB83">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4.1投标人应自行承担所有参与投标的相关费用，不论投标的结果如何，采购人或者采购代理机构均无义务和责任承担这些费用。</w:t>
      </w:r>
    </w:p>
    <w:p w14:paraId="567ADDCF">
      <w:pPr>
        <w:pStyle w:val="14"/>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5．联合体投标</w:t>
      </w:r>
    </w:p>
    <w:p w14:paraId="607A9F0A">
      <w:pPr>
        <w:pStyle w:val="14"/>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5.1除</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另有规定，本采购项目不接受除</w:t>
      </w:r>
      <w:r>
        <w:rPr>
          <w:rFonts w:hint="eastAsia" w:ascii="宋体" w:hAnsi="宋体" w:eastAsia="宋体" w:cs="宋体"/>
          <w:color w:val="auto"/>
          <w:kern w:val="0"/>
          <w:sz w:val="24"/>
          <w:szCs w:val="24"/>
          <w:lang w:val="zh-CN"/>
        </w:rPr>
        <w:t>政府采购政策规定</w:t>
      </w:r>
      <w:r>
        <w:rPr>
          <w:rFonts w:hint="eastAsia" w:ascii="宋体" w:hAnsi="宋体" w:eastAsia="宋体" w:cs="宋体"/>
          <w:color w:val="auto"/>
          <w:spacing w:val="-6"/>
          <w:sz w:val="24"/>
          <w:szCs w:val="24"/>
        </w:rPr>
        <w:t>以外的其他</w:t>
      </w:r>
      <w:r>
        <w:rPr>
          <w:rFonts w:hint="eastAsia" w:ascii="宋体" w:hAnsi="宋体" w:eastAsia="宋体" w:cs="宋体"/>
          <w:color w:val="auto"/>
          <w:sz w:val="24"/>
          <w:szCs w:val="24"/>
        </w:rPr>
        <w:t>联合体投标。</w:t>
      </w:r>
    </w:p>
    <w:p w14:paraId="4EE397CA">
      <w:pPr>
        <w:pStyle w:val="14"/>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6.采购进口产品</w:t>
      </w:r>
    </w:p>
    <w:p w14:paraId="36E9BD98">
      <w:pPr>
        <w:pStyle w:val="14"/>
        <w:pageBreakBefore w:val="0"/>
        <w:kinsoku/>
        <w:wordWrap w:val="0"/>
        <w:overflowPunct w:val="0"/>
        <w:topLinePunct w:val="0"/>
        <w:bidi w:val="0"/>
        <w:adjustRightInd w:val="0"/>
        <w:snapToGrid w:val="0"/>
        <w:spacing w:line="42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6.1</w:t>
      </w:r>
      <w:r>
        <w:rPr>
          <w:rFonts w:hint="eastAsia" w:ascii="宋体" w:hAnsi="宋体" w:eastAsia="宋体" w:cs="宋体"/>
          <w:b/>
          <w:bCs/>
          <w:color w:val="auto"/>
          <w:sz w:val="24"/>
          <w:szCs w:val="24"/>
          <w:lang w:val="en-US" w:eastAsia="zh-CN"/>
        </w:rPr>
        <w:t>本项目采购清单中的物拒绝进口产品投标。</w:t>
      </w:r>
    </w:p>
    <w:p w14:paraId="5D361FE4">
      <w:pPr>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二、招标文件</w:t>
      </w:r>
    </w:p>
    <w:p w14:paraId="4FEFF95E">
      <w:pPr>
        <w:pageBreakBefore w:val="0"/>
        <w:kinsoku/>
        <w:wordWrap w:val="0"/>
        <w:overflowPunct w:val="0"/>
        <w:topLinePunct w:val="0"/>
        <w:bidi w:val="0"/>
        <w:adjustRightInd w:val="0"/>
        <w:snapToGrid w:val="0"/>
        <w:spacing w:line="42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7.招标文件的构成</w:t>
      </w:r>
    </w:p>
    <w:p w14:paraId="680BAED7">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7.1 招标文件共六章，内容如下：</w:t>
      </w:r>
    </w:p>
    <w:p w14:paraId="784A40D2">
      <w:pPr>
        <w:pageBreakBefore w:val="0"/>
        <w:kinsoku/>
        <w:wordWrap w:val="0"/>
        <w:overflowPunct w:val="0"/>
        <w:topLinePunct w:val="0"/>
        <w:bidi w:val="0"/>
        <w:adjustRightInd w:val="0"/>
        <w:snapToGrid w:val="0"/>
        <w:spacing w:line="420" w:lineRule="exact"/>
        <w:ind w:right="0" w:rightChars="0" w:firstLine="420" w:firstLineChars="200"/>
        <w:jc w:val="left"/>
        <w:rPr>
          <w:rFonts w:hint="eastAsia" w:ascii="宋体" w:hAnsi="宋体" w:eastAsia="宋体" w:cs="宋体"/>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"_Toc22702_WPSOffice_Level1" </w:instrText>
      </w:r>
      <w:r>
        <w:rPr>
          <w:rFonts w:hint="eastAsia" w:ascii="宋体" w:hAnsi="宋体" w:eastAsia="宋体" w:cs="宋体"/>
          <w:color w:val="auto"/>
        </w:rPr>
        <w:fldChar w:fldCharType="separate"/>
      </w:r>
      <w:r>
        <w:rPr>
          <w:rFonts w:hint="eastAsia" w:ascii="宋体" w:hAnsi="宋体" w:eastAsia="宋体" w:cs="宋体"/>
          <w:color w:val="auto"/>
          <w:sz w:val="24"/>
          <w:szCs w:val="24"/>
        </w:rPr>
        <w:t>第一章 招标公告</w:t>
      </w:r>
      <w:r>
        <w:rPr>
          <w:rFonts w:hint="eastAsia" w:ascii="宋体" w:hAnsi="宋体" w:eastAsia="宋体" w:cs="宋体"/>
          <w:color w:val="auto"/>
        </w:rPr>
        <w:fldChar w:fldCharType="end"/>
      </w:r>
    </w:p>
    <w:p w14:paraId="1BBCDF7B">
      <w:pPr>
        <w:pageBreakBefore w:val="0"/>
        <w:kinsoku/>
        <w:wordWrap w:val="0"/>
        <w:overflowPunct w:val="0"/>
        <w:topLinePunct w:val="0"/>
        <w:bidi w:val="0"/>
        <w:adjustRightInd w:val="0"/>
        <w:snapToGrid w:val="0"/>
        <w:spacing w:line="420" w:lineRule="exact"/>
        <w:ind w:right="0" w:rightChars="0"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第二章 </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"_Toc19866_WPSOffice_Level1" </w:instrText>
      </w:r>
      <w:r>
        <w:rPr>
          <w:rFonts w:hint="eastAsia" w:ascii="宋体" w:hAnsi="宋体" w:eastAsia="宋体" w:cs="宋体"/>
          <w:color w:val="auto"/>
        </w:rPr>
        <w:fldChar w:fldCharType="separate"/>
      </w:r>
      <w:r>
        <w:rPr>
          <w:rFonts w:hint="eastAsia" w:ascii="宋体" w:hAnsi="宋体" w:eastAsia="宋体" w:cs="宋体"/>
          <w:color w:val="auto"/>
          <w:sz w:val="24"/>
          <w:szCs w:val="24"/>
        </w:rPr>
        <w:t>招标文件前附表及投标须知</w:t>
      </w:r>
      <w:r>
        <w:rPr>
          <w:rFonts w:hint="eastAsia" w:ascii="宋体" w:hAnsi="宋体" w:eastAsia="宋体" w:cs="宋体"/>
          <w:color w:val="auto"/>
        </w:rPr>
        <w:fldChar w:fldCharType="end"/>
      </w:r>
    </w:p>
    <w:p w14:paraId="37AE3F56">
      <w:pPr>
        <w:pageBreakBefore w:val="0"/>
        <w:kinsoku/>
        <w:wordWrap w:val="0"/>
        <w:overflowPunct w:val="0"/>
        <w:topLinePunct w:val="0"/>
        <w:bidi w:val="0"/>
        <w:adjustRightInd w:val="0"/>
        <w:snapToGrid w:val="0"/>
        <w:spacing w:line="420" w:lineRule="exact"/>
        <w:ind w:right="0" w:rightChars="0" w:firstLine="420" w:firstLineChars="200"/>
        <w:jc w:val="left"/>
        <w:rPr>
          <w:rFonts w:hint="eastAsia" w:ascii="宋体" w:hAnsi="宋体" w:eastAsia="宋体" w:cs="宋体"/>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"_Toc27939_WPSOffice_Level1" </w:instrText>
      </w:r>
      <w:r>
        <w:rPr>
          <w:rFonts w:hint="eastAsia" w:ascii="宋体" w:hAnsi="宋体" w:eastAsia="宋体" w:cs="宋体"/>
          <w:color w:val="auto"/>
        </w:rPr>
        <w:fldChar w:fldCharType="separate"/>
      </w:r>
      <w:r>
        <w:rPr>
          <w:rFonts w:hint="eastAsia" w:ascii="宋体" w:hAnsi="宋体" w:eastAsia="宋体" w:cs="宋体"/>
          <w:color w:val="auto"/>
          <w:sz w:val="24"/>
          <w:szCs w:val="24"/>
        </w:rPr>
        <w:t>第三章 评标方法及标准</w:t>
      </w:r>
      <w:r>
        <w:rPr>
          <w:rFonts w:hint="eastAsia" w:ascii="宋体" w:hAnsi="宋体" w:eastAsia="宋体" w:cs="宋体"/>
          <w:color w:val="auto"/>
        </w:rPr>
        <w:fldChar w:fldCharType="end"/>
      </w:r>
    </w:p>
    <w:p w14:paraId="3A846269">
      <w:pPr>
        <w:pageBreakBefore w:val="0"/>
        <w:kinsoku/>
        <w:wordWrap w:val="0"/>
        <w:overflowPunct w:val="0"/>
        <w:topLinePunct w:val="0"/>
        <w:bidi w:val="0"/>
        <w:adjustRightInd w:val="0"/>
        <w:snapToGrid w:val="0"/>
        <w:spacing w:line="420" w:lineRule="exact"/>
        <w:ind w:right="0" w:rightChars="0" w:firstLine="480" w:firstLineChars="200"/>
        <w:jc w:val="left"/>
        <w:rPr>
          <w:rFonts w:hint="eastAsia" w:ascii="宋体" w:hAnsi="宋体" w:eastAsia="宋体" w:cs="宋体"/>
          <w:color w:val="auto"/>
        </w:rPr>
      </w:pPr>
      <w:r>
        <w:rPr>
          <w:rFonts w:hint="eastAsia" w:ascii="宋体" w:hAnsi="宋体" w:eastAsia="宋体" w:cs="宋体"/>
          <w:color w:val="auto"/>
          <w:sz w:val="24"/>
          <w:szCs w:val="24"/>
        </w:rPr>
        <w:t>第</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章 政府采购合同格式</w:t>
      </w:r>
    </w:p>
    <w:p w14:paraId="4987B612">
      <w:pPr>
        <w:pageBreakBefore w:val="0"/>
        <w:kinsoku/>
        <w:wordWrap w:val="0"/>
        <w:overflowPunct w:val="0"/>
        <w:topLinePunct w:val="0"/>
        <w:bidi w:val="0"/>
        <w:adjustRightInd w:val="0"/>
        <w:snapToGrid w:val="0"/>
        <w:spacing w:line="420" w:lineRule="exact"/>
        <w:ind w:right="0" w:rightChars="0" w:firstLine="420" w:firstLineChars="200"/>
        <w:jc w:val="left"/>
        <w:rPr>
          <w:rFonts w:hint="eastAsia" w:ascii="宋体" w:hAnsi="宋体" w:eastAsia="宋体" w:cs="宋体"/>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"_Toc27702_WPSOffice_Level1" </w:instrText>
      </w:r>
      <w:r>
        <w:rPr>
          <w:rFonts w:hint="eastAsia" w:ascii="宋体" w:hAnsi="宋体" w:eastAsia="宋体" w:cs="宋体"/>
          <w:color w:val="auto"/>
        </w:rPr>
        <w:fldChar w:fldCharType="separate"/>
      </w:r>
      <w:r>
        <w:rPr>
          <w:rFonts w:hint="eastAsia" w:ascii="宋体" w:hAnsi="宋体" w:eastAsia="宋体" w:cs="宋体"/>
          <w:color w:val="auto"/>
          <w:sz w:val="24"/>
          <w:szCs w:val="24"/>
        </w:rPr>
        <w:t>第</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 xml:space="preserve">章 </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rPr>
        <w:fldChar w:fldCharType="end"/>
      </w:r>
    </w:p>
    <w:p w14:paraId="41E68138">
      <w:pPr>
        <w:pageBreakBefore w:val="0"/>
        <w:kinsoku/>
        <w:wordWrap w:val="0"/>
        <w:overflowPunct w:val="0"/>
        <w:topLinePunct w:val="0"/>
        <w:bidi w:val="0"/>
        <w:adjustRightInd w:val="0"/>
        <w:snapToGrid w:val="0"/>
        <w:spacing w:line="420" w:lineRule="exact"/>
        <w:ind w:right="0" w:rightChars="0" w:firstLine="420" w:firstLineChars="200"/>
        <w:jc w:val="left"/>
        <w:rPr>
          <w:rFonts w:hint="eastAsia" w:ascii="宋体" w:hAnsi="宋体" w:eastAsia="宋体" w:cs="宋体"/>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"_Toc24854_WPSOffice_Level1" </w:instrText>
      </w:r>
      <w:r>
        <w:rPr>
          <w:rFonts w:hint="eastAsia" w:ascii="宋体" w:hAnsi="宋体" w:eastAsia="宋体" w:cs="宋体"/>
          <w:color w:val="auto"/>
        </w:rPr>
        <w:fldChar w:fldCharType="separate"/>
      </w:r>
      <w:r>
        <w:rPr>
          <w:rFonts w:hint="eastAsia" w:ascii="宋体" w:hAnsi="宋体" w:eastAsia="宋体" w:cs="宋体"/>
          <w:color w:val="auto"/>
          <w:sz w:val="24"/>
          <w:szCs w:val="24"/>
        </w:rPr>
        <w:t>第</w:t>
      </w: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章 投标文件的组成</w:t>
      </w:r>
      <w:r>
        <w:rPr>
          <w:rFonts w:hint="eastAsia" w:ascii="宋体" w:hAnsi="宋体" w:eastAsia="宋体" w:cs="宋体"/>
          <w:color w:val="auto"/>
        </w:rPr>
        <w:fldChar w:fldCharType="end"/>
      </w:r>
    </w:p>
    <w:p w14:paraId="4F5D1368">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7.2本章第10.1</w:t>
      </w:r>
      <w:r>
        <w:rPr>
          <w:rFonts w:hint="eastAsia" w:ascii="宋体" w:hAnsi="宋体" w:eastAsia="宋体" w:cs="宋体"/>
          <w:color w:val="auto"/>
          <w:sz w:val="24"/>
          <w:szCs w:val="24"/>
          <w:lang w:val="zh-CN"/>
        </w:rPr>
        <w:t>款</w:t>
      </w:r>
      <w:r>
        <w:rPr>
          <w:rFonts w:hint="eastAsia" w:ascii="宋体" w:hAnsi="宋体" w:eastAsia="宋体" w:cs="宋体"/>
          <w:color w:val="auto"/>
          <w:sz w:val="24"/>
          <w:szCs w:val="24"/>
        </w:rPr>
        <w:t>对招标文件所</w:t>
      </w:r>
      <w:r>
        <w:rPr>
          <w:rFonts w:hint="eastAsia" w:ascii="宋体" w:hAnsi="宋体" w:eastAsia="宋体" w:cs="宋体"/>
          <w:color w:val="auto"/>
          <w:sz w:val="24"/>
          <w:szCs w:val="24"/>
          <w:lang w:eastAsia="zh-CN"/>
        </w:rPr>
        <w:t>做</w:t>
      </w:r>
      <w:r>
        <w:rPr>
          <w:rFonts w:hint="eastAsia" w:ascii="宋体" w:hAnsi="宋体" w:eastAsia="宋体" w:cs="宋体"/>
          <w:color w:val="auto"/>
          <w:sz w:val="24"/>
          <w:szCs w:val="24"/>
        </w:rPr>
        <w:t>的澄清、修改，构成招标文件的组成部分。</w:t>
      </w:r>
    </w:p>
    <w:p w14:paraId="6882E8E6">
      <w:pPr>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投标人应仔细阅读招标文件的全部内容，按照招标文件要求编制投标文件。任何对招标文件的忽略或误解不能作为投标文件存在缺陷或瑕疵的理由，其风险由投标人承担。</w:t>
      </w:r>
    </w:p>
    <w:p w14:paraId="04F64225">
      <w:pPr>
        <w:pStyle w:val="14"/>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8.招标文件的提供期限</w:t>
      </w:r>
    </w:p>
    <w:p w14:paraId="36E8B1AB">
      <w:pPr>
        <w:pStyle w:val="14"/>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8.1招标文件的提供期限自开始发出之日起不得少于</w:t>
      </w:r>
      <w:r>
        <w:rPr>
          <w:rFonts w:hint="eastAsia" w:ascii="宋体" w:hAnsi="宋体" w:eastAsia="宋体" w:cs="宋体"/>
          <w:b/>
          <w:bCs/>
          <w:color w:val="auto"/>
          <w:sz w:val="24"/>
          <w:szCs w:val="24"/>
        </w:rPr>
        <w:t>五个工作日</w:t>
      </w:r>
      <w:r>
        <w:rPr>
          <w:rFonts w:hint="eastAsia" w:ascii="宋体" w:hAnsi="宋体" w:eastAsia="宋体" w:cs="宋体"/>
          <w:color w:val="auto"/>
          <w:sz w:val="24"/>
          <w:szCs w:val="24"/>
        </w:rPr>
        <w:t>。具体提供期限见</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w:t>
      </w:r>
    </w:p>
    <w:p w14:paraId="0C8D458E">
      <w:pPr>
        <w:pStyle w:val="14"/>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8.2投标人应按</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规定的方式获取招标文件。</w:t>
      </w:r>
    </w:p>
    <w:p w14:paraId="7D3C559E">
      <w:pPr>
        <w:pStyle w:val="14"/>
        <w:pageBreakBefore w:val="0"/>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8.3招标文件的提供期限截止时，购买招标文件的投标人少于三家，采购代理机构</w:t>
      </w:r>
      <w:r>
        <w:rPr>
          <w:rFonts w:hint="eastAsia" w:ascii="宋体" w:hAnsi="宋体" w:eastAsia="宋体" w:cs="宋体"/>
          <w:color w:val="auto"/>
          <w:kern w:val="0"/>
          <w:sz w:val="24"/>
          <w:szCs w:val="24"/>
        </w:rPr>
        <w:t>可以</w:t>
      </w:r>
      <w:r>
        <w:rPr>
          <w:rFonts w:hint="eastAsia" w:ascii="宋体" w:hAnsi="宋体" w:eastAsia="宋体" w:cs="宋体"/>
          <w:color w:val="auto"/>
          <w:sz w:val="24"/>
          <w:szCs w:val="24"/>
        </w:rPr>
        <w:t>延长招标文件的提供期限或者不再限制提供期限，或者修改招标文件，重新发布招标公告。延长招标文件的提供期限或者不再限制提供期限的，遵守本章第10.1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关于</w:t>
      </w:r>
      <w:r>
        <w:rPr>
          <w:rFonts w:hint="eastAsia" w:ascii="宋体" w:hAnsi="宋体" w:eastAsia="宋体" w:cs="宋体"/>
          <w:bCs/>
          <w:color w:val="auto"/>
          <w:sz w:val="24"/>
          <w:szCs w:val="24"/>
        </w:rPr>
        <w:t>招标文件修改的规定。</w:t>
      </w:r>
    </w:p>
    <w:p w14:paraId="32776AC1">
      <w:pPr>
        <w:pStyle w:val="14"/>
        <w:pageBreakBefore w:val="0"/>
        <w:tabs>
          <w:tab w:val="center" w:pos="4422"/>
        </w:tabs>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9．偏离</w:t>
      </w:r>
      <w:r>
        <w:rPr>
          <w:rFonts w:hint="eastAsia" w:ascii="宋体" w:hAnsi="宋体" w:eastAsia="宋体" w:cs="宋体"/>
          <w:b/>
          <w:color w:val="auto"/>
          <w:sz w:val="24"/>
          <w:szCs w:val="24"/>
        </w:rPr>
        <w:tab/>
      </w:r>
    </w:p>
    <w:p w14:paraId="6E629F15">
      <w:pPr>
        <w:pStyle w:val="22"/>
        <w:pageBreakBefore w:val="0"/>
        <w:kinsoku/>
        <w:wordWrap w:val="0"/>
        <w:overflowPunct w:val="0"/>
        <w:topLinePunct w:val="0"/>
        <w:bidi w:val="0"/>
        <w:adjustRightInd w:val="0"/>
        <w:snapToGrid w:val="0"/>
        <w:spacing w:before="0" w:beforeAutospacing="0" w:after="0" w:afterAutospacing="0" w:line="420" w:lineRule="exact"/>
        <w:ind w:right="97" w:rightChars="46" w:firstLine="480" w:firstLineChars="200"/>
        <w:jc w:val="both"/>
        <w:rPr>
          <w:rFonts w:hint="eastAsia" w:ascii="宋体" w:hAnsi="宋体" w:eastAsia="宋体" w:cs="宋体"/>
          <w:color w:val="auto"/>
          <w:szCs w:val="24"/>
        </w:rPr>
      </w:pPr>
      <w:r>
        <w:rPr>
          <w:rFonts w:hint="eastAsia" w:ascii="宋体" w:hAnsi="宋体" w:eastAsia="宋体" w:cs="宋体"/>
          <w:bCs/>
          <w:color w:val="auto"/>
          <w:szCs w:val="24"/>
        </w:rPr>
        <w:t>9.1本条所称</w:t>
      </w:r>
      <w:r>
        <w:rPr>
          <w:rFonts w:hint="eastAsia" w:ascii="宋体" w:hAnsi="宋体" w:eastAsia="宋体" w:cs="宋体"/>
          <w:color w:val="auto"/>
          <w:szCs w:val="24"/>
        </w:rPr>
        <w:t>偏离为</w:t>
      </w:r>
      <w:r>
        <w:rPr>
          <w:rFonts w:hint="eastAsia" w:ascii="宋体" w:hAnsi="宋体" w:eastAsia="宋体" w:cs="宋体"/>
          <w:bCs/>
          <w:color w:val="auto"/>
          <w:szCs w:val="24"/>
        </w:rPr>
        <w:t>投标文件</w:t>
      </w:r>
      <w:r>
        <w:rPr>
          <w:rFonts w:hint="eastAsia" w:ascii="宋体" w:hAnsi="宋体" w:eastAsia="宋体" w:cs="宋体"/>
          <w:color w:val="auto"/>
          <w:szCs w:val="24"/>
        </w:rPr>
        <w:t>对招标文件的偏离，即不满足</w:t>
      </w:r>
      <w:r>
        <w:rPr>
          <w:rFonts w:hint="eastAsia" w:ascii="宋体" w:hAnsi="宋体" w:eastAsia="宋体" w:cs="宋体"/>
          <w:color w:val="auto"/>
          <w:szCs w:val="24"/>
          <w:lang w:eastAsia="zh-CN"/>
        </w:rPr>
        <w:t>或</w:t>
      </w:r>
      <w:r>
        <w:rPr>
          <w:rFonts w:hint="eastAsia" w:ascii="宋体" w:hAnsi="宋体" w:eastAsia="宋体" w:cs="宋体"/>
          <w:color w:val="auto"/>
          <w:szCs w:val="24"/>
        </w:rPr>
        <w:t>不响应招标文件的要求。偏离分为对招标文件的实质性要求条款偏离和对招标文件的一般商务</w:t>
      </w:r>
      <w:r>
        <w:rPr>
          <w:rFonts w:hint="eastAsia" w:ascii="宋体" w:hAnsi="宋体" w:eastAsia="宋体" w:cs="宋体"/>
          <w:color w:val="auto"/>
          <w:spacing w:val="4"/>
          <w:szCs w:val="24"/>
        </w:rPr>
        <w:t>和</w:t>
      </w:r>
      <w:r>
        <w:rPr>
          <w:rFonts w:hint="eastAsia" w:ascii="宋体" w:hAnsi="宋体" w:eastAsia="宋体" w:cs="宋体"/>
          <w:color w:val="auto"/>
          <w:szCs w:val="24"/>
        </w:rPr>
        <w:t>技术条款（参数）偏离。</w:t>
      </w:r>
    </w:p>
    <w:p w14:paraId="04A8313A">
      <w:pPr>
        <w:pageBreakBefore w:val="0"/>
        <w:tabs>
          <w:tab w:val="left" w:pos="0"/>
        </w:tabs>
        <w:kinsoku/>
        <w:wordWrap w:val="0"/>
        <w:overflowPunct w:val="0"/>
        <w:topLinePunct w:val="0"/>
        <w:bidi w:val="0"/>
        <w:adjustRightInd w:val="0"/>
        <w:snapToGrid w:val="0"/>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9.2除</w:t>
      </w:r>
      <w:r>
        <w:rPr>
          <w:rFonts w:hint="eastAsia" w:ascii="宋体" w:hAnsi="宋体" w:eastAsia="宋体" w:cs="宋体"/>
          <w:bCs/>
          <w:color w:val="auto"/>
          <w:sz w:val="24"/>
          <w:szCs w:val="24"/>
          <w:lang w:eastAsia="zh-CN"/>
        </w:rPr>
        <w:t>法律法规</w:t>
      </w:r>
      <w:r>
        <w:rPr>
          <w:rFonts w:hint="eastAsia" w:ascii="宋体" w:hAnsi="宋体" w:eastAsia="宋体" w:cs="宋体"/>
          <w:bCs/>
          <w:color w:val="auto"/>
          <w:sz w:val="24"/>
          <w:szCs w:val="24"/>
        </w:rPr>
        <w:t>和规章规定外，</w:t>
      </w:r>
      <w:r>
        <w:rPr>
          <w:rFonts w:hint="eastAsia" w:ascii="宋体" w:hAnsi="宋体" w:eastAsia="宋体" w:cs="宋体"/>
          <w:color w:val="auto"/>
          <w:sz w:val="24"/>
          <w:szCs w:val="24"/>
        </w:rPr>
        <w:t>招标文件中用“拒绝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不接受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无效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不得”等文字规定或标注“</w:t>
      </w:r>
      <w:r>
        <w:rPr>
          <w:rFonts w:hint="eastAsia" w:ascii="宋体" w:hAnsi="宋体" w:eastAsia="宋体" w:cs="宋体"/>
          <w:b w:val="0"/>
          <w:bCs w:val="0"/>
          <w:color w:val="auto"/>
          <w:kern w:val="0"/>
          <w:sz w:val="24"/>
          <w:szCs w:val="24"/>
        </w:rPr>
        <w:t>*</w:t>
      </w:r>
      <w:r>
        <w:rPr>
          <w:rFonts w:hint="eastAsia" w:ascii="宋体" w:hAnsi="宋体" w:eastAsia="宋体" w:cs="宋体"/>
          <w:color w:val="auto"/>
          <w:sz w:val="24"/>
          <w:szCs w:val="24"/>
        </w:rPr>
        <w:t>”符号的条款为实质性要求条款（即重要条款），对其中任何一条的偏离，在评标时将其视为无效投标。未用上述文字规定或符号标注的条款为非实质性要求条款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即一般条款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26A5F12F">
      <w:pPr>
        <w:pageBreakBefore w:val="0"/>
        <w:tabs>
          <w:tab w:val="left" w:pos="0"/>
        </w:tabs>
        <w:kinsoku/>
        <w:wordWrap w:val="0"/>
        <w:overflowPunct w:val="0"/>
        <w:topLinePunct w:val="0"/>
        <w:bidi w:val="0"/>
        <w:adjustRightInd w:val="0"/>
        <w:snapToGrid w:val="0"/>
        <w:spacing w:line="420" w:lineRule="exact"/>
        <w:ind w:firstLine="480" w:firstLineChars="200"/>
        <w:rPr>
          <w:rFonts w:hint="eastAsia" w:ascii="宋体" w:hAnsi="宋体" w:eastAsia="宋体" w:cs="宋体"/>
          <w:b/>
          <w:color w:val="auto"/>
          <w:sz w:val="24"/>
          <w:szCs w:val="24"/>
          <w:highlight w:val="red"/>
        </w:rPr>
      </w:pPr>
      <w:r>
        <w:rPr>
          <w:rFonts w:hint="eastAsia" w:ascii="宋体" w:hAnsi="宋体" w:eastAsia="宋体" w:cs="宋体"/>
          <w:color w:val="auto"/>
          <w:sz w:val="24"/>
          <w:szCs w:val="24"/>
        </w:rPr>
        <w:t>9.3第</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章“招标文件前附表”中“采购合同格式条款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前附表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”和第六章“采购需求”中的一般商务和技术条款，在超出允许偏离的条款数（最高项数）时，在评标时将其视为无效投标。前述章节中一般商务和技术条款允许偏离的最高项数见</w:t>
      </w:r>
      <w:r>
        <w:rPr>
          <w:rFonts w:hint="eastAsia" w:ascii="宋体" w:hAnsi="宋体" w:eastAsia="宋体" w:cs="宋体"/>
          <w:b/>
          <w:color w:val="auto"/>
          <w:sz w:val="24"/>
          <w:szCs w:val="24"/>
        </w:rPr>
        <w:t>招标文件前附表。</w:t>
      </w:r>
    </w:p>
    <w:p w14:paraId="5E9A6EE0">
      <w:pPr>
        <w:pageBreakBefore w:val="0"/>
        <w:kinsoku/>
        <w:wordWrap w:val="0"/>
        <w:overflowPunct w:val="0"/>
        <w:topLinePunct w:val="0"/>
        <w:bidi w:val="0"/>
        <w:adjustRightInd w:val="0"/>
        <w:snapToGrid w:val="0"/>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10.招标文件的澄清与修改</w:t>
      </w:r>
    </w:p>
    <w:p w14:paraId="53A5F6BA">
      <w:pPr>
        <w:pageBreakBefore w:val="0"/>
        <w:kinsoku/>
        <w:wordWrap w:val="0"/>
        <w:overflowPunct w:val="0"/>
        <w:topLinePunct w:val="0"/>
        <w:autoSpaceDE w:val="0"/>
        <w:autoSpaceDN w:val="0"/>
        <w:bidi w:val="0"/>
        <w:adjustRightInd w:val="0"/>
        <w:snapToGrid w:val="0"/>
        <w:spacing w:line="420" w:lineRule="exact"/>
        <w:jc w:val="left"/>
        <w:rPr>
          <w:rFonts w:hint="eastAsia" w:ascii="宋体" w:hAnsi="宋体" w:eastAsia="宋体" w:cs="宋体"/>
          <w:b/>
          <w:bCs/>
          <w:color w:val="auto"/>
          <w:sz w:val="24"/>
          <w:szCs w:val="24"/>
        </w:rPr>
      </w:pPr>
      <w:r>
        <w:rPr>
          <w:rFonts w:hint="eastAsia" w:ascii="宋体" w:hAnsi="宋体" w:eastAsia="宋体" w:cs="宋体"/>
          <w:color w:val="auto"/>
          <w:sz w:val="24"/>
          <w:szCs w:val="24"/>
        </w:rPr>
        <w:t xml:space="preserve">   10.1 投标人应仔细阅读和检查招标文件的全部内容。如发现缺页或附件不全，应及时向</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提出，以便补齐。如有疑问，应在投标截止时间1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天前通过平台向</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人提出；未在规定时间内提出异议的，视为对招标文件无异议。招标文件的澄清将在投标截止时间15天前在平台发布，澄清文件一经在平台发布，视作已发给所有投标人，各投标人应随时关注报名项目信息，及时</w:t>
      </w:r>
      <w:r>
        <w:rPr>
          <w:rFonts w:hint="eastAsia" w:ascii="宋体" w:hAnsi="宋体" w:eastAsia="宋体" w:cs="宋体"/>
          <w:color w:val="auto"/>
          <w:sz w:val="24"/>
          <w:szCs w:val="24"/>
          <w:lang w:eastAsia="zh-CN"/>
        </w:rPr>
        <w:t>登录</w:t>
      </w:r>
      <w:r>
        <w:rPr>
          <w:rFonts w:hint="eastAsia" w:ascii="宋体" w:hAnsi="宋体" w:eastAsia="宋体" w:cs="宋体"/>
          <w:color w:val="auto"/>
          <w:sz w:val="24"/>
          <w:szCs w:val="24"/>
        </w:rPr>
        <w:t>平台下载相关文件，否则所造成的一切后果由投标人</w:t>
      </w:r>
      <w:r>
        <w:rPr>
          <w:rFonts w:hint="eastAsia" w:ascii="宋体" w:hAnsi="宋体" w:eastAsia="宋体" w:cs="宋体"/>
          <w:color w:val="auto"/>
          <w:sz w:val="24"/>
          <w:szCs w:val="24"/>
          <w:lang w:val="en-US" w:eastAsia="zh-CN"/>
        </w:rPr>
        <w:t>自行承担</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cr/>
      </w:r>
      <w:r>
        <w:rPr>
          <w:rFonts w:hint="eastAsia" w:ascii="宋体" w:hAnsi="宋体" w:eastAsia="宋体" w:cs="宋体"/>
          <w:b/>
          <w:color w:val="auto"/>
          <w:sz w:val="24"/>
          <w:szCs w:val="24"/>
        </w:rPr>
        <w:t xml:space="preserve">   </w:t>
      </w:r>
      <w:r>
        <w:rPr>
          <w:rFonts w:hint="eastAsia" w:ascii="宋体" w:hAnsi="宋体" w:eastAsia="宋体" w:cs="宋体"/>
          <w:b/>
          <w:color w:val="auto"/>
          <w:sz w:val="24"/>
          <w:szCs w:val="24"/>
          <w:lang w:val="en-US" w:eastAsia="zh-CN"/>
        </w:rPr>
        <w:t>10</w:t>
      </w:r>
      <w:r>
        <w:rPr>
          <w:rFonts w:hint="eastAsia" w:ascii="宋体" w:hAnsi="宋体" w:eastAsia="宋体" w:cs="宋体"/>
          <w:b/>
          <w:color w:val="auto"/>
          <w:sz w:val="24"/>
          <w:szCs w:val="24"/>
        </w:rPr>
        <w:t>.2</w:t>
      </w:r>
      <w:r>
        <w:rPr>
          <w:rFonts w:hint="eastAsia" w:ascii="宋体" w:hAnsi="宋体" w:eastAsia="宋体" w:cs="宋体"/>
          <w:b/>
          <w:color w:val="auto"/>
          <w:sz w:val="24"/>
          <w:szCs w:val="24"/>
          <w:lang w:val="en-US" w:eastAsia="zh-CN"/>
        </w:rPr>
        <w:t xml:space="preserve"> </w:t>
      </w:r>
      <w:r>
        <w:rPr>
          <w:rFonts w:hint="eastAsia" w:ascii="宋体" w:hAnsi="宋体" w:eastAsia="宋体" w:cs="宋体"/>
          <w:color w:val="auto"/>
          <w:sz w:val="24"/>
          <w:szCs w:val="24"/>
        </w:rPr>
        <w:t xml:space="preserve">招标文件的澄清将在投标截止时间15天前在平台发布。但不指明澄清问题的来源。如果澄清通知发出的时间距投标截止时间不足15天，投标截止时间应相应延长。 </w:t>
      </w:r>
    </w:p>
    <w:p w14:paraId="5B72FAEB">
      <w:pPr>
        <w:pageBreakBefore w:val="0"/>
        <w:kinsoku/>
        <w:wordWrap w:val="0"/>
        <w:overflowPunct w:val="0"/>
        <w:topLinePunct w:val="0"/>
        <w:bidi w:val="0"/>
        <w:adjustRightInd w:val="0"/>
        <w:snapToGrid w:val="0"/>
        <w:spacing w:line="42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11.</w:t>
      </w:r>
      <w:r>
        <w:rPr>
          <w:rFonts w:hint="eastAsia" w:ascii="宋体" w:hAnsi="宋体" w:eastAsia="宋体" w:cs="宋体"/>
          <w:b/>
          <w:color w:val="auto"/>
          <w:sz w:val="24"/>
          <w:szCs w:val="24"/>
        </w:rPr>
        <w:t>延长投标截止时间和开标时间</w:t>
      </w:r>
    </w:p>
    <w:p w14:paraId="229388BA">
      <w:pPr>
        <w:pageBreakBefore w:val="0"/>
        <w:kinsoku/>
        <w:wordWrap w:val="0"/>
        <w:overflowPunct w:val="0"/>
        <w:topLinePunct w:val="0"/>
        <w:autoSpaceDE w:val="0"/>
        <w:autoSpaceDN w:val="0"/>
        <w:bidi w:val="0"/>
        <w:adjustRightInd w:val="0"/>
        <w:snapToGrid w:val="0"/>
        <w:spacing w:line="4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代理机构可以视采购具体情况，延长投标截止时间和开标时间，但应当在本章</w:t>
      </w:r>
      <w:r>
        <w:rPr>
          <w:rFonts w:hint="eastAsia" w:ascii="宋体" w:hAnsi="宋体" w:eastAsia="宋体" w:cs="宋体"/>
          <w:color w:val="auto"/>
          <w:kern w:val="0"/>
          <w:sz w:val="24"/>
          <w:szCs w:val="24"/>
        </w:rPr>
        <w:t>规定的</w:t>
      </w:r>
      <w:r>
        <w:rPr>
          <w:rFonts w:hint="eastAsia" w:ascii="宋体" w:hAnsi="宋体" w:eastAsia="宋体" w:cs="宋体"/>
          <w:color w:val="auto"/>
          <w:sz w:val="24"/>
          <w:szCs w:val="24"/>
        </w:rPr>
        <w:t>提交投标文件的截止时间</w:t>
      </w:r>
      <w:r>
        <w:rPr>
          <w:rFonts w:hint="eastAsia" w:ascii="宋体" w:hAnsi="宋体" w:eastAsia="宋体" w:cs="宋体"/>
          <w:b/>
          <w:bCs/>
          <w:color w:val="auto"/>
          <w:sz w:val="24"/>
          <w:szCs w:val="24"/>
        </w:rPr>
        <w:t>三日</w:t>
      </w:r>
      <w:r>
        <w:rPr>
          <w:rFonts w:hint="eastAsia" w:ascii="宋体" w:hAnsi="宋体" w:eastAsia="宋体" w:cs="宋体"/>
          <w:color w:val="auto"/>
          <w:sz w:val="24"/>
          <w:szCs w:val="24"/>
        </w:rPr>
        <w:t>前，将变更时间</w:t>
      </w:r>
      <w:r>
        <w:rPr>
          <w:rFonts w:hint="eastAsia" w:ascii="宋体" w:hAnsi="宋体" w:eastAsia="宋体" w:cs="宋体"/>
          <w:color w:val="auto"/>
          <w:sz w:val="24"/>
          <w:szCs w:val="24"/>
          <w:lang w:val="en-US" w:eastAsia="zh-CN"/>
        </w:rPr>
        <w:t>在平台发布</w:t>
      </w:r>
      <w:r>
        <w:rPr>
          <w:rFonts w:hint="eastAsia" w:ascii="宋体" w:hAnsi="宋体" w:eastAsia="宋体" w:cs="宋体"/>
          <w:color w:val="auto"/>
          <w:sz w:val="24"/>
          <w:szCs w:val="24"/>
        </w:rPr>
        <w:t>，一经在平台发布，视作已发给所有投标人。</w:t>
      </w:r>
    </w:p>
    <w:p w14:paraId="3E1D35F0">
      <w:pPr>
        <w:pageBreakBefore w:val="0"/>
        <w:kinsoku/>
        <w:wordWrap w:val="0"/>
        <w:overflowPunct w:val="0"/>
        <w:topLinePunct w:val="0"/>
        <w:bidi w:val="0"/>
        <w:adjustRightInd w:val="0"/>
        <w:snapToGrid w:val="0"/>
        <w:spacing w:line="42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三、投标文件</w:t>
      </w:r>
    </w:p>
    <w:p w14:paraId="55A9F8E4">
      <w:pPr>
        <w:pageBreakBefore w:val="0"/>
        <w:kinsoku/>
        <w:wordWrap w:val="0"/>
        <w:overflowPunct w:val="0"/>
        <w:topLinePunct w:val="0"/>
        <w:bidi w:val="0"/>
        <w:adjustRightInd w:val="0"/>
        <w:snapToGrid w:val="0"/>
        <w:spacing w:line="42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12.投标语言</w:t>
      </w:r>
    </w:p>
    <w:p w14:paraId="4DBEAED8">
      <w:pPr>
        <w:pageBreakBefore w:val="0"/>
        <w:kinsoku/>
        <w:wordWrap w:val="0"/>
        <w:overflowPunct w:val="0"/>
        <w:topLinePunct w:val="0"/>
        <w:bidi w:val="0"/>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12.1投标人提交的投标文件及投标人与采购代理机构就有关投标的所有来往函电均使用中文。投标人可以提交</w:t>
      </w:r>
      <w:r>
        <w:rPr>
          <w:rFonts w:hint="eastAsia" w:ascii="宋体" w:hAnsi="宋体" w:eastAsia="宋体" w:cs="宋体"/>
          <w:color w:val="auto"/>
          <w:sz w:val="24"/>
          <w:szCs w:val="24"/>
          <w:lang w:eastAsia="zh-CN"/>
        </w:rPr>
        <w:t>其他语言</w:t>
      </w:r>
      <w:r>
        <w:rPr>
          <w:rFonts w:hint="eastAsia" w:ascii="宋体" w:hAnsi="宋体" w:eastAsia="宋体" w:cs="宋体"/>
          <w:color w:val="auto"/>
          <w:sz w:val="24"/>
          <w:szCs w:val="24"/>
        </w:rPr>
        <w:t>的资料，但应附有中文注释，有差异时以中文为准。</w:t>
      </w:r>
    </w:p>
    <w:p w14:paraId="62AF039D">
      <w:pPr>
        <w:pageBreakBefore w:val="0"/>
        <w:kinsoku/>
        <w:wordWrap w:val="0"/>
        <w:overflowPunct w:val="0"/>
        <w:topLinePunct w:val="0"/>
        <w:bidi w:val="0"/>
        <w:adjustRightInd w:val="0"/>
        <w:snapToGrid w:val="0"/>
        <w:spacing w:line="42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13.计量单位</w:t>
      </w:r>
    </w:p>
    <w:p w14:paraId="4DE46D4B">
      <w:pPr>
        <w:pageBreakBefore w:val="0"/>
        <w:kinsoku/>
        <w:wordWrap w:val="0"/>
        <w:overflowPunct w:val="0"/>
        <w:topLinePunct w:val="0"/>
        <w:bidi w:val="0"/>
        <w:adjustRightInd w:val="0"/>
        <w:snapToGrid w:val="0"/>
        <w:spacing w:line="42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13.1所有计量均采用中华人民共和国法定计量单位。</w:t>
      </w:r>
    </w:p>
    <w:p w14:paraId="1379D1BB">
      <w:pPr>
        <w:pageBreakBefore w:val="0"/>
        <w:kinsoku/>
        <w:wordWrap w:val="0"/>
        <w:overflowPunct w:val="0"/>
        <w:topLinePunct w:val="0"/>
        <w:bidi w:val="0"/>
        <w:adjustRightInd w:val="0"/>
        <w:snapToGrid w:val="0"/>
        <w:spacing w:line="42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14.投标文件的组成及相关要求</w:t>
      </w:r>
    </w:p>
    <w:p w14:paraId="63F81367">
      <w:pPr>
        <w:pageBreakBefore w:val="0"/>
        <w:kinsoku/>
        <w:wordWrap w:val="0"/>
        <w:overflowPunct w:val="0"/>
        <w:topLinePunct w:val="0"/>
        <w:bidi w:val="0"/>
        <w:spacing w:line="500" w:lineRule="exact"/>
        <w:ind w:firstLine="480" w:firstLineChars="2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.1投标文件分为</w:t>
      </w:r>
      <w:r>
        <w:rPr>
          <w:rFonts w:hint="eastAsia" w:ascii="宋体" w:hAnsi="宋体" w:eastAsia="宋体" w:cs="宋体"/>
          <w:color w:val="auto"/>
          <w:sz w:val="24"/>
          <w:szCs w:val="24"/>
          <w:lang w:eastAsia="zh-CN"/>
        </w:rPr>
        <w:t>资格审查部分、</w:t>
      </w:r>
      <w:r>
        <w:rPr>
          <w:rFonts w:hint="eastAsia" w:ascii="宋体" w:hAnsi="宋体" w:eastAsia="宋体" w:cs="宋体"/>
          <w:color w:val="auto"/>
          <w:sz w:val="24"/>
          <w:szCs w:val="24"/>
          <w:lang w:val="en-US" w:eastAsia="zh-CN"/>
        </w:rPr>
        <w:t>报价部分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商务部分和技术部分</w:t>
      </w:r>
      <w:r>
        <w:rPr>
          <w:rFonts w:hint="eastAsia" w:ascii="宋体" w:hAnsi="宋体" w:eastAsia="宋体" w:cs="宋体"/>
          <w:color w:val="auto"/>
          <w:sz w:val="24"/>
          <w:szCs w:val="24"/>
          <w:lang w:eastAsia="zh-CN"/>
        </w:rPr>
        <w:t>。</w:t>
      </w:r>
    </w:p>
    <w:p w14:paraId="1542E950">
      <w:pPr>
        <w:pageBreakBefore w:val="0"/>
        <w:kinsoku/>
        <w:wordWrap w:val="0"/>
        <w:overflowPunct w:val="0"/>
        <w:topLinePunct w:val="0"/>
        <w:bidi w:val="0"/>
        <w:spacing w:line="500" w:lineRule="exact"/>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投标人通过投标客户端编制完投标文件后，使用企业CA数字证书对投标文件进行加密，生成加密后的投标文件，在开标时再进行解密（加密、解密必须使用同一CA数字证书）。</w:t>
      </w:r>
    </w:p>
    <w:p w14:paraId="0F27A393">
      <w:pPr>
        <w:keepNext w:val="0"/>
        <w:keepLines w:val="0"/>
        <w:pageBreakBefore w:val="0"/>
        <w:kinsoku/>
        <w:wordWrap w:val="0"/>
        <w:overflowPunct w:val="0"/>
        <w:topLinePunct w:val="0"/>
        <w:autoSpaceDE/>
        <w:autoSpaceDN/>
        <w:bidi w:val="0"/>
        <w:spacing w:line="5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商务部分指投标人提交的证明其有资格参加投标和中标后有能力履行合同的文件。</w:t>
      </w:r>
    </w:p>
    <w:p w14:paraId="75A4C0C9">
      <w:pPr>
        <w:keepNext w:val="0"/>
        <w:keepLines w:val="0"/>
        <w:pageBreakBefore w:val="0"/>
        <w:kinsoku/>
        <w:wordWrap w:val="0"/>
        <w:overflowPunct w:val="0"/>
        <w:topLinePunct w:val="0"/>
        <w:autoSpaceDE/>
        <w:autoSpaceDN/>
        <w:bidi w:val="0"/>
        <w:spacing w:line="5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服务</w:t>
      </w:r>
      <w:r>
        <w:rPr>
          <w:rFonts w:hint="eastAsia" w:ascii="宋体" w:hAnsi="宋体" w:eastAsia="宋体" w:cs="宋体"/>
          <w:color w:val="auto"/>
          <w:sz w:val="24"/>
          <w:szCs w:val="24"/>
        </w:rPr>
        <w:t>指投标人提交的</w:t>
      </w:r>
      <w:r>
        <w:rPr>
          <w:rFonts w:hint="eastAsia" w:ascii="宋体" w:hAnsi="宋体" w:eastAsia="宋体" w:cs="宋体"/>
          <w:color w:val="auto"/>
          <w:sz w:val="24"/>
          <w:szCs w:val="24"/>
          <w:lang w:val="en-US" w:eastAsia="zh-CN"/>
        </w:rPr>
        <w:t>能</w:t>
      </w:r>
      <w:r>
        <w:rPr>
          <w:rFonts w:hint="eastAsia" w:ascii="宋体" w:hAnsi="宋体" w:eastAsia="宋体" w:cs="宋体"/>
          <w:color w:val="auto"/>
          <w:sz w:val="24"/>
          <w:szCs w:val="24"/>
        </w:rPr>
        <w:t>够证明投标人提供的货物及服务符合招标文件规定的文件。</w:t>
      </w:r>
    </w:p>
    <w:p w14:paraId="02FE8543">
      <w:pPr>
        <w:keepNext w:val="0"/>
        <w:keepLines w:val="0"/>
        <w:pageBreakBefore w:val="0"/>
        <w:kinsoku/>
        <w:wordWrap w:val="0"/>
        <w:overflowPunct w:val="0"/>
        <w:topLinePunct w:val="0"/>
        <w:autoSpaceDE/>
        <w:autoSpaceDN/>
        <w:bidi w:val="0"/>
        <w:spacing w:line="5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本次招标，投标人应按本招标文件要求提交</w:t>
      </w:r>
      <w:r>
        <w:rPr>
          <w:rFonts w:hint="eastAsia" w:ascii="宋体" w:hAnsi="宋体" w:eastAsia="宋体" w:cs="宋体"/>
          <w:color w:val="auto"/>
          <w:sz w:val="24"/>
          <w:szCs w:val="24"/>
          <w:lang w:val="en-US" w:eastAsia="zh-CN"/>
        </w:rPr>
        <w:t>资格、报价、</w:t>
      </w:r>
      <w:r>
        <w:rPr>
          <w:rFonts w:hint="eastAsia" w:ascii="宋体" w:hAnsi="宋体" w:eastAsia="宋体" w:cs="宋体"/>
          <w:color w:val="auto"/>
          <w:sz w:val="24"/>
          <w:szCs w:val="24"/>
        </w:rPr>
        <w:t>商务、技术部分内容和需要投标人自行编写的其他文件，其中加</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项目若有缺失或无效，将导致投标被拒绝。（具体填写要求及格式详见招标文件第</w:t>
      </w:r>
      <w:r>
        <w:rPr>
          <w:rFonts w:hint="eastAsia" w:ascii="宋体" w:hAnsi="宋体" w:eastAsia="宋体" w:cs="宋体"/>
          <w:color w:val="auto"/>
          <w:sz w:val="24"/>
          <w:szCs w:val="24"/>
          <w:lang w:val="en-US" w:eastAsia="zh-CN"/>
        </w:rPr>
        <w:t>六章</w:t>
      </w:r>
      <w:r>
        <w:rPr>
          <w:rFonts w:hint="eastAsia" w:ascii="宋体" w:hAnsi="宋体" w:eastAsia="宋体" w:cs="宋体"/>
          <w:color w:val="auto"/>
          <w:sz w:val="24"/>
          <w:szCs w:val="24"/>
        </w:rPr>
        <w:t>）。</w:t>
      </w:r>
    </w:p>
    <w:p w14:paraId="69FCCA84">
      <w:pPr>
        <w:keepNext w:val="0"/>
        <w:keepLines w:val="0"/>
        <w:pageBreakBefore w:val="0"/>
        <w:kinsoku/>
        <w:wordWrap w:val="0"/>
        <w:overflowPunct w:val="0"/>
        <w:topLinePunct w:val="0"/>
        <w:autoSpaceDE/>
        <w:autoSpaceDN/>
        <w:bidi w:val="0"/>
        <w:spacing w:line="5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.2投标文件要求内容及编排顺序</w:t>
      </w:r>
    </w:p>
    <w:p w14:paraId="6A6759DB">
      <w:pPr>
        <w:keepNext w:val="0"/>
        <w:keepLines w:val="0"/>
        <w:pageBreakBefore w:val="0"/>
        <w:widowControl/>
        <w:tabs>
          <w:tab w:val="left" w:pos="1440"/>
        </w:tabs>
        <w:kinsoku/>
        <w:wordWrap w:val="0"/>
        <w:overflowPunct w:val="0"/>
        <w:topLinePunct w:val="0"/>
        <w:autoSpaceDE/>
        <w:autoSpaceDN/>
        <w:bidi w:val="0"/>
        <w:snapToGrid w:val="0"/>
        <w:spacing w:line="500" w:lineRule="exact"/>
        <w:ind w:firstLine="354" w:firstLineChars="147"/>
        <w:jc w:val="left"/>
        <w:textAlignment w:val="auto"/>
        <w:rPr>
          <w:rFonts w:hint="eastAsia" w:ascii="宋体" w:hAnsi="宋体" w:eastAsia="宋体" w:cs="宋体"/>
          <w:b/>
          <w:color w:val="auto"/>
          <w:kern w:val="0"/>
          <w:sz w:val="24"/>
          <w:szCs w:val="24"/>
          <w:lang w:eastAsia="zh-CN"/>
        </w:rPr>
      </w:pP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lang w:val="en-US" w:eastAsia="zh-CN"/>
        </w:rPr>
        <w:t>1</w:t>
      </w:r>
      <w:r>
        <w:rPr>
          <w:rFonts w:hint="eastAsia" w:ascii="宋体" w:hAnsi="宋体" w:eastAsia="宋体" w:cs="宋体"/>
          <w:b/>
          <w:color w:val="auto"/>
          <w:kern w:val="0"/>
          <w:sz w:val="24"/>
          <w:szCs w:val="24"/>
          <w:lang w:eastAsia="zh-CN"/>
        </w:rPr>
        <w:t>）资格审查部分：</w:t>
      </w:r>
    </w:p>
    <w:p w14:paraId="10371273">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若为法人须附法定代表人身份证明书；若为授权委托代理人需提供法定代表人身份证明书、法定代表人授权委托书、法定代表人身份证及被授权人的身份证；</w:t>
      </w:r>
    </w:p>
    <w:p w14:paraId="7D4C1809">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投标函；</w:t>
      </w:r>
    </w:p>
    <w:p w14:paraId="7B89D4DA">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）*营业执照</w:t>
      </w:r>
      <w:r>
        <w:rPr>
          <w:rFonts w:hint="eastAsia" w:ascii="宋体" w:hAnsi="宋体" w:eastAsia="宋体" w:cs="宋体"/>
          <w:color w:val="auto"/>
          <w:kern w:val="0"/>
          <w:sz w:val="24"/>
          <w:szCs w:val="24"/>
          <w:lang w:eastAsia="zh-CN"/>
        </w:rPr>
        <w:t>；</w:t>
      </w:r>
    </w:p>
    <w:p w14:paraId="0D383DE8">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银行基本账户开户许可证或基本存款账户信息</w:t>
      </w:r>
      <w:r>
        <w:rPr>
          <w:rFonts w:hint="eastAsia" w:ascii="宋体" w:hAnsi="宋体" w:eastAsia="宋体" w:cs="宋体"/>
          <w:color w:val="auto"/>
          <w:kern w:val="0"/>
          <w:sz w:val="24"/>
          <w:szCs w:val="24"/>
        </w:rPr>
        <w:t>；</w:t>
      </w:r>
    </w:p>
    <w:p w14:paraId="3C500A34">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spacing w:val="10"/>
          <w:kern w:val="0"/>
          <w:sz w:val="24"/>
          <w:szCs w:val="24"/>
          <w:lang w:val="en-US" w:eastAsia="zh-CN"/>
        </w:rPr>
        <w:t>投标人信用承诺书</w:t>
      </w:r>
      <w:r>
        <w:rPr>
          <w:rFonts w:hint="eastAsia" w:ascii="宋体" w:hAnsi="宋体" w:eastAsia="宋体" w:cs="宋体"/>
          <w:color w:val="auto"/>
          <w:szCs w:val="21"/>
          <w:lang w:val="zh-CN"/>
        </w:rPr>
        <w:t>；</w:t>
      </w:r>
    </w:p>
    <w:p w14:paraId="3F827470">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*投标保证金</w:t>
      </w:r>
      <w:r>
        <w:rPr>
          <w:rFonts w:hint="eastAsia" w:ascii="宋体" w:hAnsi="宋体" w:eastAsia="宋体" w:cs="宋体"/>
          <w:color w:val="auto"/>
          <w:sz w:val="24"/>
          <w:szCs w:val="24"/>
          <w:lang w:eastAsia="zh-CN"/>
        </w:rPr>
        <w:t>缴纳</w:t>
      </w:r>
      <w:r>
        <w:rPr>
          <w:rFonts w:hint="eastAsia" w:ascii="宋体" w:hAnsi="宋体" w:eastAsia="宋体" w:cs="宋体"/>
          <w:color w:val="auto"/>
          <w:sz w:val="24"/>
          <w:szCs w:val="24"/>
          <w:lang w:val="en-US" w:eastAsia="zh-CN"/>
        </w:rPr>
        <w:t>凭证</w:t>
      </w:r>
      <w:r>
        <w:rPr>
          <w:rFonts w:hint="eastAsia" w:ascii="宋体" w:hAnsi="宋体" w:eastAsia="宋体" w:cs="宋体"/>
          <w:color w:val="auto"/>
          <w:sz w:val="24"/>
          <w:szCs w:val="24"/>
          <w:lang w:eastAsia="zh-CN"/>
        </w:rPr>
        <w:t>；</w:t>
      </w:r>
    </w:p>
    <w:p w14:paraId="438DAD42">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highlight w:val="none"/>
          <w:lang w:val="en-US" w:eastAsia="zh-CN"/>
        </w:rPr>
        <w:t>*投标人自行承诺企业、法定代表人有无行贿犯罪行为（格式自拟），并对其真实性负责</w:t>
      </w:r>
      <w:r>
        <w:rPr>
          <w:rFonts w:hint="eastAsia" w:ascii="宋体" w:hAnsi="宋体" w:eastAsia="宋体" w:cs="宋体"/>
          <w:color w:val="auto"/>
          <w:sz w:val="24"/>
          <w:szCs w:val="24"/>
          <w:lang w:val="en-US" w:eastAsia="zh-CN"/>
        </w:rPr>
        <w:t>；</w:t>
      </w:r>
    </w:p>
    <w:p w14:paraId="31DE3C0A">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8）*诚信投标承诺书（</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z w:val="24"/>
          <w:szCs w:val="24"/>
          <w:lang w:val="en-US" w:eastAsia="zh-CN"/>
        </w:rPr>
        <w:t>；</w:t>
      </w:r>
    </w:p>
    <w:p w14:paraId="6C309FE5">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9）*中小企业声明函；(见‘投标文件格式’)；</w:t>
      </w:r>
    </w:p>
    <w:p w14:paraId="68491DFD">
      <w:pPr>
        <w:keepNext w:val="0"/>
        <w:keepLines w:val="0"/>
        <w:pageBreakBefore w:val="0"/>
        <w:widowControl w:val="0"/>
        <w:numPr>
          <w:ilvl w:val="0"/>
          <w:numId w:val="0"/>
        </w:numPr>
        <w:kinsoku/>
        <w:wordWrap w:val="0"/>
        <w:overflowPunct w:val="0"/>
        <w:topLinePunct w:val="0"/>
        <w:autoSpaceDE/>
        <w:autoSpaceDN/>
        <w:bidi w:val="0"/>
        <w:adjustRightInd w:val="0"/>
        <w:snapToGrid w:val="0"/>
        <w:spacing w:beforeAutospacing="0" w:line="420" w:lineRule="exact"/>
        <w:ind w:leftChars="200"/>
        <w:jc w:val="left"/>
        <w:textAlignment w:val="auto"/>
        <w:rPr>
          <w:rFonts w:hint="eastAsia" w:ascii="宋体" w:hAnsi="宋体" w:eastAsia="宋体" w:cs="宋体"/>
          <w:b/>
          <w:color w:val="auto"/>
          <w:spacing w:val="10"/>
          <w:kern w:val="0"/>
          <w:sz w:val="24"/>
          <w:szCs w:val="24"/>
          <w:highlight w:val="none"/>
          <w:lang w:val="en-US" w:eastAsia="zh-CN"/>
        </w:rPr>
      </w:pPr>
      <w:r>
        <w:rPr>
          <w:rFonts w:hint="eastAsia" w:ascii="宋体" w:hAnsi="宋体" w:eastAsia="宋体" w:cs="宋体"/>
          <w:b/>
          <w:color w:val="auto"/>
          <w:kern w:val="0"/>
          <w:sz w:val="24"/>
          <w:szCs w:val="24"/>
        </w:rPr>
        <w:t>（</w:t>
      </w:r>
      <w:r>
        <w:rPr>
          <w:rFonts w:hint="eastAsia" w:ascii="宋体" w:hAnsi="宋体" w:eastAsia="宋体" w:cs="宋体"/>
          <w:b/>
          <w:color w:val="auto"/>
          <w:kern w:val="0"/>
          <w:sz w:val="24"/>
          <w:szCs w:val="24"/>
          <w:lang w:val="en-US" w:eastAsia="zh-CN"/>
        </w:rPr>
        <w:t>2</w:t>
      </w:r>
      <w:r>
        <w:rPr>
          <w:rFonts w:hint="eastAsia" w:ascii="宋体" w:hAnsi="宋体" w:eastAsia="宋体" w:cs="宋体"/>
          <w:b/>
          <w:color w:val="auto"/>
          <w:kern w:val="0"/>
          <w:sz w:val="24"/>
          <w:szCs w:val="24"/>
        </w:rPr>
        <w:t>）</w:t>
      </w:r>
      <w:r>
        <w:rPr>
          <w:rFonts w:hint="eastAsia" w:ascii="宋体" w:hAnsi="宋体" w:eastAsia="宋体" w:cs="宋体"/>
          <w:b/>
          <w:color w:val="auto"/>
          <w:spacing w:val="10"/>
          <w:kern w:val="0"/>
          <w:sz w:val="24"/>
          <w:szCs w:val="24"/>
          <w:highlight w:val="none"/>
          <w:lang w:val="en-US" w:eastAsia="zh-CN"/>
        </w:rPr>
        <w:t>报价部分</w:t>
      </w:r>
    </w:p>
    <w:p w14:paraId="59ED5096">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pacing w:val="10"/>
          <w:kern w:val="0"/>
          <w:sz w:val="24"/>
          <w:szCs w:val="24"/>
          <w:highlight w:val="none"/>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pacing w:val="10"/>
          <w:kern w:val="0"/>
          <w:sz w:val="24"/>
          <w:szCs w:val="24"/>
          <w:highlight w:val="none"/>
        </w:rPr>
        <w:t xml:space="preserve">开标一览表 </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w:t>
      </w:r>
    </w:p>
    <w:p w14:paraId="32955921">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outlineLvl w:val="9"/>
        <w:rPr>
          <w:rFonts w:hint="eastAsia" w:ascii="宋体" w:hAnsi="宋体" w:eastAsia="宋体" w:cs="宋体"/>
          <w:b w:val="0"/>
          <w:bCs/>
          <w:color w:val="auto"/>
          <w:kern w:val="0"/>
          <w:sz w:val="24"/>
          <w:szCs w:val="24"/>
          <w:lang w:eastAsia="zh-CN"/>
        </w:rPr>
      </w:pPr>
      <w:bookmarkStart w:id="15" w:name="_Toc2841"/>
      <w:bookmarkStart w:id="16" w:name="_Toc21123"/>
      <w:bookmarkStart w:id="17" w:name="_Toc30328"/>
      <w:bookmarkStart w:id="18" w:name="_Toc15679"/>
      <w:r>
        <w:rPr>
          <w:rFonts w:hint="eastAsia" w:ascii="宋体" w:hAnsi="宋体" w:eastAsia="宋体" w:cs="宋体"/>
          <w:b w:val="0"/>
          <w:bCs/>
          <w:color w:val="auto"/>
          <w:kern w:val="0"/>
          <w:sz w:val="24"/>
          <w:szCs w:val="24"/>
          <w:lang w:val="en-US" w:eastAsia="zh-CN"/>
        </w:rPr>
        <w:t>2</w:t>
      </w:r>
      <w:r>
        <w:rPr>
          <w:rFonts w:hint="eastAsia" w:ascii="宋体" w:hAnsi="宋体" w:eastAsia="宋体" w:cs="宋体"/>
          <w:b w:val="0"/>
          <w:bCs/>
          <w:color w:val="auto"/>
          <w:kern w:val="0"/>
          <w:sz w:val="24"/>
          <w:szCs w:val="24"/>
          <w:lang w:eastAsia="zh-CN"/>
        </w:rPr>
        <w:t>）</w:t>
      </w:r>
      <w:r>
        <w:rPr>
          <w:rFonts w:hint="eastAsia" w:ascii="宋体" w:hAnsi="宋体" w:eastAsia="宋体" w:cs="宋体"/>
          <w:b w:val="0"/>
          <w:bCs/>
          <w:color w:val="auto"/>
          <w:kern w:val="0"/>
          <w:sz w:val="24"/>
          <w:szCs w:val="24"/>
          <w:lang w:val="en-US" w:eastAsia="zh-CN"/>
        </w:rPr>
        <w:t>*</w:t>
      </w:r>
      <w:r>
        <w:rPr>
          <w:rFonts w:hint="eastAsia" w:ascii="宋体" w:hAnsi="宋体" w:eastAsia="宋体" w:cs="宋体"/>
          <w:b w:val="0"/>
          <w:bCs/>
          <w:color w:val="auto"/>
          <w:kern w:val="0"/>
          <w:sz w:val="24"/>
          <w:szCs w:val="24"/>
          <w:lang w:eastAsia="zh-CN"/>
        </w:rPr>
        <w:t>分项报价表</w:t>
      </w:r>
      <w:bookmarkEnd w:id="15"/>
      <w:r>
        <w:rPr>
          <w:rFonts w:hint="eastAsia" w:ascii="宋体" w:hAnsi="宋体" w:eastAsia="宋体" w:cs="宋体"/>
          <w:color w:val="auto"/>
          <w:spacing w:val="10"/>
          <w:kern w:val="0"/>
          <w:sz w:val="24"/>
          <w:szCs w:val="24"/>
          <w:highlight w:val="none"/>
        </w:rPr>
        <w:t xml:space="preserve"> </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w:t>
      </w:r>
      <w:bookmarkEnd w:id="16"/>
      <w:bookmarkEnd w:id="17"/>
      <w:bookmarkEnd w:id="18"/>
    </w:p>
    <w:p w14:paraId="37538F7D">
      <w:pPr>
        <w:keepNext w:val="0"/>
        <w:keepLines w:val="0"/>
        <w:pageBreakBefore w:val="0"/>
        <w:widowControl/>
        <w:tabs>
          <w:tab w:val="left" w:pos="1440"/>
        </w:tabs>
        <w:kinsoku/>
        <w:wordWrap w:val="0"/>
        <w:overflowPunct w:val="0"/>
        <w:topLinePunct w:val="0"/>
        <w:autoSpaceDE/>
        <w:autoSpaceDN/>
        <w:bidi w:val="0"/>
        <w:snapToGrid w:val="0"/>
        <w:spacing w:line="500" w:lineRule="exact"/>
        <w:ind w:firstLine="354" w:firstLineChars="147"/>
        <w:jc w:val="left"/>
        <w:textAlignment w:val="auto"/>
        <w:rPr>
          <w:rFonts w:hint="eastAsia" w:ascii="宋体" w:hAnsi="宋体" w:eastAsia="宋体" w:cs="宋体"/>
          <w:color w:val="auto"/>
          <w:kern w:val="0"/>
          <w:sz w:val="24"/>
          <w:szCs w:val="24"/>
        </w:rPr>
      </w:pP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lang w:val="en-US" w:eastAsia="zh-CN"/>
        </w:rPr>
        <w:t>3</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商务</w:t>
      </w:r>
      <w:r>
        <w:rPr>
          <w:rFonts w:hint="eastAsia" w:ascii="宋体" w:hAnsi="宋体" w:eastAsia="宋体" w:cs="宋体"/>
          <w:b/>
          <w:color w:val="auto"/>
          <w:kern w:val="0"/>
          <w:sz w:val="24"/>
          <w:szCs w:val="24"/>
          <w:lang w:eastAsia="zh-CN"/>
        </w:rPr>
        <w:t>、技术部分</w:t>
      </w:r>
      <w:r>
        <w:rPr>
          <w:rFonts w:hint="eastAsia" w:ascii="宋体" w:hAnsi="宋体" w:eastAsia="宋体" w:cs="宋体"/>
          <w:color w:val="auto"/>
          <w:kern w:val="0"/>
          <w:sz w:val="24"/>
          <w:szCs w:val="24"/>
        </w:rPr>
        <w:t>：</w:t>
      </w:r>
    </w:p>
    <w:p w14:paraId="7C1368A1">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投标人企业简况（</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kern w:val="0"/>
          <w:sz w:val="24"/>
          <w:szCs w:val="24"/>
          <w:lang w:val="en-US" w:eastAsia="zh-CN"/>
        </w:rPr>
        <w:t>；</w:t>
      </w:r>
    </w:p>
    <w:p w14:paraId="6C409EF6">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lang w:val="en-US"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lang w:eastAsia="zh-CN"/>
        </w:rPr>
        <w:t>）投标人同类型业绩一览表</w:t>
      </w:r>
      <w:r>
        <w:rPr>
          <w:rFonts w:hint="eastAsia" w:ascii="宋体" w:hAnsi="宋体" w:eastAsia="宋体" w:cs="宋体"/>
          <w:color w:val="auto"/>
          <w:kern w:val="0"/>
          <w:sz w:val="24"/>
          <w:szCs w:val="24"/>
        </w:rPr>
        <w:t>（见‘投标文件格式’）；</w:t>
      </w:r>
    </w:p>
    <w:p w14:paraId="3AB0C661">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xml:space="preserve">3) </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商务、技术偏离表；</w:t>
      </w:r>
      <w:r>
        <w:rPr>
          <w:rFonts w:hint="eastAsia" w:ascii="宋体" w:hAnsi="宋体" w:eastAsia="宋体" w:cs="宋体"/>
          <w:color w:val="auto"/>
          <w:kern w:val="0"/>
          <w:sz w:val="24"/>
          <w:szCs w:val="24"/>
        </w:rPr>
        <w:t>（见‘投标文件格式’）；</w:t>
      </w:r>
    </w:p>
    <w:p w14:paraId="1A36E18B">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4）技术方案；</w:t>
      </w:r>
    </w:p>
    <w:p w14:paraId="453EA763">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5）残疾人福利性单位声明函、</w:t>
      </w:r>
      <w:r>
        <w:rPr>
          <w:rFonts w:hint="eastAsia" w:ascii="宋体" w:hAnsi="宋体" w:eastAsia="宋体" w:cs="宋体"/>
          <w:color w:val="auto"/>
          <w:kern w:val="0"/>
          <w:sz w:val="24"/>
          <w:szCs w:val="24"/>
        </w:rPr>
        <w:t>投标人监狱企业证明文件（复印件须加盖投标人公章见‘投标文件格式’）（</w:t>
      </w:r>
      <w:r>
        <w:rPr>
          <w:rFonts w:hint="eastAsia" w:ascii="宋体" w:hAnsi="宋体" w:eastAsia="宋体" w:cs="宋体"/>
          <w:color w:val="auto"/>
          <w:kern w:val="0"/>
          <w:sz w:val="24"/>
          <w:szCs w:val="24"/>
          <w:lang w:val="en-US" w:eastAsia="zh-CN"/>
        </w:rPr>
        <w:t>如</w:t>
      </w:r>
      <w:r>
        <w:rPr>
          <w:rFonts w:hint="eastAsia" w:ascii="宋体" w:hAnsi="宋体" w:eastAsia="宋体" w:cs="宋体"/>
          <w:color w:val="auto"/>
          <w:kern w:val="0"/>
          <w:sz w:val="24"/>
          <w:szCs w:val="24"/>
        </w:rPr>
        <w:t>有）</w:t>
      </w:r>
    </w:p>
    <w:p w14:paraId="4ABFE542">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bCs/>
          <w:color w:val="auto"/>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投标人认为需</w:t>
      </w:r>
      <w:r>
        <w:rPr>
          <w:rFonts w:hint="eastAsia" w:ascii="宋体" w:hAnsi="宋体" w:eastAsia="宋体" w:cs="宋体"/>
          <w:color w:val="auto"/>
          <w:kern w:val="0"/>
          <w:sz w:val="24"/>
          <w:szCs w:val="24"/>
        </w:rPr>
        <w:t>要提供的其他材料。</w:t>
      </w:r>
    </w:p>
    <w:p w14:paraId="73939F1B">
      <w:pPr>
        <w:pageBreakBefore w:val="0"/>
        <w:widowControl/>
        <w:tabs>
          <w:tab w:val="left" w:pos="0"/>
        </w:tabs>
        <w:kinsoku/>
        <w:wordWrap w:val="0"/>
        <w:overflowPunct w:val="0"/>
        <w:topLinePunct w:val="0"/>
        <w:bidi w:val="0"/>
        <w:snapToGrid w:val="0"/>
        <w:spacing w:line="420" w:lineRule="exact"/>
        <w:ind w:firstLine="624"/>
        <w:jc w:val="left"/>
        <w:rPr>
          <w:rFonts w:hint="eastAsia" w:ascii="宋体" w:hAnsi="宋体" w:eastAsia="宋体" w:cs="宋体"/>
          <w:bCs/>
          <w:color w:val="auto"/>
          <w:kern w:val="0"/>
          <w:sz w:val="24"/>
          <w:szCs w:val="24"/>
        </w:rPr>
      </w:pPr>
      <w:r>
        <w:rPr>
          <w:rFonts w:hint="eastAsia" w:ascii="宋体" w:hAnsi="宋体" w:eastAsia="宋体" w:cs="宋体"/>
          <w:bCs/>
          <w:color w:val="auto"/>
          <w:sz w:val="24"/>
          <w:szCs w:val="24"/>
        </w:rPr>
        <w:t>14.</w:t>
      </w:r>
      <w:r>
        <w:rPr>
          <w:rFonts w:hint="eastAsia" w:ascii="宋体" w:hAnsi="宋体" w:eastAsia="宋体" w:cs="宋体"/>
          <w:bCs/>
          <w:color w:val="auto"/>
          <w:sz w:val="24"/>
          <w:szCs w:val="24"/>
          <w:lang w:val="en-US" w:eastAsia="zh-CN"/>
        </w:rPr>
        <w:t>3</w:t>
      </w:r>
      <w:r>
        <w:rPr>
          <w:rFonts w:hint="eastAsia" w:ascii="宋体" w:hAnsi="宋体" w:eastAsia="宋体" w:cs="宋体"/>
          <w:bCs/>
          <w:color w:val="auto"/>
          <w:kern w:val="0"/>
          <w:sz w:val="24"/>
          <w:szCs w:val="24"/>
        </w:rPr>
        <w:t>投标内容填写说明</w:t>
      </w:r>
    </w:p>
    <w:p w14:paraId="0A67B33B">
      <w:pPr>
        <w:pageBreakBefore w:val="0"/>
        <w:widowControl/>
        <w:tabs>
          <w:tab w:val="left" w:pos="567"/>
        </w:tabs>
        <w:kinsoku/>
        <w:wordWrap w:val="0"/>
        <w:overflowPunct w:val="0"/>
        <w:topLinePunct w:val="0"/>
        <w:bidi w:val="0"/>
        <w:snapToGrid w:val="0"/>
        <w:spacing w:line="420" w:lineRule="exact"/>
        <w:ind w:firstLine="624"/>
        <w:jc w:val="left"/>
        <w:rPr>
          <w:rFonts w:hint="eastAsia" w:ascii="宋体" w:hAnsi="宋体" w:eastAsia="宋体" w:cs="宋体"/>
          <w:bCs/>
          <w:color w:val="auto"/>
          <w:kern w:val="0"/>
          <w:sz w:val="24"/>
          <w:szCs w:val="24"/>
        </w:rPr>
      </w:pPr>
      <w:r>
        <w:rPr>
          <w:rFonts w:hint="eastAsia" w:ascii="宋体" w:hAnsi="宋体" w:eastAsia="宋体" w:cs="宋体"/>
          <w:bCs/>
          <w:color w:val="auto"/>
          <w:sz w:val="24"/>
          <w:szCs w:val="24"/>
        </w:rPr>
        <w:t>（1）</w:t>
      </w:r>
      <w:r>
        <w:rPr>
          <w:rFonts w:hint="eastAsia" w:ascii="宋体" w:hAnsi="宋体" w:eastAsia="宋体" w:cs="宋体"/>
          <w:bCs/>
          <w:color w:val="auto"/>
          <w:kern w:val="0"/>
          <w:sz w:val="24"/>
          <w:szCs w:val="24"/>
        </w:rPr>
        <w:t>投标人应详细阅读招标文件的全部内容。投标文件须对招标文件中的内容做出实质性和完整性的响应。</w:t>
      </w:r>
    </w:p>
    <w:p w14:paraId="614DD6C9">
      <w:pPr>
        <w:pageBreakBefore w:val="0"/>
        <w:widowControl/>
        <w:tabs>
          <w:tab w:val="left" w:pos="567"/>
        </w:tabs>
        <w:kinsoku/>
        <w:wordWrap w:val="0"/>
        <w:overflowPunct w:val="0"/>
        <w:topLinePunct w:val="0"/>
        <w:bidi w:val="0"/>
        <w:snapToGrid w:val="0"/>
        <w:spacing w:line="420" w:lineRule="exact"/>
        <w:ind w:firstLine="624"/>
        <w:jc w:val="left"/>
        <w:rPr>
          <w:rFonts w:hint="eastAsia" w:ascii="宋体" w:hAnsi="宋体" w:eastAsia="宋体" w:cs="宋体"/>
          <w:bCs/>
          <w:color w:val="auto"/>
          <w:kern w:val="0"/>
          <w:sz w:val="24"/>
          <w:szCs w:val="24"/>
        </w:rPr>
      </w:pPr>
      <w:r>
        <w:rPr>
          <w:rFonts w:hint="eastAsia" w:ascii="宋体" w:hAnsi="宋体" w:eastAsia="宋体" w:cs="宋体"/>
          <w:bCs/>
          <w:color w:val="auto"/>
          <w:sz w:val="24"/>
          <w:szCs w:val="24"/>
        </w:rPr>
        <w:t>（2）</w:t>
      </w:r>
      <w:r>
        <w:rPr>
          <w:rFonts w:hint="eastAsia" w:ascii="宋体" w:hAnsi="宋体" w:eastAsia="宋体" w:cs="宋体"/>
          <w:bCs/>
          <w:color w:val="auto"/>
          <w:kern w:val="0"/>
          <w:sz w:val="24"/>
          <w:szCs w:val="24"/>
        </w:rPr>
        <w:t>投标人照搬照抄招标文件技术、商务要求，并未提供技术资料或提供资料不详的，评标委员会有权决定是否通知投标人限期进行书面解释或提供相关证明材料。若已要求，而该投标人在规定期限内未</w:t>
      </w:r>
      <w:r>
        <w:rPr>
          <w:rFonts w:hint="eastAsia" w:ascii="宋体" w:hAnsi="宋体" w:eastAsia="宋体" w:cs="宋体"/>
          <w:bCs/>
          <w:color w:val="auto"/>
          <w:kern w:val="0"/>
          <w:sz w:val="24"/>
          <w:szCs w:val="24"/>
          <w:lang w:eastAsia="zh-CN"/>
        </w:rPr>
        <w:t>作出</w:t>
      </w:r>
      <w:r>
        <w:rPr>
          <w:rFonts w:hint="eastAsia" w:ascii="宋体" w:hAnsi="宋体" w:eastAsia="宋体" w:cs="宋体"/>
          <w:bCs/>
          <w:color w:val="auto"/>
          <w:kern w:val="0"/>
          <w:sz w:val="24"/>
          <w:szCs w:val="24"/>
        </w:rPr>
        <w:t>解释、做出的解释不合理或不能提供证明材料的，评标委员会有权拒绝该投标。</w:t>
      </w:r>
    </w:p>
    <w:p w14:paraId="458F9972">
      <w:pPr>
        <w:pageBreakBefore w:val="0"/>
        <w:kinsoku/>
        <w:wordWrap w:val="0"/>
        <w:overflowPunct w:val="0"/>
        <w:topLinePunct w:val="0"/>
        <w:bidi w:val="0"/>
        <w:adjustRightInd w:val="0"/>
        <w:snapToGrid w:val="0"/>
        <w:spacing w:line="42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（3）投标文件内容及题目的编排顺序和编号按本章第14.1</w:t>
      </w:r>
      <w:r>
        <w:rPr>
          <w:rFonts w:hint="eastAsia" w:ascii="宋体" w:hAnsi="宋体" w:eastAsia="宋体" w:cs="宋体"/>
          <w:bCs/>
          <w:color w:val="auto"/>
          <w:kern w:val="0"/>
          <w:sz w:val="24"/>
          <w:szCs w:val="24"/>
          <w:lang w:val="zh-CN"/>
        </w:rPr>
        <w:t>款</w:t>
      </w:r>
      <w:r>
        <w:rPr>
          <w:rFonts w:hint="eastAsia" w:ascii="宋体" w:hAnsi="宋体" w:eastAsia="宋体" w:cs="宋体"/>
          <w:bCs/>
          <w:color w:val="auto"/>
          <w:sz w:val="24"/>
          <w:szCs w:val="24"/>
        </w:rPr>
        <w:t>要求的结构，为方便评标，</w:t>
      </w:r>
      <w:r>
        <w:rPr>
          <w:rFonts w:hint="eastAsia" w:ascii="宋体" w:hAnsi="宋体" w:eastAsia="宋体" w:cs="宋体"/>
          <w:bCs/>
          <w:color w:val="auto"/>
          <w:kern w:val="0"/>
          <w:sz w:val="24"/>
          <w:szCs w:val="24"/>
        </w:rPr>
        <w:t>按照招标文件</w:t>
      </w:r>
      <w:r>
        <w:rPr>
          <w:rFonts w:hint="eastAsia" w:ascii="宋体" w:hAnsi="宋体" w:eastAsia="宋体" w:cs="宋体"/>
          <w:bCs/>
          <w:color w:val="auto"/>
          <w:kern w:val="0"/>
          <w:sz w:val="24"/>
          <w:szCs w:val="24"/>
          <w:lang w:eastAsia="zh-CN"/>
        </w:rPr>
        <w:t>第六章格式</w:t>
      </w:r>
      <w:r>
        <w:rPr>
          <w:rFonts w:hint="eastAsia" w:ascii="宋体" w:hAnsi="宋体" w:eastAsia="宋体" w:cs="宋体"/>
          <w:bCs/>
          <w:color w:val="auto"/>
          <w:kern w:val="0"/>
          <w:sz w:val="24"/>
          <w:szCs w:val="24"/>
        </w:rPr>
        <w:t>要求逐项填写；无相应内容可填的项应填写“无</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未测试</w:t>
      </w:r>
      <w:r>
        <w:rPr>
          <w:rFonts w:hint="eastAsia" w:ascii="宋体" w:hAnsi="宋体" w:eastAsia="宋体" w:cs="宋体"/>
          <w:bCs/>
          <w:color w:val="auto"/>
          <w:kern w:val="0"/>
          <w:sz w:val="24"/>
          <w:szCs w:val="24"/>
          <w:lang w:eastAsia="zh-CN"/>
        </w:rPr>
        <w:t>”“</w:t>
      </w:r>
      <w:r>
        <w:rPr>
          <w:rFonts w:hint="eastAsia" w:ascii="宋体" w:hAnsi="宋体" w:eastAsia="宋体" w:cs="宋体"/>
          <w:bCs/>
          <w:color w:val="auto"/>
          <w:kern w:val="0"/>
          <w:sz w:val="24"/>
          <w:szCs w:val="24"/>
        </w:rPr>
        <w:t>没有相应指标”等明确的回答文字。</w:t>
      </w:r>
    </w:p>
    <w:p w14:paraId="5DE04AC5">
      <w:pPr>
        <w:pageBreakBefore w:val="0"/>
        <w:widowControl/>
        <w:tabs>
          <w:tab w:val="left" w:pos="567"/>
        </w:tabs>
        <w:kinsoku/>
        <w:wordWrap w:val="0"/>
        <w:overflowPunct w:val="0"/>
        <w:topLinePunct w:val="0"/>
        <w:bidi w:val="0"/>
        <w:snapToGrid w:val="0"/>
        <w:spacing w:line="420" w:lineRule="exact"/>
        <w:jc w:val="left"/>
        <w:rPr>
          <w:rFonts w:hint="eastAsia" w:ascii="宋体" w:hAnsi="宋体" w:eastAsia="宋体" w:cs="宋体"/>
          <w:color w:val="auto"/>
          <w:kern w:val="0"/>
          <w:sz w:val="24"/>
          <w:szCs w:val="24"/>
        </w:rPr>
      </w:pPr>
      <w:r>
        <w:rPr>
          <w:rFonts w:hint="eastAsia" w:ascii="宋体" w:hAnsi="宋体" w:eastAsia="宋体" w:cs="宋体"/>
          <w:bCs/>
          <w:color w:val="auto"/>
          <w:sz w:val="24"/>
          <w:szCs w:val="24"/>
        </w:rPr>
        <w:t xml:space="preserve">    （4）</w:t>
      </w:r>
      <w:r>
        <w:rPr>
          <w:rFonts w:hint="eastAsia" w:ascii="宋体" w:hAnsi="宋体" w:eastAsia="宋体" w:cs="宋体"/>
          <w:bCs/>
          <w:color w:val="auto"/>
          <w:kern w:val="0"/>
          <w:sz w:val="24"/>
          <w:szCs w:val="24"/>
        </w:rPr>
        <w:t>投标人必须保证投标文件所提供全部资料</w:t>
      </w:r>
      <w:r>
        <w:rPr>
          <w:rFonts w:hint="eastAsia" w:ascii="宋体" w:hAnsi="宋体" w:eastAsia="宋体" w:cs="宋体"/>
          <w:bCs/>
          <w:color w:val="auto"/>
          <w:kern w:val="0"/>
          <w:sz w:val="24"/>
          <w:szCs w:val="24"/>
          <w:lang w:val="en-US" w:eastAsia="zh-CN"/>
        </w:rPr>
        <w:t>的</w:t>
      </w:r>
      <w:r>
        <w:rPr>
          <w:rFonts w:hint="eastAsia" w:ascii="宋体" w:hAnsi="宋体" w:eastAsia="宋体" w:cs="宋体"/>
          <w:bCs/>
          <w:color w:val="auto"/>
          <w:kern w:val="0"/>
          <w:sz w:val="24"/>
          <w:szCs w:val="24"/>
        </w:rPr>
        <w:t>真实</w:t>
      </w:r>
      <w:r>
        <w:rPr>
          <w:rFonts w:hint="eastAsia" w:ascii="宋体" w:hAnsi="宋体" w:eastAsia="宋体" w:cs="宋体"/>
          <w:bCs/>
          <w:color w:val="auto"/>
          <w:kern w:val="0"/>
          <w:sz w:val="24"/>
          <w:szCs w:val="24"/>
          <w:lang w:val="en-US" w:eastAsia="zh-CN"/>
        </w:rPr>
        <w:t>性</w:t>
      </w:r>
      <w:r>
        <w:rPr>
          <w:rFonts w:hint="eastAsia" w:ascii="宋体" w:hAnsi="宋体" w:eastAsia="宋体" w:cs="宋体"/>
          <w:bCs/>
          <w:color w:val="auto"/>
          <w:kern w:val="0"/>
          <w:sz w:val="24"/>
          <w:szCs w:val="24"/>
        </w:rPr>
        <w:t>，并接受评标委员会对其中任何资料进一步审查的要求。</w:t>
      </w:r>
    </w:p>
    <w:p w14:paraId="535C1D99">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bCs/>
          <w:color w:val="auto"/>
          <w:sz w:val="24"/>
          <w:szCs w:val="24"/>
        </w:rPr>
        <w:t xml:space="preserve"> （5）投标人须注意：为合理节约评审成本，提倡诚实信用的投标行为，特别要求投标人应本着诚信精神，在本次投标文件的偏离表</w:t>
      </w:r>
      <w:r>
        <w:rPr>
          <w:rFonts w:hint="eastAsia" w:ascii="宋体" w:hAnsi="宋体" w:eastAsia="宋体" w:cs="宋体"/>
          <w:bCs/>
          <w:color w:val="auto"/>
          <w:sz w:val="24"/>
          <w:szCs w:val="24"/>
          <w:lang w:eastAsia="zh-CN"/>
        </w:rPr>
        <w:t>和其他</w:t>
      </w:r>
      <w:r>
        <w:rPr>
          <w:rFonts w:hint="eastAsia" w:ascii="宋体" w:hAnsi="宋体" w:eastAsia="宋体" w:cs="宋体"/>
          <w:bCs/>
          <w:color w:val="auto"/>
          <w:sz w:val="24"/>
          <w:szCs w:val="24"/>
        </w:rPr>
        <w:t>偏离文件中</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若本次招标</w:t>
      </w:r>
      <w:r>
        <w:rPr>
          <w:rFonts w:hint="eastAsia" w:ascii="宋体" w:hAnsi="宋体" w:eastAsia="宋体" w:cs="宋体"/>
          <w:color w:val="auto"/>
          <w:sz w:val="24"/>
          <w:szCs w:val="24"/>
        </w:rPr>
        <w:t>文件中没有提供偏离表</w:t>
      </w:r>
      <w:r>
        <w:rPr>
          <w:rFonts w:hint="eastAsia" w:ascii="宋体" w:hAnsi="宋体" w:eastAsia="宋体" w:cs="宋体"/>
          <w:color w:val="auto"/>
          <w:sz w:val="24"/>
          <w:szCs w:val="24"/>
          <w:lang w:eastAsia="zh-CN"/>
        </w:rPr>
        <w:t>或其他</w:t>
      </w:r>
      <w:r>
        <w:rPr>
          <w:rFonts w:hint="eastAsia" w:ascii="宋体" w:hAnsi="宋体" w:eastAsia="宋体" w:cs="宋体"/>
          <w:color w:val="auto"/>
          <w:sz w:val="24"/>
          <w:szCs w:val="24"/>
        </w:rPr>
        <w:t>偏离文件样本，投标人亦应当自制偏离表并装订于本次投标文件中，并应当在总目录及分目录上清楚</w:t>
      </w:r>
      <w:r>
        <w:rPr>
          <w:rFonts w:hint="eastAsia" w:ascii="宋体" w:hAnsi="宋体" w:eastAsia="宋体" w:cs="宋体"/>
          <w:color w:val="auto"/>
          <w:sz w:val="24"/>
          <w:szCs w:val="24"/>
          <w:lang w:eastAsia="zh-CN"/>
        </w:rPr>
        <w:t>标明</w:t>
      </w:r>
      <w:r>
        <w:rPr>
          <w:rFonts w:hint="eastAsia" w:ascii="宋体" w:hAnsi="宋体" w:eastAsia="宋体" w:cs="宋体"/>
          <w:color w:val="auto"/>
          <w:sz w:val="24"/>
          <w:szCs w:val="24"/>
        </w:rPr>
        <w:t>所在页数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审慎的态度明确、清楚地披露各项偏离。若投标人对某一事项是否存在或是否属于偏离不能确定，亦必须在偏离表中清楚地表明该偏离事项，并可以注明‘不能确定’的字样。任何情况下，对于投标人没有在偏离表中明确、清楚地披露的事项，包括可能属于被投标人在偏离表中遗漏的事项，一旦在评审中被发现存在负偏离或被认定为属于负偏离，则评委会有权视该条款是否为主要技术、商务条款而决定</w:t>
      </w:r>
      <w:r>
        <w:rPr>
          <w:rFonts w:hint="eastAsia" w:ascii="宋体" w:hAnsi="宋体" w:eastAsia="宋体" w:cs="宋体"/>
          <w:b/>
          <w:color w:val="auto"/>
          <w:sz w:val="24"/>
          <w:szCs w:val="24"/>
        </w:rPr>
        <w:t>是否对该投标予以拒绝</w:t>
      </w:r>
      <w:r>
        <w:rPr>
          <w:rFonts w:hint="eastAsia" w:ascii="宋体" w:hAnsi="宋体" w:eastAsia="宋体" w:cs="宋体"/>
          <w:color w:val="auto"/>
          <w:sz w:val="24"/>
          <w:szCs w:val="24"/>
        </w:rPr>
        <w:t>。</w:t>
      </w:r>
    </w:p>
    <w:p w14:paraId="690384C6">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根据《政府采购法》第四十二条的规定，投标人无论中标与否，其投标文件不予退还。</w:t>
      </w:r>
    </w:p>
    <w:p w14:paraId="6D4613CE">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投标人如有投标优惠，涉及价格的，应当直接在开标一览表的投标报价中给出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即投标报价中已包含价格折扣</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020F129B">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15.投标报价</w:t>
      </w:r>
    </w:p>
    <w:p w14:paraId="29DBDAC4">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15.1 投标人应按招标文件规定的服务要求、责任范围和合同条件进行报价。</w:t>
      </w:r>
    </w:p>
    <w:p w14:paraId="60569592">
      <w:pPr>
        <w:pageBreakBefore w:val="0"/>
        <w:tabs>
          <w:tab w:val="left" w:pos="0"/>
          <w:tab w:val="left" w:pos="7560"/>
          <w:tab w:val="left" w:pos="7740"/>
          <w:tab w:val="left" w:pos="7920"/>
        </w:tabs>
        <w:kinsoku/>
        <w:wordWrap w:val="0"/>
        <w:overflowPunct w:val="0"/>
        <w:topLinePunct w:val="0"/>
        <w:bidi w:val="0"/>
        <w:adjustRightInd w:val="0"/>
        <w:snapToGrid w:val="0"/>
        <w:spacing w:line="400" w:lineRule="exact"/>
        <w:ind w:right="17" w:rightChars="8"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投标人应按开标一览表的内容和格式要求填写各项货物及服务的分项价格和总价。投标总价中不得包含招标文件要求以外的内容，否则，在评标时不予核减。投标总价中也不得缺漏招标文件所要求的内容，否则，在评标时将其视为无效投标。</w:t>
      </w:r>
    </w:p>
    <w:p w14:paraId="7C41F230">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15.3除</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允许提交备选方案外，投标人对每种货物及服务只允许有一个报价，不接受选择性报价，否则，在评标时将其视为无效投标。</w:t>
      </w:r>
    </w:p>
    <w:p w14:paraId="2B58717A">
      <w:pPr>
        <w:pageBreakBefore w:val="0"/>
        <w:tabs>
          <w:tab w:val="left" w:pos="525"/>
          <w:tab w:val="left" w:pos="7560"/>
          <w:tab w:val="left" w:pos="8280"/>
        </w:tabs>
        <w:kinsoku/>
        <w:wordWrap w:val="0"/>
        <w:overflowPunct w:val="0"/>
        <w:topLinePunct w:val="0"/>
        <w:bidi w:val="0"/>
        <w:adjustRightInd w:val="0"/>
        <w:snapToGrid w:val="0"/>
        <w:spacing w:line="400" w:lineRule="exact"/>
        <w:ind w:right="31" w:rightChars="15"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15.4投标文件中标明的价格在合同执行过程中是固定不变的，不得以任何理由予以变更。任何包含价格调整要求和条件的投标，在评标时将其视为无效投标。</w:t>
      </w:r>
    </w:p>
    <w:p w14:paraId="424A5D4F">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15.5 投标人的投标报价应当直接在开标一览表的投标报价中</w:t>
      </w:r>
      <w:r>
        <w:rPr>
          <w:rFonts w:hint="eastAsia" w:ascii="宋体" w:hAnsi="宋体" w:eastAsia="宋体" w:cs="宋体"/>
          <w:color w:val="auto"/>
          <w:kern w:val="0"/>
          <w:sz w:val="24"/>
          <w:szCs w:val="24"/>
        </w:rPr>
        <w:t>显著处注明，只有开标时唱出的报价优惠承诺才会在评标时予以考虑。除报价优惠承诺外，任何超出招标文件要求等其他形式的优惠，在评标时将不作为价格折算的必备条件。</w:t>
      </w:r>
    </w:p>
    <w:p w14:paraId="6562F997">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15.6</w:t>
      </w:r>
      <w:r>
        <w:rPr>
          <w:rFonts w:hint="eastAsia" w:ascii="宋体" w:hAnsi="宋体" w:eastAsia="宋体" w:cs="宋体"/>
          <w:color w:val="auto"/>
          <w:kern w:val="0"/>
          <w:sz w:val="24"/>
          <w:szCs w:val="24"/>
        </w:rPr>
        <w:t>采用综合评</w:t>
      </w:r>
      <w:r>
        <w:rPr>
          <w:rFonts w:hint="eastAsia" w:ascii="宋体" w:hAnsi="宋体" w:eastAsia="宋体" w:cs="宋体"/>
          <w:color w:val="auto"/>
          <w:kern w:val="0"/>
          <w:sz w:val="24"/>
          <w:szCs w:val="24"/>
          <w:lang w:val="en-US" w:eastAsia="zh-CN"/>
        </w:rPr>
        <w:t>分</w:t>
      </w:r>
      <w:r>
        <w:rPr>
          <w:rFonts w:hint="eastAsia" w:ascii="宋体" w:hAnsi="宋体" w:eastAsia="宋体" w:cs="宋体"/>
          <w:color w:val="auto"/>
          <w:kern w:val="0"/>
          <w:sz w:val="24"/>
          <w:szCs w:val="24"/>
        </w:rPr>
        <w:t>法的，最低报价不能作为中标的保证。</w:t>
      </w:r>
    </w:p>
    <w:p w14:paraId="0D548DD6">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15.7采购预算金额见投标须知前附表。</w:t>
      </w:r>
    </w:p>
    <w:p w14:paraId="79701102">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16.备选方案</w:t>
      </w:r>
    </w:p>
    <w:p w14:paraId="45A62131">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16.1 除本章第15.3</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另有规定外，本采购项目不接受备选方案投标。</w:t>
      </w:r>
    </w:p>
    <w:p w14:paraId="02D9813A">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17.投标人的资格证明文件</w:t>
      </w:r>
    </w:p>
    <w:p w14:paraId="0F25C9C2">
      <w:pPr>
        <w:pageBreakBefore w:val="0"/>
        <w:kinsoku/>
        <w:wordWrap w:val="0"/>
        <w:overflowPunct w:val="0"/>
        <w:topLinePunct w:val="0"/>
        <w:bidi w:val="0"/>
        <w:adjustRightInd w:val="0"/>
        <w:snapToGrid w:val="0"/>
        <w:spacing w:line="400" w:lineRule="exact"/>
        <w:ind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本项目采用资格后审，开标结束后，由采购人或采购代理机构依法对投标人的</w:t>
      </w:r>
      <w:r>
        <w:rPr>
          <w:rFonts w:hint="eastAsia" w:ascii="宋体" w:hAnsi="宋体" w:eastAsia="宋体" w:cs="宋体"/>
          <w:b/>
          <w:bCs/>
          <w:color w:val="auto"/>
          <w:sz w:val="24"/>
          <w:szCs w:val="24"/>
          <w:lang w:val="en-US" w:eastAsia="zh-CN"/>
        </w:rPr>
        <w:t>信用、</w:t>
      </w:r>
      <w:r>
        <w:rPr>
          <w:rFonts w:hint="eastAsia" w:ascii="宋体" w:hAnsi="宋体" w:eastAsia="宋体" w:cs="宋体"/>
          <w:b/>
          <w:bCs/>
          <w:color w:val="auto"/>
          <w:sz w:val="24"/>
          <w:szCs w:val="24"/>
        </w:rPr>
        <w:t>资格进行审查，合格投标人不足3家的，不得评标。本项目资格审查资料如下：</w:t>
      </w:r>
    </w:p>
    <w:p w14:paraId="060455AF">
      <w:pPr>
        <w:pageBreakBefore w:val="0"/>
        <w:kinsoku/>
        <w:wordWrap w:val="0"/>
        <w:overflowPunct w:val="0"/>
        <w:topLinePunct w:val="0"/>
        <w:bidi w:val="0"/>
        <w:adjustRightInd w:val="0"/>
        <w:snapToGrid w:val="0"/>
        <w:spacing w:line="400" w:lineRule="exact"/>
        <w:ind w:firstLine="482" w:firstLineChars="200"/>
        <w:jc w:val="left"/>
        <w:rPr>
          <w:rFonts w:hint="eastAsia" w:ascii="宋体" w:hAnsi="宋体" w:eastAsia="宋体" w:cs="宋体"/>
          <w:b/>
          <w:bCs/>
          <w:color w:val="auto"/>
          <w:sz w:val="24"/>
          <w:szCs w:val="24"/>
        </w:rPr>
      </w:pPr>
    </w:p>
    <w:tbl>
      <w:tblPr>
        <w:tblStyle w:val="26"/>
        <w:tblpPr w:leftFromText="180" w:rightFromText="180" w:vertAnchor="text" w:horzAnchor="page" w:tblpXSpec="center" w:tblpY="175"/>
        <w:tblOverlap w:val="never"/>
        <w:tblW w:w="9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5017"/>
        <w:gridCol w:w="3724"/>
      </w:tblGrid>
      <w:tr w14:paraId="6877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92" w:type="dxa"/>
            <w:noWrap w:val="0"/>
            <w:vAlign w:val="top"/>
          </w:tcPr>
          <w:p w14:paraId="1EABAA08">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5017" w:type="dxa"/>
            <w:noWrap w:val="0"/>
            <w:vAlign w:val="top"/>
          </w:tcPr>
          <w:p w14:paraId="7B2AE1B1">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评审因素</w:t>
            </w:r>
          </w:p>
        </w:tc>
        <w:tc>
          <w:tcPr>
            <w:tcW w:w="3724" w:type="dxa"/>
            <w:noWrap w:val="0"/>
            <w:vAlign w:val="center"/>
          </w:tcPr>
          <w:p w14:paraId="05DF9E75">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评审标准</w:t>
            </w:r>
          </w:p>
        </w:tc>
      </w:tr>
      <w:tr w14:paraId="7C5C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49CFF4FF">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5017" w:type="dxa"/>
            <w:noWrap w:val="0"/>
            <w:vAlign w:val="center"/>
          </w:tcPr>
          <w:p w14:paraId="3240C2EC">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具有独立承担民事责任的能力</w:t>
            </w:r>
          </w:p>
        </w:tc>
        <w:tc>
          <w:tcPr>
            <w:tcW w:w="3724" w:type="dxa"/>
            <w:noWrap w:val="0"/>
            <w:vAlign w:val="center"/>
          </w:tcPr>
          <w:p w14:paraId="25B62F32">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投标人信用承诺书</w:t>
            </w:r>
          </w:p>
        </w:tc>
      </w:tr>
      <w:tr w14:paraId="64AA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760EEEBD">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5017" w:type="dxa"/>
            <w:noWrap w:val="0"/>
            <w:vAlign w:val="center"/>
          </w:tcPr>
          <w:p w14:paraId="4CF25F85">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具有良好的商业信誉和健全的财务会计制度</w:t>
            </w:r>
          </w:p>
        </w:tc>
        <w:tc>
          <w:tcPr>
            <w:tcW w:w="3724" w:type="dxa"/>
            <w:noWrap w:val="0"/>
            <w:vAlign w:val="center"/>
          </w:tcPr>
          <w:p w14:paraId="44498725">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投标人信用承诺书</w:t>
            </w:r>
          </w:p>
        </w:tc>
      </w:tr>
      <w:tr w14:paraId="7F6D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6EDA8ECB">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5017" w:type="dxa"/>
            <w:noWrap w:val="0"/>
            <w:vAlign w:val="center"/>
          </w:tcPr>
          <w:p w14:paraId="30E1BC92">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具有履行合同所必需的设备和专业技术能力</w:t>
            </w:r>
          </w:p>
        </w:tc>
        <w:tc>
          <w:tcPr>
            <w:tcW w:w="3724" w:type="dxa"/>
            <w:noWrap w:val="0"/>
            <w:vAlign w:val="center"/>
          </w:tcPr>
          <w:p w14:paraId="7B34BAA2">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投标人信用承诺书</w:t>
            </w:r>
          </w:p>
        </w:tc>
      </w:tr>
      <w:tr w14:paraId="1763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7ECAF897">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5017" w:type="dxa"/>
            <w:noWrap w:val="0"/>
            <w:vAlign w:val="center"/>
          </w:tcPr>
          <w:p w14:paraId="7B35F23D">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有依法缴纳税收和社会保障资金的良好记录</w:t>
            </w:r>
          </w:p>
        </w:tc>
        <w:tc>
          <w:tcPr>
            <w:tcW w:w="3724" w:type="dxa"/>
            <w:noWrap w:val="0"/>
            <w:vAlign w:val="center"/>
          </w:tcPr>
          <w:p w14:paraId="1DDEA8E3">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投标人信用承诺书</w:t>
            </w:r>
          </w:p>
        </w:tc>
      </w:tr>
      <w:tr w14:paraId="6869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02E6743C">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5017" w:type="dxa"/>
            <w:noWrap w:val="0"/>
            <w:vAlign w:val="center"/>
          </w:tcPr>
          <w:p w14:paraId="15CC8B2B">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参加政府采购活动前三年内，在经营活动中没有重大违法记录</w:t>
            </w:r>
          </w:p>
        </w:tc>
        <w:tc>
          <w:tcPr>
            <w:tcW w:w="3724" w:type="dxa"/>
            <w:noWrap w:val="0"/>
            <w:vAlign w:val="center"/>
          </w:tcPr>
          <w:p w14:paraId="4198AF8B">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eastAsia="zh-CN"/>
              </w:rPr>
              <w:t>投标人信用承诺书</w:t>
            </w:r>
          </w:p>
        </w:tc>
      </w:tr>
      <w:tr w14:paraId="2B5A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2F659928">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5017" w:type="dxa"/>
            <w:noWrap w:val="0"/>
            <w:vAlign w:val="center"/>
          </w:tcPr>
          <w:p w14:paraId="4F650829">
            <w:pPr>
              <w:pageBreakBefore w:val="0"/>
              <w:kinsoku/>
              <w:wordWrap w:val="0"/>
              <w:overflowPunct w:val="0"/>
              <w:topLinePunct w:val="0"/>
              <w:bidi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若为法人须附法定代表人身份证明书；若为授权委托代理人需提供法定代表人身份证明书、法定代表人授权委托书、法人身份证及被授权人的身份证</w:t>
            </w:r>
          </w:p>
        </w:tc>
        <w:tc>
          <w:tcPr>
            <w:tcW w:w="3724" w:type="dxa"/>
            <w:noWrap w:val="0"/>
            <w:vAlign w:val="center"/>
          </w:tcPr>
          <w:p w14:paraId="3AA9D0A6">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符合招标文件要求</w:t>
            </w:r>
          </w:p>
        </w:tc>
      </w:tr>
      <w:tr w14:paraId="7FDD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0E6DB2B9">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5017" w:type="dxa"/>
            <w:noWrap w:val="0"/>
            <w:vAlign w:val="center"/>
          </w:tcPr>
          <w:p w14:paraId="471A251F">
            <w:pPr>
              <w:pageBreakBefore w:val="0"/>
              <w:kinsoku/>
              <w:wordWrap w:val="0"/>
              <w:overflowPunct w:val="0"/>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投标函</w:t>
            </w:r>
          </w:p>
        </w:tc>
        <w:tc>
          <w:tcPr>
            <w:tcW w:w="3724" w:type="dxa"/>
            <w:noWrap w:val="0"/>
            <w:vAlign w:val="center"/>
          </w:tcPr>
          <w:p w14:paraId="6847E37F">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符合招标文件要求</w:t>
            </w:r>
          </w:p>
        </w:tc>
      </w:tr>
      <w:tr w14:paraId="7D37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92" w:type="dxa"/>
            <w:noWrap w:val="0"/>
            <w:vAlign w:val="center"/>
          </w:tcPr>
          <w:p w14:paraId="41C1FDCC">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p>
        </w:tc>
        <w:tc>
          <w:tcPr>
            <w:tcW w:w="5017" w:type="dxa"/>
            <w:noWrap w:val="0"/>
            <w:vAlign w:val="center"/>
          </w:tcPr>
          <w:p w14:paraId="4383809B">
            <w:pPr>
              <w:pageBreakBefore w:val="0"/>
              <w:kinsoku/>
              <w:wordWrap w:val="0"/>
              <w:overflowPunct w:val="0"/>
              <w:topLinePunct w:val="0"/>
              <w:bidi w:val="0"/>
              <w:rPr>
                <w:rFonts w:hint="eastAsia" w:ascii="宋体" w:hAnsi="宋体" w:eastAsia="宋体" w:cs="宋体"/>
                <w:color w:val="auto"/>
                <w:sz w:val="24"/>
                <w:szCs w:val="24"/>
              </w:rPr>
            </w:pPr>
            <w:r>
              <w:rPr>
                <w:rFonts w:hint="eastAsia" w:ascii="宋体" w:hAnsi="宋体" w:eastAsia="宋体" w:cs="宋体"/>
                <w:color w:val="auto"/>
                <w:sz w:val="24"/>
                <w:szCs w:val="24"/>
              </w:rPr>
              <w:t>营业执照</w:t>
            </w:r>
          </w:p>
        </w:tc>
        <w:tc>
          <w:tcPr>
            <w:tcW w:w="3724" w:type="dxa"/>
            <w:noWrap w:val="0"/>
            <w:vAlign w:val="center"/>
          </w:tcPr>
          <w:p w14:paraId="3A4F4F6A">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具备有效的营业执照</w:t>
            </w:r>
          </w:p>
        </w:tc>
      </w:tr>
      <w:tr w14:paraId="23A9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92" w:type="dxa"/>
            <w:noWrap w:val="0"/>
            <w:vAlign w:val="center"/>
          </w:tcPr>
          <w:p w14:paraId="4E23182F">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w:t>
            </w:r>
          </w:p>
        </w:tc>
        <w:tc>
          <w:tcPr>
            <w:tcW w:w="5017" w:type="dxa"/>
            <w:noWrap w:val="0"/>
            <w:vAlign w:val="center"/>
          </w:tcPr>
          <w:p w14:paraId="02448144">
            <w:pPr>
              <w:pageBreakBefore w:val="0"/>
              <w:kinsoku/>
              <w:wordWrap w:val="0"/>
              <w:overflowPunct w:val="0"/>
              <w:topLinePunct w:val="0"/>
              <w:bidi w:val="0"/>
              <w:rPr>
                <w:rFonts w:hint="eastAsia" w:ascii="宋体" w:hAnsi="宋体" w:eastAsia="宋体" w:cs="宋体"/>
                <w:color w:val="auto"/>
                <w:sz w:val="24"/>
                <w:szCs w:val="24"/>
              </w:rPr>
            </w:pPr>
            <w:r>
              <w:rPr>
                <w:rFonts w:hint="eastAsia" w:ascii="宋体" w:hAnsi="宋体" w:eastAsia="宋体" w:cs="宋体"/>
                <w:color w:val="auto"/>
                <w:sz w:val="24"/>
                <w:szCs w:val="24"/>
              </w:rPr>
              <w:t>银行基本账户开户许可证或基本存款账户信息</w:t>
            </w:r>
          </w:p>
        </w:tc>
        <w:tc>
          <w:tcPr>
            <w:tcW w:w="3724" w:type="dxa"/>
            <w:noWrap w:val="0"/>
            <w:vAlign w:val="center"/>
          </w:tcPr>
          <w:p w14:paraId="16D44CD2">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具备有效的开户许可证或基本存款账户信息</w:t>
            </w:r>
          </w:p>
        </w:tc>
      </w:tr>
      <w:tr w14:paraId="3233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92" w:type="dxa"/>
            <w:noWrap w:val="0"/>
            <w:vAlign w:val="center"/>
          </w:tcPr>
          <w:p w14:paraId="133A44D8">
            <w:pPr>
              <w:pageBreakBefore w:val="0"/>
              <w:kinsoku/>
              <w:wordWrap w:val="0"/>
              <w:overflowPunct w:val="0"/>
              <w:topLinePunct w:val="0"/>
              <w:bidi w:val="0"/>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w:t>
            </w:r>
          </w:p>
        </w:tc>
        <w:tc>
          <w:tcPr>
            <w:tcW w:w="5017" w:type="dxa"/>
            <w:noWrap w:val="0"/>
            <w:vAlign w:val="center"/>
          </w:tcPr>
          <w:p w14:paraId="6CF528C1">
            <w:pPr>
              <w:pageBreakBefore w:val="0"/>
              <w:kinsoku/>
              <w:wordWrap w:val="0"/>
              <w:overflowPunct w:val="0"/>
              <w:topLinePunct w:val="0"/>
              <w:bidi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投标保证金</w:t>
            </w:r>
            <w:r>
              <w:rPr>
                <w:rFonts w:hint="eastAsia" w:ascii="宋体" w:hAnsi="宋体" w:eastAsia="宋体" w:cs="宋体"/>
                <w:color w:val="auto"/>
                <w:sz w:val="24"/>
                <w:szCs w:val="24"/>
                <w:lang w:eastAsia="zh-CN"/>
              </w:rPr>
              <w:t>缴纳凭证</w:t>
            </w:r>
          </w:p>
        </w:tc>
        <w:tc>
          <w:tcPr>
            <w:tcW w:w="3724" w:type="dxa"/>
            <w:noWrap w:val="0"/>
            <w:vAlign w:val="center"/>
          </w:tcPr>
          <w:p w14:paraId="23FDDE74">
            <w:pPr>
              <w:pageBreakBefore w:val="0"/>
              <w:kinsoku/>
              <w:wordWrap w:val="0"/>
              <w:overflowPunct w:val="0"/>
              <w:topLinePunct w:val="0"/>
              <w:bidi w:val="0"/>
              <w:spacing w:line="400" w:lineRule="exac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符合招标文件要求</w:t>
            </w:r>
          </w:p>
        </w:tc>
      </w:tr>
      <w:tr w14:paraId="093C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92" w:type="dxa"/>
            <w:noWrap w:val="0"/>
            <w:vAlign w:val="center"/>
          </w:tcPr>
          <w:p w14:paraId="5AEECF07">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5017" w:type="dxa"/>
            <w:noWrap w:val="0"/>
            <w:vAlign w:val="center"/>
          </w:tcPr>
          <w:p w14:paraId="3164FAC3">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投标人自行承诺企业、法定代表人有无行贿犯罪行为（格式自拟），并对其真实性负责</w:t>
            </w:r>
          </w:p>
        </w:tc>
        <w:tc>
          <w:tcPr>
            <w:tcW w:w="3724" w:type="dxa"/>
            <w:noWrap w:val="0"/>
            <w:vAlign w:val="center"/>
          </w:tcPr>
          <w:p w14:paraId="0FE82739">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符合招标文件要求</w:t>
            </w:r>
          </w:p>
        </w:tc>
      </w:tr>
      <w:tr w14:paraId="0D59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92" w:type="dxa"/>
            <w:noWrap w:val="0"/>
            <w:vAlign w:val="center"/>
          </w:tcPr>
          <w:p w14:paraId="2D90CA24">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5017" w:type="dxa"/>
            <w:noWrap w:val="0"/>
            <w:vAlign w:val="center"/>
          </w:tcPr>
          <w:p w14:paraId="6148AFF1">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诚信投标承诺书</w:t>
            </w:r>
          </w:p>
        </w:tc>
        <w:tc>
          <w:tcPr>
            <w:tcW w:w="3724" w:type="dxa"/>
            <w:noWrap w:val="0"/>
            <w:vAlign w:val="center"/>
          </w:tcPr>
          <w:p w14:paraId="2A57FD9D">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符合招标文件要求</w:t>
            </w:r>
          </w:p>
        </w:tc>
      </w:tr>
      <w:tr w14:paraId="0A03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92" w:type="dxa"/>
            <w:shd w:val="clear" w:color="auto" w:fill="auto"/>
            <w:noWrap w:val="0"/>
            <w:vAlign w:val="center"/>
          </w:tcPr>
          <w:p w14:paraId="14F853F1">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5017" w:type="dxa"/>
            <w:shd w:val="clear" w:color="auto" w:fill="auto"/>
            <w:noWrap w:val="0"/>
            <w:vAlign w:val="center"/>
          </w:tcPr>
          <w:p w14:paraId="0C1664F1">
            <w:pPr>
              <w:pageBreakBefore w:val="0"/>
              <w:kinsoku/>
              <w:wordWrap w:val="0"/>
              <w:overflowPunct w:val="0"/>
              <w:topLinePunct w:val="0"/>
              <w:bidi w:val="0"/>
              <w:spacing w:line="400" w:lineRule="exact"/>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供应商应为中小企业</w:t>
            </w:r>
          </w:p>
        </w:tc>
        <w:tc>
          <w:tcPr>
            <w:tcW w:w="3724" w:type="dxa"/>
            <w:shd w:val="clear" w:color="auto" w:fill="auto"/>
            <w:noWrap w:val="0"/>
            <w:vAlign w:val="center"/>
          </w:tcPr>
          <w:p w14:paraId="45A63861">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请根据要求单独上传《中小企业声明函》格式以招标文件要求为准。</w:t>
            </w:r>
          </w:p>
        </w:tc>
      </w:tr>
    </w:tbl>
    <w:p w14:paraId="5D386A09">
      <w:pPr>
        <w:pageBreakBefore w:val="0"/>
        <w:kinsoku/>
        <w:wordWrap w:val="0"/>
        <w:overflowPunct w:val="0"/>
        <w:topLinePunct w:val="0"/>
        <w:bidi w:val="0"/>
        <w:adjustRightInd w:val="0"/>
        <w:snapToGrid w:val="0"/>
        <w:spacing w:line="400" w:lineRule="exact"/>
        <w:jc w:val="left"/>
        <w:rPr>
          <w:rFonts w:hint="eastAsia" w:ascii="宋体" w:hAnsi="宋体" w:eastAsia="宋体" w:cs="宋体"/>
          <w:color w:val="auto"/>
        </w:rPr>
      </w:pPr>
      <w:r>
        <w:rPr>
          <w:rFonts w:hint="eastAsia" w:ascii="宋体" w:hAnsi="宋体" w:eastAsia="宋体" w:cs="宋体"/>
          <w:b/>
          <w:bCs/>
          <w:color w:val="auto"/>
          <w:sz w:val="24"/>
          <w:szCs w:val="24"/>
        </w:rPr>
        <w:t>18.投标保证金</w:t>
      </w:r>
    </w:p>
    <w:p w14:paraId="72EEA9BA">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18.1</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规定交纳</w:t>
      </w:r>
      <w:r>
        <w:rPr>
          <w:rFonts w:hint="eastAsia" w:ascii="宋体" w:hAnsi="宋体" w:eastAsia="宋体" w:cs="宋体"/>
          <w:bCs/>
          <w:color w:val="auto"/>
          <w:sz w:val="24"/>
          <w:szCs w:val="24"/>
        </w:rPr>
        <w:t>投标保证金的</w:t>
      </w:r>
      <w:r>
        <w:rPr>
          <w:rFonts w:hint="eastAsia" w:ascii="宋体" w:hAnsi="宋体" w:eastAsia="宋体" w:cs="宋体"/>
          <w:color w:val="auto"/>
          <w:sz w:val="24"/>
          <w:szCs w:val="24"/>
        </w:rPr>
        <w:t>，投标人应</w:t>
      </w:r>
      <w:r>
        <w:rPr>
          <w:rFonts w:hint="eastAsia" w:ascii="宋体" w:hAnsi="宋体" w:eastAsia="宋体" w:cs="宋体"/>
          <w:bCs/>
          <w:color w:val="auto"/>
          <w:sz w:val="24"/>
          <w:szCs w:val="24"/>
        </w:rPr>
        <w:t>在</w:t>
      </w:r>
      <w:r>
        <w:rPr>
          <w:rFonts w:hint="eastAsia" w:ascii="宋体" w:hAnsi="宋体" w:eastAsia="宋体" w:cs="宋体"/>
          <w:color w:val="auto"/>
          <w:sz w:val="24"/>
          <w:szCs w:val="24"/>
        </w:rPr>
        <w:t>本章规定的</w:t>
      </w:r>
      <w:r>
        <w:rPr>
          <w:rFonts w:hint="eastAsia" w:ascii="宋体" w:hAnsi="宋体" w:eastAsia="宋体" w:cs="宋体"/>
          <w:bCs/>
          <w:color w:val="auto"/>
          <w:sz w:val="24"/>
          <w:szCs w:val="24"/>
        </w:rPr>
        <w:t>投标截止时间前，按前附表规定的金额、账户交纳投标保证金</w:t>
      </w:r>
      <w:r>
        <w:rPr>
          <w:rFonts w:hint="eastAsia" w:ascii="宋体" w:hAnsi="宋体" w:eastAsia="宋体" w:cs="宋体"/>
          <w:color w:val="auto"/>
          <w:sz w:val="24"/>
          <w:szCs w:val="24"/>
        </w:rPr>
        <w:t>。</w:t>
      </w:r>
      <w:r>
        <w:rPr>
          <w:rFonts w:hint="eastAsia" w:ascii="宋体" w:hAnsi="宋体" w:eastAsia="宋体" w:cs="宋体"/>
          <w:bCs/>
          <w:color w:val="auto"/>
          <w:sz w:val="24"/>
          <w:szCs w:val="24"/>
        </w:rPr>
        <w:t>投标保证金有效期应与</w:t>
      </w:r>
      <w:r>
        <w:rPr>
          <w:rFonts w:hint="eastAsia" w:ascii="宋体" w:hAnsi="宋体" w:eastAsia="宋体" w:cs="宋体"/>
          <w:color w:val="auto"/>
          <w:sz w:val="24"/>
          <w:szCs w:val="24"/>
        </w:rPr>
        <w:t>本章第19.1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规定</w:t>
      </w:r>
      <w:r>
        <w:rPr>
          <w:rFonts w:hint="eastAsia" w:ascii="宋体" w:hAnsi="宋体" w:eastAsia="宋体" w:cs="宋体"/>
          <w:bCs/>
          <w:color w:val="auto"/>
          <w:sz w:val="24"/>
          <w:szCs w:val="24"/>
        </w:rPr>
        <w:t>的投标有效期一致。投标人</w:t>
      </w:r>
      <w:r>
        <w:rPr>
          <w:rFonts w:hint="eastAsia" w:ascii="宋体" w:hAnsi="宋体" w:eastAsia="宋体" w:cs="宋体"/>
          <w:color w:val="auto"/>
          <w:sz w:val="24"/>
          <w:szCs w:val="24"/>
        </w:rPr>
        <w:t>未按照招标文件要求提交投标保证金的，</w:t>
      </w:r>
      <w:r>
        <w:rPr>
          <w:rFonts w:hint="eastAsia" w:ascii="宋体" w:hAnsi="宋体" w:eastAsia="宋体" w:cs="宋体"/>
          <w:bCs/>
          <w:color w:val="auto"/>
          <w:sz w:val="24"/>
          <w:szCs w:val="24"/>
        </w:rPr>
        <w:t>采购代理机构</w:t>
      </w:r>
      <w:r>
        <w:rPr>
          <w:rFonts w:hint="eastAsia" w:ascii="宋体" w:hAnsi="宋体" w:eastAsia="宋体" w:cs="宋体"/>
          <w:color w:val="auto"/>
          <w:sz w:val="24"/>
          <w:szCs w:val="24"/>
        </w:rPr>
        <w:t>应当拒绝接收投标人的投标文件或评标委员会在评标时将其视为无效投标。</w:t>
      </w:r>
    </w:p>
    <w:p w14:paraId="09C8D13E">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18.2 未中标的投标人的投标保证金，将在中标通知书发出之日起五个工作日内退还。</w:t>
      </w:r>
    </w:p>
    <w:p w14:paraId="5F62A4C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18.3中标的投标人的投标保证金，将在政府采购合同签订之日起五个工作日内无息退还。</w:t>
      </w:r>
    </w:p>
    <w:p w14:paraId="21B79301">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18.4有以下情形之一的，投标保证金将不予退还：</w:t>
      </w:r>
    </w:p>
    <w:p w14:paraId="48912D0D">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（1）投标人在本章第19.1</w:t>
      </w:r>
      <w:r>
        <w:rPr>
          <w:rFonts w:hint="eastAsia" w:ascii="宋体" w:hAnsi="宋体" w:eastAsia="宋体" w:cs="宋体"/>
          <w:color w:val="auto"/>
          <w:kern w:val="0"/>
          <w:sz w:val="24"/>
          <w:szCs w:val="24"/>
          <w:lang w:val="zh-CN"/>
        </w:rPr>
        <w:t>款</w:t>
      </w:r>
      <w:r>
        <w:rPr>
          <w:rFonts w:hint="eastAsia" w:ascii="宋体" w:hAnsi="宋体" w:eastAsia="宋体" w:cs="宋体"/>
          <w:bCs/>
          <w:color w:val="auto"/>
          <w:sz w:val="24"/>
          <w:szCs w:val="24"/>
        </w:rPr>
        <w:t>规定的</w:t>
      </w:r>
      <w:r>
        <w:rPr>
          <w:rFonts w:hint="eastAsia" w:ascii="宋体" w:hAnsi="宋体" w:eastAsia="宋体" w:cs="宋体"/>
          <w:color w:val="auto"/>
          <w:sz w:val="24"/>
          <w:szCs w:val="24"/>
        </w:rPr>
        <w:t xml:space="preserve">投标有效期内撤回或修改投标文件； </w:t>
      </w:r>
    </w:p>
    <w:p w14:paraId="5EB22982">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（2）有《政府采购货物和服务招标投标管理办法》第七十五条情形之一。</w:t>
      </w:r>
    </w:p>
    <w:p w14:paraId="7C874BB2">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19.投标有效期</w:t>
      </w:r>
    </w:p>
    <w:p w14:paraId="0383751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19.1投标有效期见</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，在此期间投标文件对投标人具有法律约束力，以保证采购人有足够的时间完成评标、定标以及签订合同。投标有效期从本章第11.1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规定的投标截止之日起计算。投标有效期不足的，在评标时将其视为无效投标。</w:t>
      </w:r>
    </w:p>
    <w:p w14:paraId="24D5896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19.2 特殊情况需延长投标有效期的，采购代理机构可于投标有效期届满之前，要求投标人同意延长有效期，采购代理机构的要求与投标人的答复均应为书面形式。投标人拒绝延长的，其投标在原投标</w:t>
      </w:r>
      <w:r>
        <w:rPr>
          <w:rFonts w:hint="eastAsia" w:ascii="宋体" w:hAnsi="宋体" w:eastAsia="宋体" w:cs="宋体"/>
          <w:color w:val="auto"/>
          <w:sz w:val="24"/>
          <w:szCs w:val="24"/>
          <w:lang w:eastAsia="zh-CN"/>
        </w:rPr>
        <w:t>有效期</w:t>
      </w:r>
      <w:r>
        <w:rPr>
          <w:rFonts w:hint="eastAsia" w:ascii="宋体" w:hAnsi="宋体" w:eastAsia="宋体" w:cs="宋体"/>
          <w:color w:val="auto"/>
          <w:sz w:val="24"/>
          <w:szCs w:val="24"/>
        </w:rPr>
        <w:t>届满后将不再有效，但有权收回其投标保证金；投标人同意延长的，应相应延长其投标保证金的有效期，但不允许修改或撤回投标文件。</w:t>
      </w:r>
    </w:p>
    <w:p w14:paraId="3A711A8B">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20.投标文件的</w:t>
      </w:r>
      <w:r>
        <w:rPr>
          <w:rFonts w:hint="eastAsia" w:ascii="宋体" w:hAnsi="宋体" w:eastAsia="宋体" w:cs="宋体"/>
          <w:b/>
          <w:bCs/>
          <w:color w:val="auto"/>
          <w:sz w:val="24"/>
          <w:szCs w:val="24"/>
          <w:lang w:val="en-US" w:eastAsia="zh-CN"/>
        </w:rPr>
        <w:t>制作</w:t>
      </w:r>
    </w:p>
    <w:p w14:paraId="54522F62">
      <w:pPr>
        <w:pageBreakBefore w:val="0"/>
        <w:widowControl/>
        <w:tabs>
          <w:tab w:val="left" w:pos="567"/>
        </w:tabs>
        <w:kinsoku/>
        <w:wordWrap w:val="0"/>
        <w:overflowPunct w:val="0"/>
        <w:topLinePunct w:val="0"/>
        <w:bidi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投标文件应字迹清楚、内容齐全。投标文件中的任何行间插字、涂改和增删，改动之处应加盖单位章或由投标人的法定代表人或其授权的代理人签字确认。不按上述要求盖章和签字的，在评标时将其视为无效投标。</w:t>
      </w:r>
    </w:p>
    <w:p w14:paraId="0F7D7889">
      <w:pPr>
        <w:pageBreakBefore w:val="0"/>
        <w:widowControl/>
        <w:tabs>
          <w:tab w:val="left" w:pos="567"/>
        </w:tabs>
        <w:kinsoku/>
        <w:wordWrap w:val="0"/>
        <w:overflowPunct w:val="0"/>
        <w:topLinePunct w:val="0"/>
        <w:bidi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因投标文件字迹潦草或表达不清所引起的不利后果由投标人承担。</w:t>
      </w:r>
    </w:p>
    <w:p w14:paraId="73F2BD09">
      <w:pPr>
        <w:pageBreakBefore w:val="0"/>
        <w:widowControl/>
        <w:tabs>
          <w:tab w:val="left" w:pos="567"/>
        </w:tabs>
        <w:kinsoku/>
        <w:wordWrap w:val="0"/>
        <w:overflowPunct w:val="0"/>
        <w:topLinePunct w:val="0"/>
        <w:bidi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投标人在投标文件及相关文件的签订、履行、通知等事项的书面文件中的“单位盖章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印章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公章”等处均仅指与当事人全称相一致的标准公章，不得</w:t>
      </w:r>
      <w:r>
        <w:rPr>
          <w:rFonts w:hint="eastAsia" w:ascii="宋体" w:hAnsi="宋体" w:eastAsia="宋体" w:cs="宋体"/>
          <w:color w:val="auto"/>
          <w:sz w:val="24"/>
          <w:szCs w:val="24"/>
          <w:lang w:eastAsia="zh-CN"/>
        </w:rPr>
        <w:t>使用其他</w:t>
      </w:r>
      <w:r>
        <w:rPr>
          <w:rFonts w:hint="eastAsia" w:ascii="宋体" w:hAnsi="宋体" w:eastAsia="宋体" w:cs="宋体"/>
          <w:color w:val="auto"/>
          <w:sz w:val="24"/>
          <w:szCs w:val="24"/>
        </w:rPr>
        <w:t>（如带有“专用章”等字样）的印章。</w:t>
      </w:r>
    </w:p>
    <w:p w14:paraId="793626E6">
      <w:pPr>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四、投标文件的递交</w:t>
      </w:r>
    </w:p>
    <w:p w14:paraId="5B621F6C">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.投标文件的递交</w:t>
      </w:r>
    </w:p>
    <w:p w14:paraId="30CF05D0">
      <w:pPr>
        <w:pageBreakBefore w:val="0"/>
        <w:kinsoku/>
        <w:wordWrap w:val="0"/>
        <w:overflowPunct w:val="0"/>
        <w:topLinePunct w:val="0"/>
        <w:bidi w:val="0"/>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1本项目开标方式为远程不见面开标，各投标人应</w:t>
      </w:r>
      <w:r>
        <w:rPr>
          <w:rFonts w:hint="eastAsia" w:ascii="宋体" w:hAnsi="宋体" w:eastAsia="宋体" w:cs="宋体"/>
          <w:b/>
          <w:bCs/>
          <w:color w:val="auto"/>
          <w:sz w:val="24"/>
          <w:szCs w:val="24"/>
          <w:lang w:val="en-US" w:eastAsia="zh-CN"/>
        </w:rPr>
        <w:t>通过山西省政府采购网下载电子投标文件制作工具进行制作，</w:t>
      </w:r>
      <w:r>
        <w:rPr>
          <w:rFonts w:hint="eastAsia" w:ascii="宋体" w:hAnsi="宋体" w:eastAsia="宋体" w:cs="宋体"/>
          <w:b/>
          <w:bCs/>
          <w:color w:val="auto"/>
          <w:sz w:val="24"/>
          <w:highlight w:val="none"/>
          <w:lang w:val="en-US" w:eastAsia="zh-CN"/>
        </w:rPr>
        <w:t>按照采购文件要求进行签章和加密，并在开标时使用制作电子版投标文件的CA数字证书进行解密操作。无法解密所产生的后果由投标人（供应商）自行承担。</w:t>
      </w:r>
    </w:p>
    <w:p w14:paraId="7D5636A9">
      <w:pPr>
        <w:pageBreakBefore w:val="0"/>
        <w:kinsoku/>
        <w:wordWrap w:val="0"/>
        <w:overflowPunct w:val="0"/>
        <w:topLinePunct w:val="0"/>
        <w:bidi w:val="0"/>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未上传电子投标文件</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，采购人不予受理。</w:t>
      </w:r>
    </w:p>
    <w:p w14:paraId="42C81D41">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.投标文件的修改和撤回</w:t>
      </w:r>
    </w:p>
    <w:p w14:paraId="45F0A7A0">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.1在</w:t>
      </w:r>
      <w:r>
        <w:rPr>
          <w:rFonts w:hint="eastAsia" w:ascii="宋体" w:hAnsi="宋体" w:eastAsia="宋体" w:cs="宋体"/>
          <w:color w:val="auto"/>
          <w:sz w:val="24"/>
          <w:szCs w:val="24"/>
          <w:lang w:val="en-US" w:eastAsia="zh-CN"/>
        </w:rPr>
        <w:t>前附表</w:t>
      </w:r>
      <w:r>
        <w:rPr>
          <w:rFonts w:hint="eastAsia" w:ascii="宋体" w:hAnsi="宋体" w:eastAsia="宋体" w:cs="宋体"/>
          <w:color w:val="auto"/>
          <w:sz w:val="24"/>
          <w:szCs w:val="24"/>
        </w:rPr>
        <w:t>规定的投标截止时间前，投标人可以修改、补充或撤回</w:t>
      </w:r>
      <w:r>
        <w:rPr>
          <w:rFonts w:hint="eastAsia" w:ascii="宋体" w:hAnsi="宋体" w:eastAsia="宋体" w:cs="宋体"/>
          <w:color w:val="auto"/>
          <w:sz w:val="24"/>
          <w:szCs w:val="24"/>
          <w:lang w:eastAsia="zh-CN"/>
        </w:rPr>
        <w:t>已</w:t>
      </w:r>
      <w:r>
        <w:rPr>
          <w:rFonts w:hint="eastAsia" w:ascii="宋体" w:hAnsi="宋体" w:eastAsia="宋体" w:cs="宋体"/>
          <w:color w:val="auto"/>
          <w:sz w:val="24"/>
          <w:szCs w:val="24"/>
        </w:rPr>
        <w:t>递交的投标文件。</w:t>
      </w:r>
      <w:r>
        <w:rPr>
          <w:rFonts w:hint="eastAsia" w:ascii="宋体" w:hAnsi="宋体" w:eastAsia="宋体" w:cs="宋体"/>
          <w:color w:val="auto"/>
          <w:kern w:val="0"/>
          <w:sz w:val="24"/>
          <w:szCs w:val="24"/>
        </w:rPr>
        <w:t>在投标截止时间之后，投标人不得对其投标文件进行补充、修改或撤回。</w:t>
      </w:r>
    </w:p>
    <w:p w14:paraId="55EAC1DB">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.2修改、补充的内容为投标文件的组成部分。修改、补充的投标文件应按本章第</w:t>
      </w:r>
      <w:r>
        <w:rPr>
          <w:rFonts w:hint="eastAsia" w:ascii="宋体" w:hAnsi="宋体" w:eastAsia="宋体" w:cs="宋体"/>
          <w:bCs/>
          <w:color w:val="auto"/>
          <w:sz w:val="24"/>
          <w:szCs w:val="24"/>
        </w:rPr>
        <w:t>21、22、23项</w:t>
      </w:r>
      <w:r>
        <w:rPr>
          <w:rFonts w:hint="eastAsia" w:ascii="宋体" w:hAnsi="宋体" w:eastAsia="宋体" w:cs="宋体"/>
          <w:color w:val="auto"/>
          <w:sz w:val="24"/>
          <w:szCs w:val="24"/>
        </w:rPr>
        <w:t>规定编制、</w:t>
      </w:r>
      <w:r>
        <w:rPr>
          <w:rFonts w:hint="eastAsia" w:ascii="宋体" w:hAnsi="宋体" w:eastAsia="宋体" w:cs="宋体"/>
          <w:bCs/>
          <w:color w:val="auto"/>
          <w:sz w:val="24"/>
          <w:szCs w:val="24"/>
        </w:rPr>
        <w:t>签署、</w:t>
      </w:r>
      <w:r>
        <w:rPr>
          <w:rFonts w:hint="eastAsia" w:ascii="宋体" w:hAnsi="宋体" w:eastAsia="宋体" w:cs="宋体"/>
          <w:color w:val="auto"/>
          <w:sz w:val="24"/>
          <w:szCs w:val="24"/>
        </w:rPr>
        <w:t>密封、标记和递交，并标明“修改、补充”字样。</w:t>
      </w:r>
    </w:p>
    <w:p w14:paraId="01C1120E">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.3投标人撤回投标文件的，采购代理机构自收到投标人书面撤回通知之日起五日内退还已收取的投标保证金。</w:t>
      </w:r>
    </w:p>
    <w:p w14:paraId="1E39350B">
      <w:pPr>
        <w:pStyle w:val="22"/>
        <w:pageBreakBefore w:val="0"/>
        <w:kinsoku/>
        <w:wordWrap w:val="0"/>
        <w:overflowPunct w:val="0"/>
        <w:topLinePunct w:val="0"/>
        <w:bidi w:val="0"/>
        <w:adjustRightInd w:val="0"/>
        <w:snapToGrid w:val="0"/>
        <w:spacing w:before="0" w:beforeAutospacing="0" w:after="0" w:afterAutospacing="0" w:line="400" w:lineRule="exact"/>
        <w:rPr>
          <w:rFonts w:hint="eastAsia" w:ascii="宋体" w:hAnsi="宋体" w:eastAsia="宋体" w:cs="宋体"/>
          <w:b/>
          <w:color w:val="auto"/>
          <w:szCs w:val="24"/>
        </w:rPr>
      </w:pPr>
      <w:r>
        <w:rPr>
          <w:rStyle w:val="29"/>
          <w:rFonts w:hint="eastAsia" w:ascii="宋体" w:hAnsi="宋体" w:eastAsia="宋体" w:cs="宋体"/>
          <w:color w:val="auto"/>
          <w:szCs w:val="24"/>
        </w:rPr>
        <w:t>2</w:t>
      </w:r>
      <w:r>
        <w:rPr>
          <w:rStyle w:val="29"/>
          <w:rFonts w:hint="eastAsia" w:ascii="宋体" w:hAnsi="宋体" w:eastAsia="宋体" w:cs="宋体"/>
          <w:color w:val="auto"/>
          <w:szCs w:val="24"/>
          <w:lang w:val="en-US"/>
        </w:rPr>
        <w:t>3</w:t>
      </w:r>
      <w:r>
        <w:rPr>
          <w:rStyle w:val="29"/>
          <w:rFonts w:hint="eastAsia" w:ascii="宋体" w:hAnsi="宋体" w:eastAsia="宋体" w:cs="宋体"/>
          <w:color w:val="auto"/>
          <w:szCs w:val="24"/>
        </w:rPr>
        <w:t>.</w:t>
      </w:r>
      <w:r>
        <w:rPr>
          <w:rFonts w:hint="eastAsia" w:ascii="宋体" w:hAnsi="宋体" w:eastAsia="宋体" w:cs="宋体"/>
          <w:b/>
          <w:color w:val="auto"/>
          <w:szCs w:val="24"/>
        </w:rPr>
        <w:t>串通投标行为</w:t>
      </w:r>
    </w:p>
    <w:p w14:paraId="520E49A9">
      <w:pPr>
        <w:pStyle w:val="22"/>
        <w:pageBreakBefore w:val="0"/>
        <w:kinsoku/>
        <w:wordWrap w:val="0"/>
        <w:overflowPunct w:val="0"/>
        <w:topLinePunct w:val="0"/>
        <w:bidi w:val="0"/>
        <w:adjustRightInd w:val="0"/>
        <w:snapToGrid w:val="0"/>
        <w:spacing w:before="0" w:beforeAutospacing="0" w:after="0" w:afterAutospacing="0" w:line="400" w:lineRule="exact"/>
        <w:ind w:firstLine="456" w:firstLineChars="200"/>
        <w:rPr>
          <w:rFonts w:hint="eastAsia" w:ascii="宋体" w:hAnsi="宋体" w:eastAsia="宋体" w:cs="宋体"/>
          <w:color w:val="auto"/>
          <w:szCs w:val="24"/>
        </w:rPr>
      </w:pPr>
      <w:r>
        <w:rPr>
          <w:rFonts w:hint="eastAsia" w:ascii="宋体" w:hAnsi="宋体" w:eastAsia="宋体" w:cs="宋体"/>
          <w:color w:val="auto"/>
          <w:spacing w:val="-6"/>
          <w:szCs w:val="24"/>
        </w:rPr>
        <w:t>2</w:t>
      </w:r>
      <w:r>
        <w:rPr>
          <w:rFonts w:hint="eastAsia" w:ascii="宋体" w:hAnsi="宋体" w:eastAsia="宋体" w:cs="宋体"/>
          <w:color w:val="auto"/>
          <w:spacing w:val="-6"/>
          <w:szCs w:val="24"/>
          <w:lang w:val="en-US" w:eastAsia="zh-CN"/>
        </w:rPr>
        <w:t>3</w:t>
      </w:r>
      <w:r>
        <w:rPr>
          <w:rFonts w:hint="eastAsia" w:ascii="宋体" w:hAnsi="宋体" w:eastAsia="宋体" w:cs="宋体"/>
          <w:color w:val="auto"/>
          <w:spacing w:val="-6"/>
          <w:szCs w:val="24"/>
        </w:rPr>
        <w:t>.1</w:t>
      </w:r>
      <w:r>
        <w:rPr>
          <w:rFonts w:hint="eastAsia" w:ascii="宋体" w:hAnsi="宋体" w:eastAsia="宋体" w:cs="宋体"/>
          <w:color w:val="auto"/>
          <w:szCs w:val="24"/>
        </w:rPr>
        <w:t>投标人有以下情形之一的，可认定其有串通投标行为，中标无效：</w:t>
      </w:r>
    </w:p>
    <w:p w14:paraId="1CE5BBF6">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（1）投标人之间协商投标报价等投标文件的实质性内容；</w:t>
      </w:r>
    </w:p>
    <w:p w14:paraId="7B06BB89">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（2）投标人之间约定中标人；</w:t>
      </w:r>
    </w:p>
    <w:p w14:paraId="3A9ED565">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（3）投标人之间约定部分投标人放弃投标或者中标；</w:t>
      </w:r>
    </w:p>
    <w:p w14:paraId="4C47778A">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（4）属于同一集团、协会、商会等组织成员的投标人按照该组织要求协同投标；</w:t>
      </w:r>
    </w:p>
    <w:p w14:paraId="5036E951">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（5）投标人之间为谋取中标或者排斥特定投标人而采取的其他联合行动；</w:t>
      </w:r>
    </w:p>
    <w:p w14:paraId="225D90C7">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（6）不同投标人的投标文件由同一单位或者个人编制；</w:t>
      </w:r>
    </w:p>
    <w:p w14:paraId="3E9CBAB1">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（7）不同投标人委托同一单位或者个人办理投标事宜；</w:t>
      </w:r>
    </w:p>
    <w:p w14:paraId="2324739E">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（8）不同投标人的投标文件载明的项目管理成员为同一人；</w:t>
      </w:r>
    </w:p>
    <w:p w14:paraId="185AB463">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（9）不同投标人的投标文件异常一致或者投标报价呈规律性差异；</w:t>
      </w:r>
    </w:p>
    <w:p w14:paraId="2DCBBA33">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（10）不同投标人的投标文件相互混装；</w:t>
      </w:r>
    </w:p>
    <w:p w14:paraId="4578BE55">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（11）不同投标人的投标保证金从同一单位或者个人的账户转出；</w:t>
      </w:r>
    </w:p>
    <w:p w14:paraId="7D626194">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lang w:eastAsia="zh-CN"/>
        </w:rPr>
        <w:t>（</w:t>
      </w:r>
      <w:r>
        <w:rPr>
          <w:rFonts w:hint="eastAsia" w:ascii="宋体" w:hAnsi="宋体" w:eastAsia="宋体" w:cs="宋体"/>
          <w:color w:val="auto"/>
          <w:szCs w:val="24"/>
          <w:lang w:val="en-US" w:eastAsia="zh-CN"/>
        </w:rPr>
        <w:t>12</w:t>
      </w:r>
      <w:r>
        <w:rPr>
          <w:rFonts w:hint="eastAsia" w:ascii="宋体" w:hAnsi="宋体" w:eastAsia="宋体" w:cs="宋体"/>
          <w:color w:val="auto"/>
          <w:szCs w:val="24"/>
          <w:lang w:eastAsia="zh-CN"/>
        </w:rPr>
        <w:t>）</w:t>
      </w:r>
      <w:r>
        <w:rPr>
          <w:rFonts w:hint="eastAsia" w:ascii="宋体" w:hAnsi="宋体" w:eastAsia="宋体" w:cs="宋体"/>
          <w:color w:val="auto"/>
          <w:szCs w:val="24"/>
        </w:rPr>
        <w:t>不同</w:t>
      </w:r>
      <w:r>
        <w:rPr>
          <w:rFonts w:hint="eastAsia" w:ascii="宋体" w:hAnsi="宋体" w:eastAsia="宋体" w:cs="宋体"/>
          <w:color w:val="auto"/>
          <w:szCs w:val="24"/>
          <w:lang w:val="en-US" w:eastAsia="zh-CN"/>
        </w:rPr>
        <w:t>投标人</w:t>
      </w:r>
      <w:r>
        <w:rPr>
          <w:rFonts w:hint="eastAsia" w:ascii="宋体" w:hAnsi="宋体" w:eastAsia="宋体" w:cs="宋体"/>
          <w:color w:val="auto"/>
          <w:szCs w:val="24"/>
        </w:rPr>
        <w:t>的保证金从同一单位的账户转出a.不同</w:t>
      </w:r>
      <w:r>
        <w:rPr>
          <w:rFonts w:hint="eastAsia" w:ascii="宋体" w:hAnsi="宋体" w:eastAsia="宋体" w:cs="宋体"/>
          <w:color w:val="auto"/>
          <w:szCs w:val="24"/>
          <w:lang w:eastAsia="zh-CN"/>
        </w:rPr>
        <w:t>供应商</w:t>
      </w:r>
      <w:r>
        <w:rPr>
          <w:rFonts w:hint="eastAsia" w:ascii="宋体" w:hAnsi="宋体" w:eastAsia="宋体" w:cs="宋体"/>
          <w:color w:val="auto"/>
          <w:szCs w:val="24"/>
        </w:rPr>
        <w:t>的投标文件由同一电子设备编制、打印加密或者上传；</w:t>
      </w:r>
    </w:p>
    <w:p w14:paraId="0A003445">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lang w:val="en-US" w:eastAsia="zh-CN"/>
        </w:rPr>
        <w:t>（13）</w:t>
      </w:r>
      <w:r>
        <w:rPr>
          <w:rFonts w:hint="eastAsia" w:ascii="宋体" w:hAnsi="宋体" w:eastAsia="宋体" w:cs="宋体"/>
          <w:color w:val="auto"/>
          <w:szCs w:val="24"/>
        </w:rPr>
        <w:t>不同</w:t>
      </w:r>
      <w:r>
        <w:rPr>
          <w:rFonts w:hint="eastAsia" w:ascii="宋体" w:hAnsi="宋体" w:eastAsia="宋体" w:cs="宋体"/>
          <w:color w:val="auto"/>
          <w:szCs w:val="24"/>
          <w:lang w:val="en-US" w:eastAsia="zh-CN"/>
        </w:rPr>
        <w:t>投标人</w:t>
      </w:r>
      <w:r>
        <w:rPr>
          <w:rFonts w:hint="eastAsia" w:ascii="宋体" w:hAnsi="宋体" w:eastAsia="宋体" w:cs="宋体"/>
          <w:color w:val="auto"/>
          <w:szCs w:val="24"/>
        </w:rPr>
        <w:t>的投标文件的实质性内容存在两处以上细节错误一致；</w:t>
      </w:r>
    </w:p>
    <w:p w14:paraId="6B10E738">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lang w:eastAsia="zh-CN"/>
        </w:rPr>
        <w:t>（</w:t>
      </w:r>
      <w:r>
        <w:rPr>
          <w:rFonts w:hint="eastAsia" w:ascii="宋体" w:hAnsi="宋体" w:eastAsia="宋体" w:cs="宋体"/>
          <w:color w:val="auto"/>
          <w:szCs w:val="24"/>
          <w:lang w:val="en-US" w:eastAsia="zh-CN"/>
        </w:rPr>
        <w:t>14</w:t>
      </w:r>
      <w:r>
        <w:rPr>
          <w:rFonts w:hint="eastAsia" w:ascii="宋体" w:hAnsi="宋体" w:eastAsia="宋体" w:cs="宋体"/>
          <w:color w:val="auto"/>
          <w:szCs w:val="24"/>
          <w:lang w:eastAsia="zh-CN"/>
        </w:rPr>
        <w:t>）</w:t>
      </w:r>
      <w:r>
        <w:rPr>
          <w:rFonts w:hint="eastAsia" w:ascii="宋体" w:hAnsi="宋体" w:eastAsia="宋体" w:cs="宋体"/>
          <w:color w:val="auto"/>
          <w:szCs w:val="24"/>
        </w:rPr>
        <w:t>电子投标文件记录的MAC地址、硬盘序列号等硬件信息出现任一相同情况，包含不同</w:t>
      </w:r>
      <w:r>
        <w:rPr>
          <w:rFonts w:hint="eastAsia" w:ascii="宋体" w:hAnsi="宋体" w:eastAsia="宋体" w:cs="宋体"/>
          <w:color w:val="auto"/>
          <w:szCs w:val="24"/>
          <w:lang w:val="en-US" w:eastAsia="zh-CN"/>
        </w:rPr>
        <w:t>投标人</w:t>
      </w:r>
      <w:r>
        <w:rPr>
          <w:rFonts w:hint="eastAsia" w:ascii="宋体" w:hAnsi="宋体" w:eastAsia="宋体" w:cs="宋体"/>
          <w:color w:val="auto"/>
          <w:szCs w:val="24"/>
        </w:rPr>
        <w:t>在不同批次投标活动中信息相同情况；</w:t>
      </w:r>
    </w:p>
    <w:p w14:paraId="1B8D0BE6">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lang w:eastAsia="zh-CN"/>
        </w:rPr>
        <w:t>（</w:t>
      </w:r>
      <w:r>
        <w:rPr>
          <w:rFonts w:hint="eastAsia" w:ascii="宋体" w:hAnsi="宋体" w:eastAsia="宋体" w:cs="宋体"/>
          <w:color w:val="auto"/>
          <w:szCs w:val="24"/>
          <w:lang w:val="en-US" w:eastAsia="zh-CN"/>
        </w:rPr>
        <w:t>15</w:t>
      </w:r>
      <w:r>
        <w:rPr>
          <w:rFonts w:hint="eastAsia" w:ascii="宋体" w:hAnsi="宋体" w:eastAsia="宋体" w:cs="宋体"/>
          <w:color w:val="auto"/>
          <w:szCs w:val="24"/>
          <w:lang w:eastAsia="zh-CN"/>
        </w:rPr>
        <w:t>）</w:t>
      </w:r>
      <w:r>
        <w:rPr>
          <w:rFonts w:hint="eastAsia" w:ascii="宋体" w:hAnsi="宋体" w:eastAsia="宋体" w:cs="宋体"/>
          <w:color w:val="auto"/>
          <w:szCs w:val="24"/>
        </w:rPr>
        <w:t>投标文件的制作、记录上传IP地址，</w:t>
      </w:r>
      <w:r>
        <w:rPr>
          <w:rFonts w:hint="eastAsia" w:ascii="宋体" w:hAnsi="宋体" w:eastAsia="宋体" w:cs="宋体"/>
          <w:color w:val="auto"/>
          <w:szCs w:val="24"/>
          <w:lang w:val="en-US" w:eastAsia="zh-CN"/>
        </w:rPr>
        <w:t>投标人</w:t>
      </w:r>
      <w:r>
        <w:rPr>
          <w:rFonts w:hint="eastAsia" w:ascii="宋体" w:hAnsi="宋体" w:eastAsia="宋体" w:cs="宋体"/>
          <w:color w:val="auto"/>
          <w:szCs w:val="24"/>
        </w:rPr>
        <w:t>购买招标文件IP地址等信息出现任一相同情况。</w:t>
      </w:r>
    </w:p>
    <w:p w14:paraId="339ACA48">
      <w:pPr>
        <w:pStyle w:val="22"/>
        <w:pageBreakBefore w:val="0"/>
        <w:kinsoku/>
        <w:wordWrap w:val="0"/>
        <w:overflowPunct w:val="0"/>
        <w:topLinePunct w:val="0"/>
        <w:bidi w:val="0"/>
        <w:adjustRightInd w:val="0"/>
        <w:snapToGrid w:val="0"/>
        <w:spacing w:before="0" w:beforeAutospacing="0" w:after="0" w:afterAutospacing="0" w:line="400" w:lineRule="exact"/>
        <w:ind w:firstLine="480" w:firstLineChars="200"/>
        <w:rPr>
          <w:rFonts w:hint="eastAsia" w:ascii="宋体" w:hAnsi="宋体" w:eastAsia="宋体" w:cs="宋体"/>
          <w:color w:val="auto"/>
          <w:szCs w:val="24"/>
        </w:rPr>
      </w:pPr>
      <w:r>
        <w:rPr>
          <w:rFonts w:hint="eastAsia" w:ascii="宋体" w:hAnsi="宋体" w:eastAsia="宋体" w:cs="宋体"/>
          <w:color w:val="auto"/>
          <w:szCs w:val="24"/>
        </w:rPr>
        <w:t>（1</w:t>
      </w:r>
      <w:r>
        <w:rPr>
          <w:rFonts w:hint="eastAsia" w:ascii="宋体" w:hAnsi="宋体" w:eastAsia="宋体" w:cs="宋体"/>
          <w:color w:val="auto"/>
          <w:szCs w:val="24"/>
          <w:lang w:val="en-US" w:eastAsia="zh-CN"/>
        </w:rPr>
        <w:t>6</w:t>
      </w:r>
      <w:r>
        <w:rPr>
          <w:rFonts w:hint="eastAsia" w:ascii="宋体" w:hAnsi="宋体" w:eastAsia="宋体" w:cs="宋体"/>
          <w:color w:val="auto"/>
          <w:szCs w:val="24"/>
        </w:rPr>
        <w:t>）</w:t>
      </w:r>
      <w:r>
        <w:rPr>
          <w:rFonts w:hint="eastAsia" w:ascii="宋体" w:hAnsi="宋体" w:eastAsia="宋体" w:cs="宋体"/>
          <w:color w:val="auto"/>
          <w:szCs w:val="24"/>
          <w:lang w:eastAsia="zh-CN"/>
        </w:rPr>
        <w:t>法律法规</w:t>
      </w:r>
      <w:r>
        <w:rPr>
          <w:rFonts w:hint="eastAsia" w:ascii="宋体" w:hAnsi="宋体" w:eastAsia="宋体" w:cs="宋体"/>
          <w:color w:val="auto"/>
          <w:szCs w:val="24"/>
        </w:rPr>
        <w:t>或规章规定的其他串通投标行为。</w:t>
      </w:r>
    </w:p>
    <w:p w14:paraId="739870DE">
      <w:pPr>
        <w:pStyle w:val="22"/>
        <w:pageBreakBefore w:val="0"/>
        <w:kinsoku/>
        <w:wordWrap w:val="0"/>
        <w:overflowPunct w:val="0"/>
        <w:topLinePunct w:val="0"/>
        <w:bidi w:val="0"/>
        <w:adjustRightInd w:val="0"/>
        <w:snapToGrid w:val="0"/>
        <w:spacing w:before="0" w:beforeAutospacing="0" w:after="0" w:afterAutospacing="0" w:line="400" w:lineRule="exact"/>
        <w:rPr>
          <w:rFonts w:hint="eastAsia" w:ascii="宋体" w:hAnsi="宋体" w:eastAsia="宋体" w:cs="宋体"/>
          <w:b/>
          <w:color w:val="auto"/>
          <w:szCs w:val="24"/>
        </w:rPr>
      </w:pPr>
      <w:r>
        <w:rPr>
          <w:rFonts w:hint="eastAsia" w:ascii="宋体" w:hAnsi="宋体" w:eastAsia="宋体" w:cs="宋体"/>
          <w:b/>
          <w:color w:val="auto"/>
          <w:szCs w:val="24"/>
        </w:rPr>
        <w:t>五、开标和评标</w:t>
      </w:r>
    </w:p>
    <w:p w14:paraId="167A8795">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.开标</w:t>
      </w:r>
    </w:p>
    <w:p w14:paraId="2E144C78">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（1）宣布开标纪律；</w:t>
      </w:r>
    </w:p>
    <w:p w14:paraId="58728F89">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（2）介绍主持人、开标人、唱标人、记录人、监标人等有关人员姓名；</w:t>
      </w:r>
    </w:p>
    <w:p w14:paraId="1F265BF4">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（3）公布在投标截止时间前递交投标文件的投标人名称；</w:t>
      </w:r>
    </w:p>
    <w:p w14:paraId="1BB5CB5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（4）由各投标人代表持本单位CA解密，开始唱标。</w:t>
      </w:r>
    </w:p>
    <w:p w14:paraId="574D7F82">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（5）设有招标控制价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采购预算金额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的，公布招标控制价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采购预算金额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782385AD">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（6）投标人代表持本单位CA对报价内容进行确认；</w:t>
      </w:r>
    </w:p>
    <w:p w14:paraId="0A7D3FF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（7）开标结束。</w:t>
      </w:r>
    </w:p>
    <w:p w14:paraId="4272153D">
      <w:pPr>
        <w:pageBreakBefore w:val="0"/>
        <w:kinsoku/>
        <w:wordWrap w:val="0"/>
        <w:overflowPunct w:val="0"/>
        <w:topLinePunct w:val="0"/>
        <w:bidi w:val="0"/>
        <w:adjustRightInd w:val="0"/>
        <w:snapToGrid w:val="0"/>
        <w:spacing w:line="400" w:lineRule="exact"/>
        <w:ind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.评标委员会</w:t>
      </w:r>
    </w:p>
    <w:p w14:paraId="22E81BB2">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.1评标由采购人或采购代理机构依法组建的评标委员会负责，评标委员会由</w:t>
      </w:r>
      <w:r>
        <w:rPr>
          <w:rFonts w:hint="eastAsia" w:ascii="宋体" w:hAnsi="宋体" w:eastAsia="宋体" w:cs="宋体"/>
          <w:color w:val="auto"/>
          <w:sz w:val="24"/>
          <w:szCs w:val="24"/>
          <w:lang w:val="en-US" w:eastAsia="zh-CN"/>
        </w:rPr>
        <w:t>经济、技术等</w:t>
      </w:r>
      <w:r>
        <w:rPr>
          <w:rFonts w:hint="eastAsia" w:ascii="宋体" w:hAnsi="宋体" w:eastAsia="宋体" w:cs="宋体"/>
          <w:color w:val="auto"/>
          <w:sz w:val="24"/>
          <w:szCs w:val="24"/>
        </w:rPr>
        <w:t>方面的专家组成。</w:t>
      </w:r>
    </w:p>
    <w:p w14:paraId="4F5250CF">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.2评标委员会成员与投标人存在利害关系的，应当回避。</w:t>
      </w:r>
      <w:r>
        <w:rPr>
          <w:rFonts w:hint="eastAsia" w:ascii="宋体" w:hAnsi="宋体" w:eastAsia="宋体" w:cs="宋体"/>
          <w:color w:val="auto"/>
          <w:kern w:val="0"/>
          <w:sz w:val="24"/>
          <w:szCs w:val="24"/>
        </w:rPr>
        <w:t>招标代理机构（或招标人）就招标文件征询过意见的专家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 xml:space="preserve">不得作为评标专家参加评标。 </w:t>
      </w:r>
    </w:p>
    <w:p w14:paraId="06584549">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.评标</w:t>
      </w:r>
    </w:p>
    <w:p w14:paraId="0FA92A90">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.1 评标委员会应严格按照</w:t>
      </w:r>
      <w:r>
        <w:rPr>
          <w:rFonts w:hint="eastAsia" w:ascii="宋体" w:hAnsi="宋体" w:eastAsia="宋体" w:cs="宋体"/>
          <w:bCs/>
          <w:color w:val="auto"/>
          <w:sz w:val="24"/>
          <w:szCs w:val="24"/>
        </w:rPr>
        <w:t>第三章“评标方法及标准”</w:t>
      </w:r>
      <w:r>
        <w:rPr>
          <w:rFonts w:hint="eastAsia" w:ascii="宋体" w:hAnsi="宋体" w:eastAsia="宋体" w:cs="宋体"/>
          <w:color w:val="auto"/>
          <w:sz w:val="24"/>
          <w:szCs w:val="24"/>
        </w:rPr>
        <w:t xml:space="preserve"> 规定的评标方法、评审因素、标准和程序以及有关</w:t>
      </w:r>
      <w:r>
        <w:rPr>
          <w:rFonts w:hint="eastAsia" w:ascii="宋体" w:hAnsi="宋体" w:eastAsia="宋体" w:cs="宋体"/>
          <w:color w:val="auto"/>
          <w:sz w:val="24"/>
          <w:szCs w:val="24"/>
          <w:lang w:eastAsia="zh-CN"/>
        </w:rPr>
        <w:t>法律法规</w:t>
      </w:r>
      <w:r>
        <w:rPr>
          <w:rFonts w:hint="eastAsia" w:ascii="宋体" w:hAnsi="宋体" w:eastAsia="宋体" w:cs="宋体"/>
          <w:color w:val="auto"/>
          <w:sz w:val="24"/>
          <w:szCs w:val="24"/>
        </w:rPr>
        <w:t>及规章对投标文件进行评审。</w:t>
      </w:r>
    </w:p>
    <w:p w14:paraId="10940342">
      <w:pPr>
        <w:pageBreakBefore w:val="0"/>
        <w:widowControl/>
        <w:tabs>
          <w:tab w:val="left" w:pos="0"/>
        </w:tabs>
        <w:kinsoku/>
        <w:wordWrap w:val="0"/>
        <w:overflowPunct w:val="0"/>
        <w:topLinePunct w:val="0"/>
        <w:bidi w:val="0"/>
        <w:snapToGrid w:val="0"/>
        <w:spacing w:line="400" w:lineRule="exact"/>
        <w:jc w:val="left"/>
        <w:rPr>
          <w:rFonts w:hint="eastAsia" w:ascii="宋体" w:hAnsi="宋体" w:eastAsia="宋体" w:cs="宋体"/>
          <w:color w:val="auto"/>
          <w:kern w:val="0"/>
          <w:sz w:val="24"/>
          <w:szCs w:val="24"/>
        </w:rPr>
      </w:pPr>
      <w:r>
        <w:rPr>
          <w:rFonts w:hint="eastAsia" w:ascii="宋体" w:hAnsi="宋体" w:eastAsia="宋体" w:cs="宋体"/>
          <w:b/>
          <w:color w:val="auto"/>
          <w:kern w:val="0"/>
          <w:sz w:val="24"/>
          <w:szCs w:val="24"/>
        </w:rPr>
        <w:t>2</w:t>
      </w:r>
      <w:r>
        <w:rPr>
          <w:rFonts w:hint="eastAsia" w:ascii="宋体" w:hAnsi="宋体" w:eastAsia="宋体" w:cs="宋体"/>
          <w:b/>
          <w:color w:val="auto"/>
          <w:kern w:val="0"/>
          <w:sz w:val="24"/>
          <w:szCs w:val="24"/>
          <w:lang w:val="en-US" w:eastAsia="zh-CN"/>
        </w:rPr>
        <w:t>6</w:t>
      </w:r>
      <w:r>
        <w:rPr>
          <w:rFonts w:hint="eastAsia" w:ascii="宋体" w:hAnsi="宋体" w:eastAsia="宋体" w:cs="宋体"/>
          <w:b/>
          <w:color w:val="auto"/>
          <w:kern w:val="0"/>
          <w:sz w:val="24"/>
          <w:szCs w:val="24"/>
        </w:rPr>
        <w:t>.2评标过程保密</w:t>
      </w:r>
    </w:p>
    <w:p w14:paraId="3C7A517E">
      <w:pPr>
        <w:pageBreakBefore w:val="0"/>
        <w:widowControl/>
        <w:tabs>
          <w:tab w:val="left" w:pos="567"/>
        </w:tabs>
        <w:kinsoku/>
        <w:wordWrap w:val="0"/>
        <w:overflowPunct w:val="0"/>
        <w:topLinePunct w:val="0"/>
        <w:bidi w:val="0"/>
        <w:snapToGrid w:val="0"/>
        <w:spacing w:line="400" w:lineRule="exact"/>
        <w:ind w:firstLine="624"/>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开标之后，直到授予</w:t>
      </w:r>
      <w:r>
        <w:rPr>
          <w:rFonts w:hint="eastAsia" w:ascii="宋体" w:hAnsi="宋体" w:eastAsia="宋体" w:cs="宋体"/>
          <w:color w:val="auto"/>
          <w:sz w:val="24"/>
          <w:szCs w:val="24"/>
        </w:rPr>
        <w:t>中标人</w:t>
      </w:r>
      <w:r>
        <w:rPr>
          <w:rFonts w:hint="eastAsia" w:ascii="宋体" w:hAnsi="宋体" w:eastAsia="宋体" w:cs="宋体"/>
          <w:color w:val="auto"/>
          <w:kern w:val="0"/>
          <w:sz w:val="24"/>
          <w:szCs w:val="24"/>
        </w:rPr>
        <w:t>合同止，凡是属于审查、澄清、评价和比较投标的有关资料以及授标意向等，均不得向投标人或其他与评标无关的人员透露。</w:t>
      </w:r>
    </w:p>
    <w:p w14:paraId="1E9D17EF">
      <w:pPr>
        <w:pageBreakBefore w:val="0"/>
        <w:widowControl/>
        <w:tabs>
          <w:tab w:val="left" w:pos="0"/>
        </w:tabs>
        <w:kinsoku/>
        <w:wordWrap w:val="0"/>
        <w:overflowPunct w:val="0"/>
        <w:topLinePunct w:val="0"/>
        <w:bidi w:val="0"/>
        <w:snapToGrid w:val="0"/>
        <w:spacing w:line="400" w:lineRule="exact"/>
        <w:jc w:val="left"/>
        <w:rPr>
          <w:rFonts w:hint="eastAsia" w:ascii="宋体" w:hAnsi="宋体" w:eastAsia="宋体" w:cs="宋体"/>
          <w:color w:val="auto"/>
          <w:kern w:val="0"/>
          <w:sz w:val="24"/>
          <w:szCs w:val="24"/>
        </w:rPr>
      </w:pPr>
      <w:r>
        <w:rPr>
          <w:rFonts w:hint="eastAsia" w:ascii="宋体" w:hAnsi="宋体" w:eastAsia="宋体" w:cs="宋体"/>
          <w:b/>
          <w:color w:val="auto"/>
          <w:kern w:val="0"/>
          <w:sz w:val="24"/>
          <w:szCs w:val="24"/>
        </w:rPr>
        <w:t>2</w:t>
      </w:r>
      <w:r>
        <w:rPr>
          <w:rFonts w:hint="eastAsia" w:ascii="宋体" w:hAnsi="宋体" w:eastAsia="宋体" w:cs="宋体"/>
          <w:b/>
          <w:color w:val="auto"/>
          <w:kern w:val="0"/>
          <w:sz w:val="24"/>
          <w:szCs w:val="24"/>
          <w:lang w:val="en-US" w:eastAsia="zh-CN"/>
        </w:rPr>
        <w:t>6</w:t>
      </w:r>
      <w:r>
        <w:rPr>
          <w:rFonts w:hint="eastAsia" w:ascii="宋体" w:hAnsi="宋体" w:eastAsia="宋体" w:cs="宋体"/>
          <w:b/>
          <w:color w:val="auto"/>
          <w:kern w:val="0"/>
          <w:sz w:val="24"/>
          <w:szCs w:val="24"/>
        </w:rPr>
        <w:t>.3关于投标人非实质性响应滞后发现的处理规则</w:t>
      </w:r>
    </w:p>
    <w:p w14:paraId="6D3B9CB3">
      <w:pPr>
        <w:pageBreakBefore w:val="0"/>
        <w:widowControl/>
        <w:kinsoku/>
        <w:wordWrap w:val="0"/>
        <w:overflowPunct w:val="0"/>
        <w:topLinePunct w:val="0"/>
        <w:bidi w:val="0"/>
        <w:snapToGrid w:val="0"/>
        <w:spacing w:line="400" w:lineRule="exact"/>
        <w:ind w:firstLine="480" w:firstLineChars="200"/>
        <w:jc w:val="left"/>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rPr>
        <w:t>无论基于何种原因，各项本应</w:t>
      </w:r>
      <w:r>
        <w:rPr>
          <w:rFonts w:hint="eastAsia" w:ascii="宋体" w:hAnsi="宋体" w:eastAsia="宋体" w:cs="宋体"/>
          <w:color w:val="auto"/>
          <w:kern w:val="0"/>
          <w:sz w:val="24"/>
          <w:szCs w:val="24"/>
          <w:lang w:eastAsia="zh-CN"/>
        </w:rPr>
        <w:t>作</w:t>
      </w:r>
      <w:r>
        <w:rPr>
          <w:rFonts w:hint="eastAsia" w:ascii="宋体" w:hAnsi="宋体" w:eastAsia="宋体" w:cs="宋体"/>
          <w:color w:val="auto"/>
          <w:kern w:val="0"/>
          <w:sz w:val="24"/>
          <w:szCs w:val="24"/>
        </w:rPr>
        <w:t>拒绝投标处理的情形，即便未被及时发现而使该投标人进入初审、详细评审</w:t>
      </w:r>
      <w:r>
        <w:rPr>
          <w:rFonts w:hint="eastAsia" w:ascii="宋体" w:hAnsi="宋体" w:eastAsia="宋体" w:cs="宋体"/>
          <w:color w:val="auto"/>
          <w:kern w:val="0"/>
          <w:sz w:val="24"/>
          <w:szCs w:val="24"/>
          <w:lang w:eastAsia="zh-CN"/>
        </w:rPr>
        <w:t>或其他</w:t>
      </w:r>
      <w:r>
        <w:rPr>
          <w:rFonts w:hint="eastAsia" w:ascii="宋体" w:hAnsi="宋体" w:eastAsia="宋体" w:cs="宋体"/>
          <w:color w:val="auto"/>
          <w:kern w:val="0"/>
          <w:sz w:val="24"/>
          <w:szCs w:val="24"/>
        </w:rPr>
        <w:t>后续程序，包括已经签约的情形。一旦被发现存在上述情形，</w:t>
      </w:r>
      <w:r>
        <w:rPr>
          <w:rFonts w:hint="eastAsia" w:ascii="宋体" w:hAnsi="宋体" w:eastAsia="宋体" w:cs="宋体"/>
          <w:b/>
          <w:color w:val="auto"/>
          <w:kern w:val="0"/>
          <w:sz w:val="24"/>
          <w:szCs w:val="24"/>
        </w:rPr>
        <w:t>采购代理机构（或采购人）均有权决定取消该投标人的此前评审结果，或决定对该投标予以拒绝，并有权采取相应的补救及纠正措施。</w:t>
      </w:r>
    </w:p>
    <w:p w14:paraId="6DD379B7">
      <w:pPr>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六、中标信息公布与投标人</w:t>
      </w:r>
      <w:r>
        <w:rPr>
          <w:rFonts w:hint="eastAsia" w:ascii="宋体" w:hAnsi="宋体" w:eastAsia="宋体" w:cs="宋体"/>
          <w:b/>
          <w:bCs/>
          <w:color w:val="auto"/>
          <w:sz w:val="24"/>
          <w:szCs w:val="24"/>
        </w:rPr>
        <w:t>质疑</w:t>
      </w:r>
    </w:p>
    <w:p w14:paraId="0CD73128">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.中标信息公布</w:t>
      </w:r>
    </w:p>
    <w:p w14:paraId="7D3499CD">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.1中标人确定后，中标信息将在指定的媒体上公布。采购代理机构或采购人对未中标的投标人不</w:t>
      </w:r>
      <w:r>
        <w:rPr>
          <w:rFonts w:hint="eastAsia" w:ascii="宋体" w:hAnsi="宋体" w:eastAsia="宋体" w:cs="宋体"/>
          <w:color w:val="auto"/>
          <w:sz w:val="24"/>
          <w:szCs w:val="24"/>
          <w:lang w:eastAsia="zh-CN"/>
        </w:rPr>
        <w:t>作</w:t>
      </w:r>
      <w:r>
        <w:rPr>
          <w:rFonts w:hint="eastAsia" w:ascii="宋体" w:hAnsi="宋体" w:eastAsia="宋体" w:cs="宋体"/>
          <w:color w:val="auto"/>
          <w:sz w:val="24"/>
          <w:szCs w:val="24"/>
        </w:rPr>
        <w:t>未中标原因解释。</w:t>
      </w:r>
    </w:p>
    <w:p w14:paraId="42784E53">
      <w:pPr>
        <w:pageBreakBefore w:val="0"/>
        <w:kinsoku/>
        <w:wordWrap w:val="0"/>
        <w:overflowPunct w:val="0"/>
        <w:topLinePunct w:val="0"/>
        <w:bidi w:val="0"/>
        <w:adjustRightInd w:val="0"/>
        <w:snapToGrid w:val="0"/>
        <w:spacing w:line="40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w:t>
      </w:r>
      <w:r>
        <w:rPr>
          <w:rFonts w:hint="eastAsia" w:ascii="宋体" w:hAnsi="宋体" w:eastAsia="宋体" w:cs="宋体"/>
          <w:b/>
          <w:color w:val="auto"/>
          <w:sz w:val="24"/>
          <w:szCs w:val="24"/>
        </w:rPr>
        <w:t>投标人</w:t>
      </w:r>
      <w:r>
        <w:rPr>
          <w:rFonts w:hint="eastAsia" w:ascii="宋体" w:hAnsi="宋体" w:eastAsia="宋体" w:cs="宋体"/>
          <w:b/>
          <w:bCs/>
          <w:color w:val="auto"/>
          <w:sz w:val="24"/>
          <w:szCs w:val="24"/>
        </w:rPr>
        <w:t>质疑</w:t>
      </w:r>
    </w:p>
    <w:p w14:paraId="21B8EF48">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.1招标程序受《中华人民共和国政府采购法》和相关法律法规的约束，并受到严格的内部监督，以确保授予合同过程的公平公正。</w:t>
      </w:r>
    </w:p>
    <w:p w14:paraId="1FF3857B">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.2投标人对招标文件条款或技术、商务参数有异议的，应当在开标前通过澄清或修改程序提出。</w:t>
      </w:r>
    </w:p>
    <w:p w14:paraId="57002114">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.3投标人对采购事项有疑问的，可以向招标代理机构进行询问。</w:t>
      </w:r>
    </w:p>
    <w:p w14:paraId="701758C1">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.4投标人认为其投标未获公平评审或者中标结果使自己的合法权益受到损害的，应当在中标结果公告发布之日起7个工作日内提出质疑。</w:t>
      </w:r>
    </w:p>
    <w:p w14:paraId="32275C4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.5质疑函应当由法定代表人或者其授权代表签字或加盖本人姓名章，并加盖投标单位公章。</w:t>
      </w:r>
    </w:p>
    <w:p w14:paraId="1ECB986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.6质疑函应当包括以下主要内容：</w:t>
      </w:r>
    </w:p>
    <w:p w14:paraId="2C52765E">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的姓名或者名称、地址、邮编、联系人及联系电话；</w:t>
      </w:r>
    </w:p>
    <w:p w14:paraId="53C5436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（2）质疑项目的名称、编号；</w:t>
      </w:r>
    </w:p>
    <w:p w14:paraId="097D6BA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（3）具体、明确的质疑事项和与质疑事项相关的请求；</w:t>
      </w:r>
    </w:p>
    <w:p w14:paraId="6DAF4EA6">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（4）事实依据；</w:t>
      </w:r>
    </w:p>
    <w:p w14:paraId="5D761D26">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（5）必要的法律依据；</w:t>
      </w:r>
    </w:p>
    <w:p w14:paraId="3E404BA1">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（6）提出质疑的日期。</w:t>
      </w:r>
    </w:p>
    <w:p w14:paraId="0B83B680">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.7质疑应遵循“谁主张、谁举证”的原则，质疑函应当附相关证明材料。质疑材料应为简体中文，一式二份。</w:t>
      </w:r>
    </w:p>
    <w:p w14:paraId="2652D34C">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.8有下列情形之一的，属于无效质疑，招标人可不予受理：</w:t>
      </w:r>
    </w:p>
    <w:p w14:paraId="5CD6C33D">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（1）未在有效期限内提出质疑的；</w:t>
      </w:r>
    </w:p>
    <w:p w14:paraId="1E52D959">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（2）质疑未以书面形式提出的；</w:t>
      </w:r>
    </w:p>
    <w:p w14:paraId="4E79BD6C">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（3）所提交材料未明示属于质疑材料的；</w:t>
      </w:r>
    </w:p>
    <w:p w14:paraId="1A5704EF">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（4）质疑函没有法定代表人签署本人姓名或加盖本人姓名章和单位公章的；质疑函有参加采购项目的授权代表签名或本人姓名章，但没有法定代表人特别授权的。</w:t>
      </w:r>
    </w:p>
    <w:p w14:paraId="08692E9F">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（5）质疑函未提供有效联系人或联系方式的；</w:t>
      </w:r>
    </w:p>
    <w:p w14:paraId="50FBB5A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（6）质疑事项已经进入投诉或者行政复议或者诉讼程序的；</w:t>
      </w:r>
    </w:p>
    <w:p w14:paraId="514197DC">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（7）质疑函未附相关证明材料，被视为无有效证据支持的。</w:t>
      </w:r>
    </w:p>
    <w:p w14:paraId="50BE97F9">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（8）投标人对招标文件条款或技术参数有异议，未在开标前通过澄清或修改程序提出，而于开标后对招标文件提出质疑的；</w:t>
      </w:r>
    </w:p>
    <w:p w14:paraId="33C0A14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（9）在提出本次质疑前半年内连续三次质疑而无事实依据的；</w:t>
      </w:r>
    </w:p>
    <w:p w14:paraId="45BEEDB1">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eastAsia="zh-CN"/>
        </w:rPr>
        <w:t>其他不符合</w:t>
      </w:r>
      <w:r>
        <w:rPr>
          <w:rFonts w:hint="eastAsia" w:ascii="宋体" w:hAnsi="宋体" w:eastAsia="宋体" w:cs="宋体"/>
          <w:color w:val="auto"/>
          <w:sz w:val="24"/>
          <w:szCs w:val="24"/>
        </w:rPr>
        <w:t>受理条件的情形</w:t>
      </w:r>
    </w:p>
    <w:p w14:paraId="0823DC25">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.9采购代理机构将在收到书面质疑后7个工作日内审查质疑事项，</w:t>
      </w:r>
      <w:r>
        <w:rPr>
          <w:rFonts w:hint="eastAsia" w:ascii="宋体" w:hAnsi="宋体" w:eastAsia="宋体" w:cs="宋体"/>
          <w:color w:val="auto"/>
          <w:sz w:val="24"/>
          <w:szCs w:val="24"/>
          <w:lang w:eastAsia="zh-CN"/>
        </w:rPr>
        <w:t>作出</w:t>
      </w:r>
      <w:r>
        <w:rPr>
          <w:rFonts w:hint="eastAsia" w:ascii="宋体" w:hAnsi="宋体" w:eastAsia="宋体" w:cs="宋体"/>
          <w:color w:val="auto"/>
          <w:sz w:val="24"/>
          <w:szCs w:val="24"/>
        </w:rPr>
        <w:t>答复或相关处理决定，并以书面形式通知质疑投标人和其他有关投标人，但答复的内容不涉及商业秘密。</w:t>
      </w:r>
    </w:p>
    <w:p w14:paraId="0263F297">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.10质疑投标人对招标代理机构的答复不满意的，可以在答复期满后15个工作日内向本级财政部门提起投诉。</w:t>
      </w:r>
    </w:p>
    <w:p w14:paraId="679705C9">
      <w:pPr>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七、合同签订</w:t>
      </w:r>
    </w:p>
    <w:p w14:paraId="49DE9AC5">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29</w:t>
      </w:r>
      <w:r>
        <w:rPr>
          <w:rFonts w:hint="eastAsia" w:ascii="宋体" w:hAnsi="宋体" w:eastAsia="宋体" w:cs="宋体"/>
          <w:b/>
          <w:bCs/>
          <w:color w:val="auto"/>
          <w:sz w:val="24"/>
          <w:szCs w:val="24"/>
        </w:rPr>
        <w:t>.中标结果通知</w:t>
      </w:r>
    </w:p>
    <w:p w14:paraId="5DED2A41">
      <w:pPr>
        <w:pageBreakBefore w:val="0"/>
        <w:widowControl/>
        <w:tabs>
          <w:tab w:val="left" w:pos="567"/>
        </w:tabs>
        <w:kinsoku/>
        <w:wordWrap w:val="0"/>
        <w:overflowPunct w:val="0"/>
        <w:topLinePunct w:val="0"/>
        <w:bidi w:val="0"/>
        <w:snapToGrid w:val="0"/>
        <w:spacing w:line="400" w:lineRule="exact"/>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29</w:t>
      </w:r>
      <w:r>
        <w:rPr>
          <w:rFonts w:hint="eastAsia" w:ascii="宋体" w:hAnsi="宋体" w:eastAsia="宋体" w:cs="宋体"/>
          <w:color w:val="auto"/>
          <w:sz w:val="24"/>
          <w:szCs w:val="24"/>
        </w:rPr>
        <w:t xml:space="preserve">.1 </w:t>
      </w:r>
      <w:r>
        <w:rPr>
          <w:rFonts w:hint="eastAsia" w:ascii="宋体" w:hAnsi="宋体" w:eastAsia="宋体" w:cs="宋体"/>
          <w:color w:val="auto"/>
          <w:kern w:val="0"/>
          <w:sz w:val="24"/>
          <w:szCs w:val="24"/>
        </w:rPr>
        <w:t>中标人确定后</w:t>
      </w:r>
      <w:r>
        <w:rPr>
          <w:rFonts w:hint="eastAsia" w:ascii="宋体" w:hAnsi="宋体" w:eastAsia="宋体" w:cs="宋体"/>
          <w:color w:val="auto"/>
          <w:kern w:val="0"/>
          <w:sz w:val="24"/>
          <w:szCs w:val="24"/>
          <w:lang w:eastAsia="zh-CN"/>
        </w:rPr>
        <w:t>，</w:t>
      </w:r>
      <w:r>
        <w:rPr>
          <w:rFonts w:hint="eastAsia" w:ascii="宋体" w:hAnsi="宋体" w:eastAsia="宋体" w:cs="宋体"/>
          <w:color w:val="auto"/>
          <w:sz w:val="24"/>
          <w:szCs w:val="24"/>
        </w:rPr>
        <w:t>采购</w:t>
      </w:r>
      <w:r>
        <w:rPr>
          <w:rFonts w:hint="eastAsia" w:ascii="宋体" w:hAnsi="宋体" w:eastAsia="宋体" w:cs="宋体"/>
          <w:color w:val="auto"/>
          <w:kern w:val="0"/>
          <w:sz w:val="24"/>
          <w:szCs w:val="24"/>
        </w:rPr>
        <w:t>代理机构将在刊登本次招标公告的媒体上发布中标公告，并以书面形式向中标人发出中标通知书，但该中标结果的有效性不依赖于未中标的投标人是否知道中标结果。中标通知书对招标人和中标供应商具有同等法律效力。中标通知书发出以后，招标人改变中标结果或者中标供应商放弃中标，应当承担相应的法律责任。</w:t>
      </w:r>
    </w:p>
    <w:p w14:paraId="21B44562">
      <w:pPr>
        <w:pageBreakBefore w:val="0"/>
        <w:widowControl/>
        <w:tabs>
          <w:tab w:val="left" w:pos="567"/>
        </w:tabs>
        <w:kinsoku/>
        <w:wordWrap w:val="0"/>
        <w:overflowPunct w:val="0"/>
        <w:topLinePunct w:val="0"/>
        <w:bidi w:val="0"/>
        <w:snapToGrid w:val="0"/>
        <w:spacing w:line="400" w:lineRule="exact"/>
        <w:ind w:firstLine="624"/>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29</w:t>
      </w:r>
      <w:r>
        <w:rPr>
          <w:rFonts w:hint="eastAsia" w:ascii="宋体" w:hAnsi="宋体" w:eastAsia="宋体" w:cs="宋体"/>
          <w:color w:val="auto"/>
          <w:kern w:val="0"/>
          <w:sz w:val="24"/>
          <w:szCs w:val="24"/>
        </w:rPr>
        <w:t>.2招标代理机构（或招标人）对未中标的投标人不做未中标原因的解释。</w:t>
      </w:r>
    </w:p>
    <w:p w14:paraId="08722E87">
      <w:pPr>
        <w:pageBreakBefore w:val="0"/>
        <w:widowControl/>
        <w:tabs>
          <w:tab w:val="left" w:pos="567"/>
        </w:tabs>
        <w:kinsoku/>
        <w:wordWrap w:val="0"/>
        <w:overflowPunct w:val="0"/>
        <w:topLinePunct w:val="0"/>
        <w:bidi w:val="0"/>
        <w:snapToGrid w:val="0"/>
        <w:spacing w:line="400" w:lineRule="exact"/>
        <w:ind w:firstLine="624"/>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29</w:t>
      </w:r>
      <w:r>
        <w:rPr>
          <w:rFonts w:hint="eastAsia" w:ascii="宋体" w:hAnsi="宋体" w:eastAsia="宋体" w:cs="宋体"/>
          <w:color w:val="auto"/>
          <w:kern w:val="0"/>
          <w:sz w:val="24"/>
          <w:szCs w:val="24"/>
        </w:rPr>
        <w:t>.3中标通知书是合同的组成部分。</w:t>
      </w:r>
    </w:p>
    <w:p w14:paraId="14807A82">
      <w:pPr>
        <w:pageBreakBefore w:val="0"/>
        <w:kinsoku/>
        <w:wordWrap w:val="0"/>
        <w:overflowPunct w:val="0"/>
        <w:topLinePunct w:val="0"/>
        <w:bidi w:val="0"/>
        <w:adjustRightInd w:val="0"/>
        <w:snapToGrid w:val="0"/>
        <w:spacing w:line="400" w:lineRule="exac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3</w:t>
      </w:r>
      <w:r>
        <w:rPr>
          <w:rFonts w:hint="eastAsia" w:ascii="宋体" w:hAnsi="宋体" w:eastAsia="宋体" w:cs="宋体"/>
          <w:b/>
          <w:color w:val="auto"/>
          <w:kern w:val="0"/>
          <w:sz w:val="24"/>
          <w:szCs w:val="24"/>
          <w:lang w:val="en-US" w:eastAsia="zh-CN"/>
        </w:rPr>
        <w:t>0</w:t>
      </w:r>
      <w:r>
        <w:rPr>
          <w:rFonts w:hint="eastAsia" w:ascii="宋体" w:hAnsi="宋体" w:eastAsia="宋体" w:cs="宋体"/>
          <w:b/>
          <w:color w:val="auto"/>
          <w:kern w:val="0"/>
          <w:sz w:val="24"/>
          <w:szCs w:val="24"/>
        </w:rPr>
        <w:t>.履约担保</w:t>
      </w:r>
    </w:p>
    <w:p w14:paraId="611D7719">
      <w:pPr>
        <w:pageBreakBefore w:val="0"/>
        <w:kinsoku/>
        <w:wordWrap w:val="0"/>
        <w:overflowPunct w:val="0"/>
        <w:topLinePunct w:val="0"/>
        <w:bidi w:val="0"/>
        <w:adjustRightInd w:val="0"/>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rPr>
        <w:t>.1中标人</w:t>
      </w:r>
      <w:r>
        <w:rPr>
          <w:rFonts w:hint="eastAsia" w:ascii="宋体" w:hAnsi="宋体" w:eastAsia="宋体" w:cs="宋体"/>
          <w:color w:val="auto"/>
          <w:sz w:val="24"/>
          <w:szCs w:val="24"/>
        </w:rPr>
        <w:t>在收到采购代理机构的《</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通知书》后十日内，需向采购人提交履约担保的，应按照</w:t>
      </w:r>
      <w:r>
        <w:rPr>
          <w:rFonts w:hint="eastAsia" w:ascii="宋体" w:hAnsi="宋体" w:eastAsia="宋体" w:cs="宋体"/>
          <w:b/>
          <w:color w:val="auto"/>
          <w:sz w:val="24"/>
          <w:szCs w:val="24"/>
        </w:rPr>
        <w:t>招标文件前附表</w:t>
      </w:r>
      <w:r>
        <w:rPr>
          <w:rFonts w:hint="eastAsia" w:ascii="宋体" w:hAnsi="宋体" w:eastAsia="宋体" w:cs="宋体"/>
          <w:color w:val="auto"/>
          <w:sz w:val="24"/>
          <w:szCs w:val="24"/>
        </w:rPr>
        <w:t>的规定提交。</w:t>
      </w:r>
    </w:p>
    <w:p w14:paraId="29C28976">
      <w:pPr>
        <w:pageBreakBefore w:val="0"/>
        <w:kinsoku/>
        <w:wordWrap w:val="0"/>
        <w:overflowPunct w:val="0"/>
        <w:topLinePunct w:val="0"/>
        <w:bidi w:val="0"/>
        <w:adjustRightInd w:val="0"/>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 xml:space="preserve">.2 </w:t>
      </w:r>
      <w:r>
        <w:rPr>
          <w:rFonts w:hint="eastAsia" w:ascii="宋体" w:hAnsi="宋体" w:eastAsia="宋体" w:cs="宋体"/>
          <w:color w:val="auto"/>
          <w:kern w:val="0"/>
          <w:sz w:val="24"/>
          <w:szCs w:val="24"/>
        </w:rPr>
        <w:t>中标人</w:t>
      </w:r>
      <w:r>
        <w:rPr>
          <w:rFonts w:hint="eastAsia" w:ascii="宋体" w:hAnsi="宋体" w:eastAsia="宋体" w:cs="宋体"/>
          <w:color w:val="auto"/>
          <w:spacing w:val="4"/>
          <w:sz w:val="24"/>
          <w:szCs w:val="24"/>
        </w:rPr>
        <w:t>没有按照本章第31.1</w:t>
      </w:r>
      <w:r>
        <w:rPr>
          <w:rFonts w:hint="eastAsia" w:ascii="宋体" w:hAnsi="宋体" w:eastAsia="宋体" w:cs="宋体"/>
          <w:color w:val="auto"/>
          <w:kern w:val="0"/>
          <w:sz w:val="24"/>
          <w:szCs w:val="24"/>
          <w:lang w:val="zh-CN"/>
        </w:rPr>
        <w:t>款</w:t>
      </w:r>
      <w:r>
        <w:rPr>
          <w:rFonts w:hint="eastAsia" w:ascii="宋体" w:hAnsi="宋体" w:eastAsia="宋体" w:cs="宋体"/>
          <w:color w:val="auto"/>
          <w:spacing w:val="4"/>
          <w:sz w:val="24"/>
          <w:szCs w:val="24"/>
        </w:rPr>
        <w:t>规定</w:t>
      </w:r>
      <w:r>
        <w:rPr>
          <w:rFonts w:hint="eastAsia" w:ascii="宋体" w:hAnsi="宋体" w:eastAsia="宋体" w:cs="宋体"/>
          <w:color w:val="auto"/>
          <w:sz w:val="24"/>
          <w:szCs w:val="24"/>
        </w:rPr>
        <w:t>提交履约担保的</w:t>
      </w:r>
      <w:r>
        <w:rPr>
          <w:rFonts w:hint="eastAsia" w:ascii="宋体" w:hAnsi="宋体" w:eastAsia="宋体" w:cs="宋体"/>
          <w:color w:val="auto"/>
          <w:spacing w:val="4"/>
          <w:sz w:val="24"/>
          <w:szCs w:val="24"/>
        </w:rPr>
        <w:t>，视为放弃中标，</w:t>
      </w:r>
      <w:r>
        <w:rPr>
          <w:rFonts w:hint="eastAsia" w:ascii="宋体" w:hAnsi="宋体" w:eastAsia="宋体" w:cs="宋体"/>
          <w:color w:val="auto"/>
          <w:spacing w:val="2"/>
          <w:sz w:val="24"/>
          <w:szCs w:val="24"/>
        </w:rPr>
        <w:t>其投标保证金不予退还。</w:t>
      </w:r>
    </w:p>
    <w:p w14:paraId="3743660F">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.签订合同</w:t>
      </w:r>
    </w:p>
    <w:p w14:paraId="29A5C23A">
      <w:pPr>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采购人应自</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通知书发出之日起</w:t>
      </w:r>
      <w:r>
        <w:rPr>
          <w:rFonts w:hint="eastAsia" w:ascii="宋体" w:hAnsi="宋体" w:eastAsia="宋体" w:cs="宋体"/>
          <w:b/>
          <w:bCs/>
          <w:color w:val="auto"/>
          <w:sz w:val="24"/>
          <w:szCs w:val="24"/>
        </w:rPr>
        <w:t>三十日</w:t>
      </w:r>
      <w:r>
        <w:rPr>
          <w:rFonts w:hint="eastAsia" w:ascii="宋体" w:hAnsi="宋体" w:eastAsia="宋体" w:cs="宋体"/>
          <w:color w:val="auto"/>
          <w:sz w:val="24"/>
          <w:szCs w:val="24"/>
        </w:rPr>
        <w:t>内，按</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通知书指定的时间、地点与</w:t>
      </w:r>
      <w:r>
        <w:rPr>
          <w:rFonts w:hint="eastAsia" w:ascii="宋体" w:hAnsi="宋体" w:eastAsia="宋体" w:cs="宋体"/>
          <w:color w:val="auto"/>
          <w:kern w:val="0"/>
          <w:sz w:val="24"/>
          <w:szCs w:val="24"/>
        </w:rPr>
        <w:t>中标人</w:t>
      </w:r>
      <w:r>
        <w:rPr>
          <w:rFonts w:hint="eastAsia" w:ascii="宋体" w:hAnsi="宋体" w:eastAsia="宋体" w:cs="宋体"/>
          <w:color w:val="auto"/>
          <w:sz w:val="24"/>
          <w:szCs w:val="24"/>
        </w:rPr>
        <w:t>签订政府采购合同。</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人拒绝与采购人签订合同的，采购人可以按照评审报告推荐的</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候选人名单排序，确定下一候选人为</w:t>
      </w:r>
      <w:r>
        <w:rPr>
          <w:rFonts w:hint="eastAsia" w:ascii="宋体" w:hAnsi="宋体" w:eastAsia="宋体" w:cs="宋体"/>
          <w:color w:val="auto"/>
          <w:kern w:val="0"/>
          <w:sz w:val="24"/>
          <w:szCs w:val="24"/>
        </w:rPr>
        <w:t>中标</w:t>
      </w:r>
      <w:r>
        <w:rPr>
          <w:rFonts w:hint="eastAsia" w:ascii="宋体" w:hAnsi="宋体" w:eastAsia="宋体" w:cs="宋体"/>
          <w:color w:val="auto"/>
          <w:sz w:val="24"/>
          <w:szCs w:val="24"/>
        </w:rPr>
        <w:t>人，也可以重新开展政府采购活动。</w:t>
      </w:r>
    </w:p>
    <w:p w14:paraId="1DE45E55">
      <w:pPr>
        <w:pageBreakBefore w:val="0"/>
        <w:widowControl/>
        <w:tabs>
          <w:tab w:val="left" w:pos="567"/>
        </w:tabs>
        <w:kinsoku/>
        <w:wordWrap w:val="0"/>
        <w:overflowPunct w:val="0"/>
        <w:topLinePunct w:val="0"/>
        <w:bidi w:val="0"/>
        <w:snapToGrid w:val="0"/>
        <w:spacing w:line="400" w:lineRule="exact"/>
        <w:ind w:firstLine="624"/>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.2 </w:t>
      </w:r>
      <w:r>
        <w:rPr>
          <w:rFonts w:hint="eastAsia" w:ascii="宋体" w:hAnsi="宋体" w:eastAsia="宋体" w:cs="宋体"/>
          <w:color w:val="auto"/>
          <w:kern w:val="0"/>
          <w:sz w:val="24"/>
          <w:szCs w:val="24"/>
        </w:rPr>
        <w:t>中标人应按照招标文件、投标文件及评标过程中的有关澄清、说明或者补正文件的内容与招标人签订合同。中标人不得再与招标人签订背离合同实质性内容</w:t>
      </w:r>
      <w:r>
        <w:rPr>
          <w:rFonts w:hint="eastAsia" w:ascii="宋体" w:hAnsi="宋体" w:eastAsia="宋体" w:cs="宋体"/>
          <w:color w:val="auto"/>
          <w:kern w:val="0"/>
          <w:sz w:val="24"/>
          <w:szCs w:val="24"/>
          <w:lang w:eastAsia="zh-CN"/>
        </w:rPr>
        <w:t>的其他</w:t>
      </w:r>
      <w:r>
        <w:rPr>
          <w:rFonts w:hint="eastAsia" w:ascii="宋体" w:hAnsi="宋体" w:eastAsia="宋体" w:cs="宋体"/>
          <w:color w:val="auto"/>
          <w:kern w:val="0"/>
          <w:sz w:val="24"/>
          <w:szCs w:val="24"/>
        </w:rPr>
        <w:t>协议或声明。</w:t>
      </w:r>
    </w:p>
    <w:p w14:paraId="7971546C">
      <w:pPr>
        <w:pageBreakBefore w:val="0"/>
        <w:widowControl/>
        <w:tabs>
          <w:tab w:val="left" w:pos="567"/>
        </w:tabs>
        <w:kinsoku/>
        <w:wordWrap w:val="0"/>
        <w:overflowPunct w:val="0"/>
        <w:topLinePunct w:val="0"/>
        <w:bidi w:val="0"/>
        <w:snapToGrid w:val="0"/>
        <w:spacing w:line="400" w:lineRule="exact"/>
        <w:jc w:val="left"/>
        <w:rPr>
          <w:rFonts w:hint="eastAsia" w:ascii="宋体" w:hAnsi="宋体" w:eastAsia="宋体" w:cs="宋体"/>
          <w:bCs/>
          <w:color w:val="auto"/>
          <w:sz w:val="24"/>
          <w:szCs w:val="24"/>
        </w:rPr>
      </w:pPr>
      <w:r>
        <w:rPr>
          <w:rFonts w:hint="eastAsia" w:ascii="宋体" w:hAnsi="宋体" w:eastAsia="宋体" w:cs="宋体"/>
          <w:color w:val="auto"/>
          <w:sz w:val="24"/>
          <w:szCs w:val="24"/>
        </w:rPr>
        <w:t xml:space="preserve">    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.3 </w:t>
      </w:r>
      <w:r>
        <w:rPr>
          <w:rFonts w:hint="eastAsia" w:ascii="宋体" w:hAnsi="宋体" w:eastAsia="宋体" w:cs="宋体"/>
          <w:color w:val="auto"/>
          <w:kern w:val="0"/>
          <w:sz w:val="24"/>
          <w:szCs w:val="24"/>
        </w:rPr>
        <w:t>中标人</w:t>
      </w:r>
      <w:r>
        <w:rPr>
          <w:rFonts w:hint="eastAsia" w:ascii="宋体" w:hAnsi="宋体" w:eastAsia="宋体" w:cs="宋体"/>
          <w:bCs/>
          <w:color w:val="auto"/>
          <w:sz w:val="24"/>
          <w:szCs w:val="24"/>
        </w:rPr>
        <w:t>应当按照合同约定履行义务。</w:t>
      </w:r>
      <w:r>
        <w:rPr>
          <w:rFonts w:hint="eastAsia" w:ascii="宋体" w:hAnsi="宋体" w:eastAsia="宋体" w:cs="宋体"/>
          <w:color w:val="auto"/>
          <w:kern w:val="0"/>
          <w:sz w:val="24"/>
        </w:rPr>
        <w:t>未经招标代理机构（或招标人）事先给予书面同意不得转包、分包，亦不得将合同全部及任何权利、义务向第三方转让，否则将被视为严重违约，采购代理机构（或招标人）有权决定按照</w:t>
      </w:r>
      <w:r>
        <w:rPr>
          <w:rFonts w:hint="eastAsia" w:ascii="宋体" w:hAnsi="宋体" w:eastAsia="宋体" w:cs="宋体"/>
          <w:color w:val="auto"/>
          <w:kern w:val="0"/>
          <w:sz w:val="24"/>
          <w:szCs w:val="24"/>
        </w:rPr>
        <w:t>中标人中标</w:t>
      </w:r>
      <w:r>
        <w:rPr>
          <w:rFonts w:hint="eastAsia" w:ascii="宋体" w:hAnsi="宋体" w:eastAsia="宋体" w:cs="宋体"/>
          <w:color w:val="auto"/>
          <w:kern w:val="0"/>
          <w:sz w:val="24"/>
        </w:rPr>
        <w:t>后毁标、终止或解除合同等依约处理。</w:t>
      </w:r>
    </w:p>
    <w:p w14:paraId="43CFDB1D">
      <w:pPr>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w:t>
      </w:r>
      <w:r>
        <w:rPr>
          <w:rFonts w:hint="eastAsia" w:ascii="宋体" w:hAnsi="宋体" w:eastAsia="宋体" w:cs="宋体"/>
          <w:b/>
          <w:color w:val="auto"/>
          <w:sz w:val="24"/>
          <w:szCs w:val="24"/>
        </w:rPr>
        <w:t xml:space="preserve"> 政府采购合同履行中</w:t>
      </w:r>
      <w:r>
        <w:rPr>
          <w:rFonts w:hint="eastAsia" w:ascii="宋体" w:hAnsi="宋体" w:eastAsia="宋体" w:cs="宋体"/>
          <w:b/>
          <w:bCs/>
          <w:color w:val="auto"/>
          <w:sz w:val="24"/>
          <w:szCs w:val="24"/>
        </w:rPr>
        <w:t>数量的变更</w:t>
      </w:r>
    </w:p>
    <w:p w14:paraId="18B4BE14">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.1政府采购合同履行中，采购人需追加与合同标的相同的货物服务的，在不改变合同其他条款的前提下，可以与中标人协商签订补充合同，但所有补充合同的采购金额不得超过原合同采购金额的</w:t>
      </w:r>
      <w:r>
        <w:rPr>
          <w:rFonts w:hint="eastAsia" w:ascii="宋体" w:hAnsi="宋体" w:eastAsia="宋体" w:cs="宋体"/>
          <w:color w:val="auto"/>
          <w:sz w:val="24"/>
          <w:szCs w:val="24"/>
          <w:lang w:eastAsia="zh-CN"/>
        </w:rPr>
        <w:t>10%</w:t>
      </w:r>
      <w:r>
        <w:rPr>
          <w:rFonts w:hint="eastAsia" w:ascii="宋体" w:hAnsi="宋体" w:eastAsia="宋体" w:cs="宋体"/>
          <w:color w:val="auto"/>
          <w:sz w:val="24"/>
          <w:szCs w:val="24"/>
        </w:rPr>
        <w:t>。</w:t>
      </w:r>
    </w:p>
    <w:p w14:paraId="5A3269F2">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八、特殊情形的规定</w:t>
      </w:r>
    </w:p>
    <w:p w14:paraId="2DDA1171">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3</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特殊情形</w:t>
      </w:r>
    </w:p>
    <w:p w14:paraId="2C927102">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.1特殊情形是指：在本章第11.1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规定的投标截止时间</w:t>
      </w:r>
      <w:r>
        <w:rPr>
          <w:rFonts w:hint="eastAsia" w:ascii="宋体" w:hAnsi="宋体" w:eastAsia="宋体" w:cs="宋体"/>
          <w:color w:val="auto"/>
          <w:kern w:val="0"/>
          <w:sz w:val="24"/>
          <w:szCs w:val="24"/>
          <w:lang w:val="zh-CN"/>
        </w:rPr>
        <w:t>递交投标文件或者经评审实质性响应招标文件要求的投标单位只有两家的情形。</w:t>
      </w:r>
    </w:p>
    <w:p w14:paraId="617A9D41">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3</w:t>
      </w:r>
      <w:r>
        <w:rPr>
          <w:rFonts w:hint="eastAsia" w:ascii="宋体" w:hAnsi="宋体" w:eastAsia="宋体" w:cs="宋体"/>
          <w:b/>
          <w:color w:val="auto"/>
          <w:sz w:val="24"/>
          <w:szCs w:val="24"/>
          <w:lang w:val="en-US" w:eastAsia="zh-CN"/>
        </w:rPr>
        <w:t>4</w:t>
      </w:r>
      <w:r>
        <w:rPr>
          <w:rFonts w:hint="eastAsia" w:ascii="宋体" w:hAnsi="宋体" w:eastAsia="宋体" w:cs="宋体"/>
          <w:b/>
          <w:color w:val="auto"/>
          <w:sz w:val="24"/>
          <w:szCs w:val="24"/>
        </w:rPr>
        <w:t>.特殊情形规定</w:t>
      </w:r>
    </w:p>
    <w:p w14:paraId="40DBF4F3">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kern w:val="0"/>
          <w:sz w:val="24"/>
          <w:szCs w:val="24"/>
          <w:lang w:val="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.1符合本章第34.1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情形的，</w:t>
      </w:r>
      <w:r>
        <w:rPr>
          <w:rFonts w:hint="eastAsia" w:ascii="宋体" w:hAnsi="宋体" w:eastAsia="宋体" w:cs="宋体"/>
          <w:color w:val="auto"/>
          <w:kern w:val="0"/>
          <w:sz w:val="24"/>
          <w:szCs w:val="24"/>
          <w:lang w:val="zh-CN"/>
        </w:rPr>
        <w:t>经同级财政部门批准后在不变更投标人资格条件和采购需求的前提下与这两家投标人进行竞争性谈判。</w:t>
      </w:r>
    </w:p>
    <w:p w14:paraId="43182F10">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.2符合本章第34.1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情形未进行资格性、符合性检查的，按第三章“评标方法及标准”第2.1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规定进行资格性、符合性审查。当符合招标文件第三章“评标方法及标准”第2.1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规定的</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少于</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家时，重新采购。</w:t>
      </w:r>
    </w:p>
    <w:p w14:paraId="67C4A1A1">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color w:val="auto"/>
          <w:sz w:val="24"/>
          <w:szCs w:val="24"/>
        </w:rPr>
      </w:pPr>
      <w:r>
        <w:rPr>
          <w:rFonts w:hint="eastAsia" w:ascii="宋体" w:hAnsi="宋体" w:eastAsia="宋体" w:cs="宋体"/>
          <w:b/>
          <w:color w:val="auto"/>
          <w:sz w:val="24"/>
          <w:szCs w:val="24"/>
        </w:rPr>
        <w:t>九、其他规定</w:t>
      </w:r>
    </w:p>
    <w:p w14:paraId="08A6E241">
      <w:pPr>
        <w:pStyle w:val="14"/>
        <w:pageBreakBefore w:val="0"/>
        <w:kinsoku/>
        <w:wordWrap w:val="0"/>
        <w:overflowPunct w:val="0"/>
        <w:topLinePunct w:val="0"/>
        <w:bidi w:val="0"/>
        <w:adjustRightInd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.政策与法规</w:t>
      </w:r>
    </w:p>
    <w:p w14:paraId="7249E2EE">
      <w:pPr>
        <w:pStyle w:val="14"/>
        <w:pageBreakBefore w:val="0"/>
        <w:kinsoku/>
        <w:wordWrap w:val="0"/>
        <w:overflowPunct w:val="0"/>
        <w:topLinePunct w:val="0"/>
        <w:bidi w:val="0"/>
        <w:adjustRightInd w:val="0"/>
        <w:snapToGrid w:val="0"/>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.1招标文件的未尽事项执行《中华人民共和国政府采购法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中华人民共和国政府采购法实施条例》和《政府采购货物和服务招标投标管理办法》等相关</w:t>
      </w:r>
      <w:r>
        <w:rPr>
          <w:rFonts w:hint="eastAsia" w:ascii="宋体" w:hAnsi="宋体" w:eastAsia="宋体" w:cs="宋体"/>
          <w:color w:val="auto"/>
          <w:sz w:val="24"/>
          <w:szCs w:val="24"/>
          <w:lang w:eastAsia="zh-CN"/>
        </w:rPr>
        <w:t>法律法规</w:t>
      </w:r>
      <w:r>
        <w:rPr>
          <w:rFonts w:hint="eastAsia" w:ascii="宋体" w:hAnsi="宋体" w:eastAsia="宋体" w:cs="宋体"/>
          <w:color w:val="auto"/>
          <w:sz w:val="24"/>
          <w:szCs w:val="24"/>
        </w:rPr>
        <w:t>的规定。</w:t>
      </w:r>
    </w:p>
    <w:p w14:paraId="257C2B10">
      <w:pPr>
        <w:pageBreakBefore w:val="0"/>
        <w:widowControl/>
        <w:kinsoku/>
        <w:wordWrap w:val="0"/>
        <w:overflowPunct w:val="0"/>
        <w:topLinePunct w:val="0"/>
        <w:bidi w:val="0"/>
        <w:snapToGrid w:val="0"/>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.披露</w:t>
      </w:r>
    </w:p>
    <w:p w14:paraId="74FD3EB2">
      <w:pPr>
        <w:pageBreakBefore w:val="0"/>
        <w:widowControl/>
        <w:kinsoku/>
        <w:wordWrap w:val="0"/>
        <w:overflowPunct w:val="0"/>
        <w:topLinePunct w:val="0"/>
        <w:bidi w:val="0"/>
        <w:snapToGrid w:val="0"/>
        <w:spacing w:line="400" w:lineRule="exact"/>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 xml:space="preserve">   3</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.1</w:t>
      </w:r>
      <w:r>
        <w:rPr>
          <w:rFonts w:hint="eastAsia" w:ascii="宋体" w:hAnsi="宋体" w:eastAsia="宋体" w:cs="宋体"/>
          <w:color w:val="auto"/>
          <w:kern w:val="0"/>
          <w:sz w:val="24"/>
          <w:szCs w:val="24"/>
        </w:rPr>
        <w:t>采购代理机构（或采购人）有权将投标人提供的所有资料向有关政府部门或评审标书的有关人员披露。</w:t>
      </w:r>
    </w:p>
    <w:p w14:paraId="45A903F3">
      <w:pPr>
        <w:pageBreakBefore w:val="0"/>
        <w:widowControl/>
        <w:kinsoku/>
        <w:wordWrap w:val="0"/>
        <w:overflowPunct w:val="0"/>
        <w:topLinePunct w:val="0"/>
        <w:bidi w:val="0"/>
        <w:snapToGrid w:val="0"/>
        <w:spacing w:line="400" w:lineRule="exact"/>
        <w:ind w:firstLine="480" w:firstLineChars="200"/>
        <w:jc w:val="left"/>
        <w:rPr>
          <w:rFonts w:hint="eastAsia" w:ascii="宋体" w:hAnsi="宋体" w:eastAsia="宋体" w:cs="宋体"/>
          <w:b/>
          <w:bCs/>
          <w:color w:val="auto"/>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2在采购代理机构（或采购人）认为适当时、国家机关调查、审查、审计时以及其他符合法律规定的情形下，无须事先征求投标人/中标人同意而可以披露关于招标过程、合同文本、签署情况的资料、投标人/中标人的名称及地址、投标文件的有关信息以及补充条款等，但应当在合理的必要范围内。对任何已经公布过的内容或与之内容相同的资料，以及投标人/中标人已经泄露或公开的，无须再承担保密责任。</w:t>
      </w:r>
    </w:p>
    <w:p w14:paraId="3DBA45D7">
      <w:pPr>
        <w:pageBreakBefore w:val="0"/>
        <w:widowControl/>
        <w:numPr>
          <w:ilvl w:val="0"/>
          <w:numId w:val="0"/>
        </w:numPr>
        <w:kinsoku/>
        <w:wordWrap w:val="0"/>
        <w:overflowPunct w:val="0"/>
        <w:topLinePunct w:val="0"/>
        <w:bidi w:val="0"/>
        <w:snapToGrid w:val="0"/>
        <w:spacing w:line="42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37.</w:t>
      </w:r>
      <w:r>
        <w:rPr>
          <w:rFonts w:hint="eastAsia" w:ascii="宋体" w:hAnsi="宋体" w:eastAsia="宋体" w:cs="宋体"/>
          <w:b/>
          <w:bCs/>
          <w:color w:val="auto"/>
          <w:sz w:val="24"/>
          <w:szCs w:val="24"/>
        </w:rPr>
        <w:t>招标代理服务费</w:t>
      </w:r>
    </w:p>
    <w:p w14:paraId="7A42574D">
      <w:pPr>
        <w:pageBreakBefore w:val="0"/>
        <w:widowControl/>
        <w:kinsoku/>
        <w:wordWrap w:val="0"/>
        <w:overflowPunct w:val="0"/>
        <w:topLinePunct w:val="0"/>
        <w:bidi w:val="0"/>
        <w:snapToGrid w:val="0"/>
        <w:spacing w:line="480" w:lineRule="exact"/>
        <w:jc w:val="left"/>
        <w:rPr>
          <w:rFonts w:hint="eastAsia" w:ascii="宋体" w:hAnsi="宋体" w:eastAsia="宋体" w:cs="宋体"/>
          <w:b/>
          <w:color w:val="auto"/>
          <w:sz w:val="32"/>
          <w:szCs w:val="32"/>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见前附表</w:t>
      </w:r>
      <w:r>
        <w:rPr>
          <w:rFonts w:hint="eastAsia" w:ascii="宋体" w:hAnsi="宋体" w:eastAsia="宋体" w:cs="宋体"/>
          <w:color w:val="auto"/>
          <w:sz w:val="24"/>
          <w:szCs w:val="24"/>
        </w:rPr>
        <w:t>。</w:t>
      </w:r>
    </w:p>
    <w:p w14:paraId="028E37C1">
      <w:pPr>
        <w:pStyle w:val="2"/>
        <w:pageBreakBefore w:val="0"/>
        <w:kinsoku/>
        <w:wordWrap w:val="0"/>
        <w:overflowPunct w:val="0"/>
        <w:topLinePunct w:val="0"/>
        <w:bidi w:val="0"/>
        <w:outlineLvl w:val="9"/>
        <w:rPr>
          <w:rFonts w:hint="eastAsia" w:ascii="宋体" w:hAnsi="宋体" w:eastAsia="宋体" w:cs="宋体"/>
          <w:color w:val="auto"/>
        </w:rPr>
        <w:sectPr>
          <w:footerReference r:id="rId5" w:type="default"/>
          <w:pgSz w:w="11906" w:h="16838"/>
          <w:pgMar w:top="1440" w:right="1080" w:bottom="1440" w:left="1080" w:header="851" w:footer="1304" w:gutter="0"/>
          <w:pgNumType w:fmt="decimal"/>
          <w:cols w:space="720" w:num="1"/>
          <w:docGrid w:linePitch="312" w:charSpace="0"/>
        </w:sectPr>
      </w:pPr>
      <w:bookmarkStart w:id="19" w:name="_Toc2068"/>
      <w:bookmarkStart w:id="20" w:name="_Toc1005"/>
    </w:p>
    <w:p w14:paraId="11017DE5">
      <w:pPr>
        <w:pStyle w:val="2"/>
        <w:pageBreakBefore w:val="0"/>
        <w:kinsoku/>
        <w:wordWrap w:val="0"/>
        <w:overflowPunct w:val="0"/>
        <w:topLinePunct w:val="0"/>
        <w:bidi w:val="0"/>
        <w:rPr>
          <w:rFonts w:hint="eastAsia" w:ascii="宋体" w:hAnsi="宋体" w:eastAsia="宋体" w:cs="宋体"/>
          <w:color w:val="auto"/>
        </w:rPr>
      </w:pPr>
      <w:bookmarkStart w:id="21" w:name="_Toc6386"/>
      <w:bookmarkStart w:id="22" w:name="_Toc13825"/>
      <w:bookmarkStart w:id="23" w:name="_Toc20470"/>
      <w:bookmarkStart w:id="24" w:name="_Toc23392"/>
      <w:r>
        <w:rPr>
          <w:rFonts w:hint="eastAsia" w:ascii="宋体" w:hAnsi="宋体" w:eastAsia="宋体" w:cs="宋体"/>
          <w:color w:val="auto"/>
        </w:rPr>
        <w:t>第三章 评标方法及标准</w:t>
      </w:r>
      <w:bookmarkEnd w:id="19"/>
      <w:bookmarkEnd w:id="20"/>
      <w:bookmarkEnd w:id="21"/>
      <w:bookmarkEnd w:id="22"/>
      <w:bookmarkEnd w:id="23"/>
      <w:bookmarkEnd w:id="24"/>
    </w:p>
    <w:p w14:paraId="69AC594E">
      <w:pPr>
        <w:pageBreakBefore w:val="0"/>
        <w:kinsoku/>
        <w:wordWrap w:val="0"/>
        <w:overflowPunct w:val="0"/>
        <w:topLinePunct w:val="0"/>
        <w:bidi w:val="0"/>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bCs/>
          <w:color w:val="auto"/>
          <w:sz w:val="24"/>
          <w:szCs w:val="24"/>
        </w:rPr>
        <w:t>一、</w:t>
      </w:r>
      <w:r>
        <w:rPr>
          <w:rFonts w:hint="eastAsia" w:ascii="宋体" w:hAnsi="宋体" w:eastAsia="宋体" w:cs="宋体"/>
          <w:b/>
          <w:color w:val="auto"/>
          <w:sz w:val="24"/>
          <w:szCs w:val="24"/>
        </w:rPr>
        <w:t>总则</w:t>
      </w:r>
    </w:p>
    <w:p w14:paraId="2625EFC0">
      <w:pPr>
        <w:pageBreakBefore w:val="0"/>
        <w:kinsoku/>
        <w:wordWrap w:val="0"/>
        <w:overflowPunct w:val="0"/>
        <w:topLinePunct w:val="0"/>
        <w:bidi w:val="0"/>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1.评标委员会</w:t>
      </w:r>
    </w:p>
    <w:p w14:paraId="45A5B234">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1.1评标由依法组成的评标委员会负责。</w:t>
      </w:r>
    </w:p>
    <w:p w14:paraId="056CEFC3">
      <w:pPr>
        <w:pageBreakBefore w:val="0"/>
        <w:kinsoku/>
        <w:wordWrap w:val="0"/>
        <w:overflowPunct w:val="0"/>
        <w:topLinePunct w:val="0"/>
        <w:bidi w:val="0"/>
        <w:adjustRightInd w:val="0"/>
        <w:snapToGrid w:val="0"/>
        <w:spacing w:line="360" w:lineRule="auto"/>
        <w:rPr>
          <w:rFonts w:hint="eastAsia" w:ascii="宋体" w:hAnsi="宋体" w:eastAsia="宋体" w:cs="宋体"/>
          <w:b/>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color w:val="auto"/>
          <w:sz w:val="24"/>
          <w:szCs w:val="24"/>
        </w:rPr>
        <w:t>评标方法</w:t>
      </w:r>
    </w:p>
    <w:p w14:paraId="4BB4CF80">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2.1评标方法：综合评分法，即投标文件能够最大限度</w:t>
      </w:r>
      <w:r>
        <w:rPr>
          <w:rFonts w:hint="eastAsia" w:ascii="宋体" w:hAnsi="宋体" w:eastAsia="宋体" w:cs="宋体"/>
          <w:color w:val="auto"/>
          <w:sz w:val="24"/>
          <w:szCs w:val="24"/>
          <w:lang w:eastAsia="zh-CN"/>
        </w:rPr>
        <w:t>地</w:t>
      </w:r>
      <w:r>
        <w:rPr>
          <w:rFonts w:hint="eastAsia" w:ascii="宋体" w:hAnsi="宋体" w:eastAsia="宋体" w:cs="宋体"/>
          <w:color w:val="auto"/>
          <w:sz w:val="24"/>
          <w:szCs w:val="24"/>
        </w:rPr>
        <w:t>满足招标文件规定的各项综合评价标准，评标委员会按得分由高到低顺序排序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推荐第一名为中标候选单位。</w:t>
      </w:r>
    </w:p>
    <w:p w14:paraId="75ABD9D4">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评标因素：商务、技术、报价、对招标文件的响应程度，以及相应的比重或者权值等，但不包括第一章“投标须知”第3.1</w:t>
      </w:r>
      <w:r>
        <w:rPr>
          <w:rFonts w:hint="eastAsia" w:ascii="宋体" w:hAnsi="宋体" w:eastAsia="宋体" w:cs="宋体"/>
          <w:color w:val="auto"/>
          <w:sz w:val="24"/>
          <w:szCs w:val="24"/>
          <w:lang w:val="zh-CN"/>
        </w:rPr>
        <w:t>款</w:t>
      </w:r>
      <w:r>
        <w:rPr>
          <w:rFonts w:hint="eastAsia" w:ascii="宋体" w:hAnsi="宋体" w:eastAsia="宋体" w:cs="宋体"/>
          <w:color w:val="auto"/>
          <w:sz w:val="24"/>
          <w:szCs w:val="24"/>
        </w:rPr>
        <w:t>规定的投标人资格条件。</w:t>
      </w:r>
    </w:p>
    <w:p w14:paraId="2124EAAB">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b/>
          <w:color w:val="auto"/>
          <w:sz w:val="24"/>
          <w:szCs w:val="24"/>
        </w:rPr>
      </w:pPr>
      <w:r>
        <w:rPr>
          <w:rFonts w:hint="eastAsia" w:ascii="宋体" w:hAnsi="宋体" w:eastAsia="宋体" w:cs="宋体"/>
          <w:bCs/>
          <w:color w:val="auto"/>
          <w:sz w:val="24"/>
          <w:szCs w:val="24"/>
        </w:rPr>
        <w:t>2.2</w:t>
      </w:r>
      <w:r>
        <w:rPr>
          <w:rFonts w:hint="eastAsia" w:ascii="宋体" w:hAnsi="宋体" w:eastAsia="宋体" w:cs="宋体"/>
          <w:color w:val="auto"/>
          <w:sz w:val="24"/>
          <w:szCs w:val="24"/>
        </w:rPr>
        <w:t>权值的取值范围见下表，本采购项目的权值见</w:t>
      </w:r>
      <w:r>
        <w:rPr>
          <w:rFonts w:hint="eastAsia" w:ascii="宋体" w:hAnsi="宋体" w:eastAsia="宋体" w:cs="宋体"/>
          <w:b/>
          <w:color w:val="auto"/>
          <w:sz w:val="24"/>
          <w:szCs w:val="24"/>
        </w:rPr>
        <w:t>招标文件前附表。</w:t>
      </w:r>
    </w:p>
    <w:p w14:paraId="47101619">
      <w:pPr>
        <w:pageBreakBefore w:val="0"/>
        <w:tabs>
          <w:tab w:val="left" w:pos="0"/>
        </w:tabs>
        <w:kinsoku/>
        <w:wordWrap w:val="0"/>
        <w:overflowPunct w:val="0"/>
        <w:topLinePunct w:val="0"/>
        <w:bidi w:val="0"/>
        <w:adjustRightInd w:val="0"/>
        <w:snapToGrid w:val="0"/>
        <w:spacing w:line="360" w:lineRule="auto"/>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一包评分办法</w:t>
      </w:r>
    </w:p>
    <w:tbl>
      <w:tblPr>
        <w:tblStyle w:val="26"/>
        <w:tblW w:w="9469" w:type="dxa"/>
        <w:tblInd w:w="-109"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070"/>
        <w:gridCol w:w="1019"/>
        <w:gridCol w:w="720"/>
        <w:gridCol w:w="6660"/>
      </w:tblGrid>
      <w:tr w14:paraId="0D9D6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trPr>
        <w:tc>
          <w:tcPr>
            <w:tcW w:w="1070" w:type="dxa"/>
            <w:noWrap w:val="0"/>
            <w:vAlign w:val="center"/>
          </w:tcPr>
          <w:p w14:paraId="3BCA1933">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类别</w:t>
            </w:r>
          </w:p>
        </w:tc>
        <w:tc>
          <w:tcPr>
            <w:tcW w:w="1019" w:type="dxa"/>
            <w:noWrap w:val="0"/>
            <w:vAlign w:val="center"/>
          </w:tcPr>
          <w:p w14:paraId="07B1875C">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评分</w:t>
            </w:r>
          </w:p>
          <w:p w14:paraId="135FA1A0">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项目</w:t>
            </w:r>
          </w:p>
        </w:tc>
        <w:tc>
          <w:tcPr>
            <w:tcW w:w="720" w:type="dxa"/>
            <w:noWrap w:val="0"/>
            <w:vAlign w:val="center"/>
          </w:tcPr>
          <w:p w14:paraId="7D821F09">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分值</w:t>
            </w:r>
          </w:p>
        </w:tc>
        <w:tc>
          <w:tcPr>
            <w:tcW w:w="6660" w:type="dxa"/>
            <w:noWrap w:val="0"/>
            <w:vAlign w:val="center"/>
          </w:tcPr>
          <w:p w14:paraId="7751ADC9">
            <w:pPr>
              <w:spacing w:line="360" w:lineRule="auto"/>
              <w:jc w:val="center"/>
              <w:rPr>
                <w:rFonts w:hint="eastAsia" w:ascii="宋体" w:hAnsi="宋体" w:eastAsia="宋体" w:cs="宋体"/>
                <w:color w:val="auto"/>
              </w:rPr>
            </w:pPr>
            <w:r>
              <w:rPr>
                <w:rFonts w:hint="eastAsia" w:ascii="宋体" w:hAnsi="宋体" w:eastAsia="宋体" w:cs="宋体"/>
                <w:color w:val="auto"/>
              </w:rPr>
              <w:t>评分参考及范围</w:t>
            </w:r>
          </w:p>
        </w:tc>
      </w:tr>
      <w:tr w14:paraId="44BA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826" w:hRule="atLeast"/>
        </w:trPr>
        <w:tc>
          <w:tcPr>
            <w:tcW w:w="1070" w:type="dxa"/>
            <w:noWrap w:val="0"/>
            <w:vAlign w:val="center"/>
          </w:tcPr>
          <w:p w14:paraId="014EDFD4">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投标报价</w:t>
            </w:r>
          </w:p>
          <w:p w14:paraId="1892F3AD">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w:t>
            </w:r>
            <w:r>
              <w:rPr>
                <w:rFonts w:hint="eastAsia" w:ascii="宋体" w:hAnsi="宋体" w:eastAsia="宋体" w:cs="宋体"/>
                <w:color w:val="auto"/>
                <w:szCs w:val="24"/>
                <w:lang w:val="en-US" w:eastAsia="zh-CN"/>
              </w:rPr>
              <w:t>40</w:t>
            </w:r>
            <w:r>
              <w:rPr>
                <w:rFonts w:hint="eastAsia" w:ascii="宋体" w:hAnsi="宋体" w:eastAsia="宋体" w:cs="宋体"/>
                <w:color w:val="auto"/>
                <w:szCs w:val="24"/>
              </w:rPr>
              <w:t>分</w:t>
            </w:r>
          </w:p>
        </w:tc>
        <w:tc>
          <w:tcPr>
            <w:tcW w:w="1019" w:type="dxa"/>
            <w:noWrap w:val="0"/>
            <w:vAlign w:val="center"/>
          </w:tcPr>
          <w:p w14:paraId="2EF15AB8">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投标</w:t>
            </w:r>
          </w:p>
          <w:p w14:paraId="00DC0BFA">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总价</w:t>
            </w:r>
          </w:p>
        </w:tc>
        <w:tc>
          <w:tcPr>
            <w:tcW w:w="720" w:type="dxa"/>
            <w:noWrap w:val="0"/>
            <w:vAlign w:val="center"/>
          </w:tcPr>
          <w:p w14:paraId="10CD8975">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lang w:val="en-US" w:eastAsia="zh-CN"/>
              </w:rPr>
              <w:t>40</w:t>
            </w:r>
            <w:r>
              <w:rPr>
                <w:rFonts w:hint="eastAsia" w:ascii="宋体" w:hAnsi="宋体" w:eastAsia="宋体" w:cs="宋体"/>
                <w:color w:val="auto"/>
                <w:szCs w:val="24"/>
              </w:rPr>
              <w:t>分</w:t>
            </w:r>
          </w:p>
        </w:tc>
        <w:tc>
          <w:tcPr>
            <w:tcW w:w="6660" w:type="dxa"/>
            <w:noWrap w:val="0"/>
            <w:vAlign w:val="center"/>
          </w:tcPr>
          <w:p w14:paraId="6FAE78B0">
            <w:pPr>
              <w:spacing w:line="360" w:lineRule="auto"/>
              <w:ind w:left="0" w:leftChars="0" w:firstLine="420" w:firstLineChars="200"/>
              <w:rPr>
                <w:rFonts w:hint="eastAsia" w:ascii="宋体" w:hAnsi="宋体" w:eastAsia="宋体" w:cs="宋体"/>
                <w:color w:val="auto"/>
              </w:rPr>
            </w:pPr>
            <w:r>
              <w:rPr>
                <w:rFonts w:hint="eastAsia" w:ascii="宋体" w:hAnsi="宋体" w:eastAsia="宋体" w:cs="宋体"/>
                <w:color w:val="auto"/>
              </w:rPr>
              <w:t>满足招标文件要求（通过资格性审查和符合性审查）且投标价格最低的投标报价为评标基准价（低于成本的报价除外），其价格分为满分</w:t>
            </w:r>
            <w:r>
              <w:rPr>
                <w:rFonts w:hint="eastAsia" w:ascii="宋体" w:hAnsi="宋体" w:eastAsia="宋体" w:cs="宋体"/>
                <w:color w:val="auto"/>
                <w:lang w:val="en-US" w:eastAsia="zh-CN"/>
              </w:rPr>
              <w:t>40</w:t>
            </w:r>
            <w:r>
              <w:rPr>
                <w:rFonts w:hint="eastAsia" w:ascii="宋体" w:hAnsi="宋体" w:eastAsia="宋体" w:cs="宋体"/>
                <w:color w:val="auto"/>
              </w:rPr>
              <w:t>分。其他投标人的价格分统一按照下列公式计算：</w:t>
            </w:r>
          </w:p>
          <w:p w14:paraId="31675F05">
            <w:pPr>
              <w:spacing w:line="360" w:lineRule="auto"/>
              <w:ind w:left="0" w:leftChars="0" w:firstLine="420" w:firstLineChars="200"/>
              <w:rPr>
                <w:rFonts w:hint="eastAsia" w:ascii="宋体" w:hAnsi="宋体" w:eastAsia="宋体" w:cs="宋体"/>
                <w:color w:val="auto"/>
              </w:rPr>
            </w:pPr>
            <w:r>
              <w:rPr>
                <w:rFonts w:hint="eastAsia" w:ascii="宋体" w:hAnsi="宋体" w:eastAsia="宋体" w:cs="宋体"/>
                <w:color w:val="auto"/>
              </w:rPr>
              <w:t>投标报价得分=(评标基准价／投标报价)×</w:t>
            </w:r>
            <w:r>
              <w:rPr>
                <w:rFonts w:hint="eastAsia" w:ascii="宋体" w:hAnsi="宋体" w:eastAsia="宋体" w:cs="宋体"/>
                <w:color w:val="auto"/>
                <w:lang w:val="en-US" w:eastAsia="zh-CN"/>
              </w:rPr>
              <w:t>40</w:t>
            </w:r>
            <w:r>
              <w:rPr>
                <w:rFonts w:hint="eastAsia" w:ascii="宋体" w:hAnsi="宋体" w:eastAsia="宋体" w:cs="宋体"/>
                <w:color w:val="auto"/>
              </w:rPr>
              <w:t xml:space="preserve">%×100  </w:t>
            </w:r>
          </w:p>
          <w:p w14:paraId="33D70F68">
            <w:pPr>
              <w:spacing w:line="360" w:lineRule="auto"/>
              <w:ind w:left="0" w:leftChars="0" w:firstLine="420" w:firstLineChars="200"/>
              <w:rPr>
                <w:rFonts w:hint="eastAsia" w:ascii="宋体" w:hAnsi="宋体" w:eastAsia="宋体" w:cs="宋体"/>
                <w:color w:val="auto"/>
                <w:lang w:eastAsia="zh-CN"/>
              </w:rPr>
            </w:pPr>
            <w:r>
              <w:rPr>
                <w:rFonts w:hint="eastAsia" w:ascii="宋体" w:hAnsi="宋体" w:eastAsia="宋体" w:cs="宋体"/>
                <w:color w:val="auto"/>
              </w:rPr>
              <w:t>计算精确至小数点后两位</w:t>
            </w:r>
          </w:p>
          <w:p w14:paraId="79E97CE8">
            <w:pPr>
              <w:spacing w:line="360" w:lineRule="auto"/>
              <w:ind w:left="0" w:leftChars="0" w:firstLine="422" w:firstLineChars="200"/>
              <w:rPr>
                <w:rFonts w:hint="eastAsia" w:ascii="宋体" w:hAnsi="宋体" w:eastAsia="宋体" w:cs="宋体"/>
                <w:color w:val="auto"/>
              </w:rPr>
            </w:pPr>
            <w:r>
              <w:rPr>
                <w:rFonts w:hint="eastAsia" w:ascii="宋体" w:hAnsi="宋体" w:eastAsia="宋体" w:cs="宋体"/>
                <w:b/>
                <w:bCs/>
                <w:color w:val="auto"/>
                <w:lang w:eastAsia="zh-CN"/>
              </w:rPr>
              <w:t>注：评标委员会认为投标人的报价明显低于其他通过符合性审查的投标人的报价，有可能影响产品质量或者不能诚信履约的，应当要求其在合理的时间内提供书面说明，必要时提交相关证明材料；投标人不能证明其报价合理性的，评标委员会应当将其作为无效投标处理。</w:t>
            </w:r>
          </w:p>
        </w:tc>
      </w:tr>
      <w:tr w14:paraId="4E02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282" w:hRule="atLeast"/>
        </w:trPr>
        <w:tc>
          <w:tcPr>
            <w:tcW w:w="1070" w:type="dxa"/>
            <w:vMerge w:val="restart"/>
            <w:noWrap w:val="0"/>
            <w:vAlign w:val="center"/>
          </w:tcPr>
          <w:p w14:paraId="131BAE72">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商务部分</w:t>
            </w:r>
          </w:p>
          <w:p w14:paraId="79FFBA1E">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w:t>
            </w:r>
            <w:r>
              <w:rPr>
                <w:rFonts w:hint="eastAsia" w:ascii="宋体" w:hAnsi="宋体" w:eastAsia="宋体" w:cs="宋体"/>
                <w:color w:val="auto"/>
                <w:szCs w:val="24"/>
                <w:lang w:val="en-US" w:eastAsia="zh-CN"/>
              </w:rPr>
              <w:t>3</w:t>
            </w:r>
            <w:r>
              <w:rPr>
                <w:rFonts w:hint="eastAsia" w:ascii="宋体" w:hAnsi="宋体" w:cs="宋体"/>
                <w:color w:val="auto"/>
                <w:szCs w:val="24"/>
                <w:lang w:val="en-US" w:eastAsia="zh-CN"/>
              </w:rPr>
              <w:t>0</w:t>
            </w:r>
            <w:r>
              <w:rPr>
                <w:rFonts w:hint="eastAsia" w:ascii="宋体" w:hAnsi="宋体" w:eastAsia="宋体" w:cs="宋体"/>
                <w:color w:val="auto"/>
                <w:szCs w:val="24"/>
              </w:rPr>
              <w:t>分</w:t>
            </w:r>
          </w:p>
        </w:tc>
        <w:tc>
          <w:tcPr>
            <w:tcW w:w="1019" w:type="dxa"/>
            <w:tcBorders>
              <w:top w:val="single" w:color="auto" w:sz="4" w:space="0"/>
            </w:tcBorders>
            <w:noWrap w:val="0"/>
            <w:vAlign w:val="center"/>
          </w:tcPr>
          <w:p w14:paraId="1D1773C7">
            <w:pPr>
              <w:tabs>
                <w:tab w:val="left" w:pos="1230"/>
              </w:tabs>
              <w:spacing w:line="360" w:lineRule="auto"/>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lang w:val="en-US" w:eastAsia="zh-CN"/>
              </w:rPr>
              <w:t>类似项目业绩</w:t>
            </w:r>
          </w:p>
        </w:tc>
        <w:tc>
          <w:tcPr>
            <w:tcW w:w="720" w:type="dxa"/>
            <w:tcBorders>
              <w:top w:val="single" w:color="auto" w:sz="4" w:space="0"/>
            </w:tcBorders>
            <w:noWrap w:val="0"/>
            <w:vAlign w:val="center"/>
          </w:tcPr>
          <w:p w14:paraId="4F2175FD">
            <w:pPr>
              <w:spacing w:line="240" w:lineRule="auto"/>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lang w:val="en-US" w:eastAsia="zh-CN"/>
              </w:rPr>
              <w:t>4分</w:t>
            </w:r>
          </w:p>
        </w:tc>
        <w:tc>
          <w:tcPr>
            <w:tcW w:w="6660" w:type="dxa"/>
            <w:tcBorders>
              <w:top w:val="single" w:color="auto" w:sz="4" w:space="0"/>
            </w:tcBorders>
            <w:noWrap w:val="0"/>
            <w:vAlign w:val="center"/>
          </w:tcPr>
          <w:p w14:paraId="22693E14">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项目案例是以提供的投标人近三年（投标截止日前三个年度）自身签署的同类项目业绩合同为准，要求必须提供与最终用户签订的合同首页、合同金额所在页、签字盖章页复印件作为证明，每提供一个项目业绩合同，得</w:t>
            </w:r>
            <w:r>
              <w:rPr>
                <w:rFonts w:hint="eastAsia" w:ascii="宋体" w:hAnsi="宋体" w:eastAsia="宋体" w:cs="宋体"/>
                <w:color w:val="auto"/>
                <w:lang w:val="en-US" w:eastAsia="zh-CN"/>
              </w:rPr>
              <w:t>2</w:t>
            </w:r>
            <w:r>
              <w:rPr>
                <w:rFonts w:hint="eastAsia" w:ascii="宋体" w:hAnsi="宋体" w:eastAsia="宋体" w:cs="宋体"/>
                <w:color w:val="auto"/>
              </w:rPr>
              <w:t>分，最高得</w:t>
            </w:r>
            <w:r>
              <w:rPr>
                <w:rFonts w:hint="eastAsia" w:ascii="宋体" w:hAnsi="宋体" w:eastAsia="宋体" w:cs="宋体"/>
                <w:color w:val="auto"/>
                <w:lang w:val="en-US" w:eastAsia="zh-CN"/>
              </w:rPr>
              <w:t>4</w:t>
            </w:r>
            <w:r>
              <w:rPr>
                <w:rFonts w:hint="eastAsia" w:ascii="宋体" w:hAnsi="宋体" w:eastAsia="宋体" w:cs="宋体"/>
                <w:color w:val="auto"/>
              </w:rPr>
              <w:t>分。注：本款可作为加分的合同案例仅指投标人自身的合同案例，即合同案例合同的乙方必须与投标人的名称完全一致，如公司名称发生变更，必须提供行政审批部门的证明文件。</w:t>
            </w:r>
          </w:p>
          <w:p w14:paraId="7E4C32CF">
            <w:pPr>
              <w:wordWrap w:val="0"/>
              <w:overflowPunct w:val="0"/>
              <w:spacing w:line="360" w:lineRule="auto"/>
              <w:ind w:firstLine="420" w:firstLineChars="200"/>
              <w:rPr>
                <w:rFonts w:hint="eastAsia" w:ascii="宋体" w:hAnsi="宋体" w:eastAsia="宋体" w:cs="宋体"/>
                <w:color w:val="auto"/>
                <w:lang w:val="en-US" w:eastAsia="zh-CN"/>
              </w:rPr>
            </w:pPr>
            <w:r>
              <w:rPr>
                <w:rFonts w:hint="eastAsia" w:ascii="宋体" w:hAnsi="宋体" w:eastAsia="宋体" w:cs="宋体"/>
                <w:color w:val="auto"/>
              </w:rPr>
              <w:t>未按要求提供或提供不完整的不得分</w:t>
            </w:r>
          </w:p>
        </w:tc>
      </w:tr>
      <w:tr w14:paraId="45FBD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03" w:hRule="atLeast"/>
        </w:trPr>
        <w:tc>
          <w:tcPr>
            <w:tcW w:w="1070" w:type="dxa"/>
            <w:vMerge w:val="continue"/>
            <w:noWrap w:val="0"/>
            <w:vAlign w:val="center"/>
          </w:tcPr>
          <w:p w14:paraId="77579D65">
            <w:pPr>
              <w:tabs>
                <w:tab w:val="left" w:pos="1230"/>
              </w:tabs>
              <w:spacing w:line="360" w:lineRule="auto"/>
              <w:jc w:val="center"/>
              <w:rPr>
                <w:rFonts w:hint="eastAsia" w:ascii="宋体" w:hAnsi="宋体" w:eastAsia="宋体" w:cs="宋体"/>
                <w:color w:val="auto"/>
                <w:szCs w:val="24"/>
              </w:rPr>
            </w:pPr>
          </w:p>
        </w:tc>
        <w:tc>
          <w:tcPr>
            <w:tcW w:w="1019" w:type="dxa"/>
            <w:tcBorders>
              <w:top w:val="single" w:color="auto" w:sz="4" w:space="0"/>
            </w:tcBorders>
            <w:noWrap w:val="0"/>
            <w:vAlign w:val="center"/>
          </w:tcPr>
          <w:p w14:paraId="3C1EA9B6">
            <w:pPr>
              <w:tabs>
                <w:tab w:val="left" w:pos="1230"/>
              </w:tabs>
              <w:spacing w:line="360" w:lineRule="auto"/>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投标产品相关证明材料</w:t>
            </w:r>
          </w:p>
        </w:tc>
        <w:tc>
          <w:tcPr>
            <w:tcW w:w="720" w:type="dxa"/>
            <w:tcBorders>
              <w:top w:val="single" w:color="auto" w:sz="4" w:space="0"/>
            </w:tcBorders>
            <w:noWrap w:val="0"/>
            <w:vAlign w:val="center"/>
          </w:tcPr>
          <w:p w14:paraId="00690605">
            <w:pPr>
              <w:tabs>
                <w:tab w:val="left" w:pos="1230"/>
              </w:tabs>
              <w:spacing w:line="360" w:lineRule="auto"/>
              <w:jc w:val="center"/>
              <w:rPr>
                <w:rFonts w:hint="eastAsia" w:ascii="宋体" w:hAnsi="宋体" w:eastAsia="宋体" w:cs="宋体"/>
                <w:color w:val="auto"/>
                <w:kern w:val="2"/>
                <w:sz w:val="21"/>
                <w:lang w:val="en-US" w:eastAsia="zh-CN" w:bidi="ar-SA"/>
              </w:rPr>
            </w:pPr>
            <w:r>
              <w:rPr>
                <w:rFonts w:hint="eastAsia" w:ascii="宋体" w:hAnsi="宋体" w:eastAsia="宋体" w:cs="宋体"/>
                <w:color w:val="auto"/>
                <w:kern w:val="2"/>
                <w:sz w:val="21"/>
                <w:lang w:val="en-US" w:eastAsia="zh-CN" w:bidi="ar-SA"/>
              </w:rPr>
              <w:t>17分</w:t>
            </w:r>
          </w:p>
        </w:tc>
        <w:tc>
          <w:tcPr>
            <w:tcW w:w="6660" w:type="dxa"/>
            <w:tcBorders>
              <w:top w:val="single" w:color="auto" w:sz="4" w:space="0"/>
            </w:tcBorders>
            <w:noWrap w:val="0"/>
            <w:vAlign w:val="center"/>
          </w:tcPr>
          <w:p w14:paraId="6A4C434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（一）产品相关证书（8分）</w:t>
            </w:r>
          </w:p>
          <w:p w14:paraId="6738683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1.第2项产品</w:t>
            </w:r>
            <w:r>
              <w:rPr>
                <w:rFonts w:hint="eastAsia" w:ascii="宋体" w:hAnsi="宋体" w:eastAsia="宋体" w:cs="宋体"/>
                <w:color w:val="auto"/>
              </w:rPr>
              <w:t>智能网联汽车传感器雷达装配调试平台</w:t>
            </w:r>
            <w:r>
              <w:rPr>
                <w:rFonts w:hint="eastAsia" w:ascii="宋体" w:hAnsi="宋体" w:eastAsia="宋体" w:cs="宋体"/>
                <w:color w:val="auto"/>
                <w:lang w:val="en-US" w:eastAsia="zh-CN"/>
              </w:rPr>
              <w:t>中</w:t>
            </w:r>
            <w:r>
              <w:rPr>
                <w:rFonts w:hint="eastAsia" w:ascii="宋体" w:hAnsi="宋体" w:eastAsia="宋体" w:cs="宋体"/>
                <w:color w:val="auto"/>
              </w:rPr>
              <w:t>毫米波雷达测调试系统</w:t>
            </w:r>
            <w:r>
              <w:rPr>
                <w:rFonts w:hint="eastAsia" w:ascii="宋体" w:hAnsi="宋体" w:eastAsia="宋体" w:cs="宋体"/>
                <w:color w:val="auto"/>
                <w:lang w:val="en-US" w:eastAsia="zh-CN"/>
              </w:rPr>
              <w:t>能提供相关软件著作权证书的得2分，不提供不得分；</w:t>
            </w:r>
          </w:p>
          <w:p w14:paraId="0D23C3A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2.第3项产品</w:t>
            </w:r>
            <w:r>
              <w:rPr>
                <w:rFonts w:hint="eastAsia" w:ascii="宋体" w:hAnsi="宋体" w:eastAsia="宋体" w:cs="宋体"/>
                <w:color w:val="auto"/>
              </w:rPr>
              <w:t>智能网联汽车线控底盘操作检测平台</w:t>
            </w:r>
            <w:r>
              <w:rPr>
                <w:rFonts w:hint="eastAsia" w:ascii="宋体" w:hAnsi="宋体" w:eastAsia="宋体" w:cs="宋体"/>
                <w:color w:val="auto"/>
                <w:lang w:val="en-US" w:eastAsia="zh-CN"/>
              </w:rPr>
              <w:t>中</w:t>
            </w:r>
            <w:r>
              <w:rPr>
                <w:rFonts w:hint="eastAsia" w:ascii="宋体" w:hAnsi="宋体" w:eastAsia="宋体" w:cs="宋体"/>
                <w:color w:val="auto"/>
              </w:rPr>
              <w:t>底盘线控系统调试软件</w:t>
            </w:r>
            <w:r>
              <w:rPr>
                <w:rFonts w:hint="eastAsia" w:ascii="宋体" w:hAnsi="宋体" w:eastAsia="宋体" w:cs="宋体"/>
                <w:color w:val="auto"/>
                <w:lang w:val="en-US" w:eastAsia="zh-CN"/>
              </w:rPr>
              <w:t>能提供相关软件著作权证书的得2分，不提供不得分；</w:t>
            </w:r>
          </w:p>
          <w:p w14:paraId="4531178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3.第7项产品</w:t>
            </w:r>
            <w:r>
              <w:rPr>
                <w:rFonts w:hint="eastAsia" w:ascii="宋体" w:hAnsi="宋体" w:eastAsia="宋体" w:cs="宋体"/>
                <w:color w:val="auto"/>
              </w:rPr>
              <w:t>新能源汽车动力总成VR实训系统</w:t>
            </w:r>
            <w:r>
              <w:rPr>
                <w:rFonts w:hint="eastAsia" w:ascii="宋体" w:hAnsi="宋体" w:eastAsia="宋体" w:cs="宋体"/>
                <w:color w:val="auto"/>
                <w:lang w:val="en-US" w:eastAsia="zh-CN"/>
              </w:rPr>
              <w:t>能提供相关软件著作权证书的得2分，不提供不得分；</w:t>
            </w:r>
          </w:p>
          <w:p w14:paraId="35C2F77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4.第12项产品</w:t>
            </w:r>
            <w:r>
              <w:rPr>
                <w:rFonts w:hint="eastAsia" w:ascii="宋体" w:hAnsi="宋体" w:eastAsia="宋体" w:cs="宋体"/>
                <w:color w:val="auto"/>
              </w:rPr>
              <w:t>汽车钣金实训台</w:t>
            </w:r>
            <w:r>
              <w:rPr>
                <w:rFonts w:hint="eastAsia" w:ascii="宋体" w:hAnsi="宋体" w:eastAsia="宋体" w:cs="宋体"/>
                <w:color w:val="auto"/>
                <w:lang w:val="en-US" w:eastAsia="zh-CN"/>
              </w:rPr>
              <w:t>中</w:t>
            </w:r>
            <w:r>
              <w:rPr>
                <w:rFonts w:hint="eastAsia" w:ascii="宋体" w:hAnsi="宋体" w:eastAsia="宋体" w:cs="宋体"/>
                <w:color w:val="auto"/>
              </w:rPr>
              <w:t>钣喷中心教学资源</w:t>
            </w:r>
            <w:r>
              <w:rPr>
                <w:rFonts w:hint="eastAsia" w:ascii="宋体" w:hAnsi="宋体" w:eastAsia="宋体" w:cs="宋体"/>
                <w:color w:val="auto"/>
                <w:lang w:val="en-US" w:eastAsia="zh-CN"/>
              </w:rPr>
              <w:t>能提供相关软件著作权证书的得2分，不提供不得分；</w:t>
            </w:r>
          </w:p>
          <w:p w14:paraId="01D0CCD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（二）产品佐证材料（5分）</w:t>
            </w:r>
          </w:p>
          <w:p w14:paraId="1F31428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1.第2项产品</w:t>
            </w:r>
            <w:r>
              <w:rPr>
                <w:rFonts w:hint="eastAsia" w:ascii="宋体" w:hAnsi="宋体" w:eastAsia="宋体" w:cs="宋体"/>
                <w:color w:val="auto"/>
              </w:rPr>
              <w:t>智能网联汽车传感器雷达装配调试平台</w:t>
            </w:r>
            <w:r>
              <w:rPr>
                <w:rFonts w:hint="eastAsia" w:ascii="宋体" w:hAnsi="宋体" w:eastAsia="宋体" w:cs="宋体"/>
                <w:color w:val="auto"/>
                <w:lang w:val="en-US" w:eastAsia="zh-CN"/>
              </w:rPr>
              <w:t>中</w:t>
            </w:r>
            <w:r>
              <w:rPr>
                <w:rFonts w:hint="eastAsia" w:ascii="宋体" w:hAnsi="宋体" w:eastAsia="宋体" w:cs="宋体"/>
                <w:color w:val="auto"/>
              </w:rPr>
              <w:t>自动驾驶开发实训平台</w:t>
            </w:r>
            <w:r>
              <w:rPr>
                <w:rFonts w:hint="eastAsia" w:ascii="宋体" w:hAnsi="宋体" w:eastAsia="宋体" w:cs="宋体"/>
                <w:color w:val="auto"/>
                <w:lang w:val="en-US" w:eastAsia="zh-CN"/>
              </w:rPr>
              <w:t>能提供具有CMA或CNAS认证机构出具的检验报告复印件或扫描件的得1分，不提供不得分；</w:t>
            </w:r>
          </w:p>
          <w:p w14:paraId="35F0520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2.第5项产品</w:t>
            </w:r>
            <w:r>
              <w:rPr>
                <w:rFonts w:hint="eastAsia" w:ascii="宋体" w:hAnsi="宋体" w:eastAsia="宋体" w:cs="宋体"/>
                <w:color w:val="auto"/>
              </w:rPr>
              <w:t>新能源汽车双模组动力电池均衡实训装置</w:t>
            </w:r>
            <w:r>
              <w:rPr>
                <w:rFonts w:hint="eastAsia" w:ascii="宋体" w:hAnsi="宋体" w:eastAsia="宋体" w:cs="宋体"/>
                <w:color w:val="auto"/>
                <w:lang w:val="en-US" w:eastAsia="zh-CN"/>
              </w:rPr>
              <w:t>能</w:t>
            </w:r>
            <w:r>
              <w:rPr>
                <w:rFonts w:hint="eastAsia" w:ascii="宋体" w:hAnsi="宋体" w:eastAsia="宋体" w:cs="宋体"/>
                <w:color w:val="auto"/>
              </w:rPr>
              <w:t>提供具有CNAS认证的检测机构出具的校准证书</w:t>
            </w:r>
            <w:r>
              <w:rPr>
                <w:rFonts w:hint="eastAsia" w:ascii="宋体" w:hAnsi="宋体" w:eastAsia="宋体" w:cs="宋体"/>
                <w:color w:val="auto"/>
                <w:lang w:val="en-US" w:eastAsia="zh-CN"/>
              </w:rPr>
              <w:t>复印件或扫描件的得1分，不提供不得分；</w:t>
            </w:r>
          </w:p>
          <w:p w14:paraId="279FCB1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3.第8项产品</w:t>
            </w:r>
            <w:r>
              <w:rPr>
                <w:rFonts w:hint="eastAsia" w:ascii="宋体" w:hAnsi="宋体" w:eastAsia="宋体" w:cs="宋体"/>
                <w:color w:val="auto"/>
              </w:rPr>
              <w:t>高压万用表</w:t>
            </w:r>
            <w:r>
              <w:rPr>
                <w:rFonts w:hint="eastAsia" w:ascii="宋体" w:hAnsi="宋体" w:eastAsia="宋体" w:cs="宋体"/>
                <w:color w:val="auto"/>
                <w:lang w:val="en-US" w:eastAsia="zh-CN"/>
              </w:rPr>
              <w:t>中</w:t>
            </w:r>
            <w:r>
              <w:rPr>
                <w:rFonts w:hint="eastAsia" w:ascii="宋体" w:hAnsi="宋体" w:eastAsia="宋体" w:cs="宋体"/>
                <w:color w:val="auto"/>
              </w:rPr>
              <w:t>自动驾驶开发实训平台</w:t>
            </w:r>
            <w:r>
              <w:rPr>
                <w:rFonts w:hint="eastAsia" w:ascii="宋体" w:hAnsi="宋体" w:eastAsia="宋体" w:cs="宋体"/>
                <w:color w:val="auto"/>
                <w:lang w:val="en-US" w:eastAsia="zh-CN"/>
              </w:rPr>
              <w:t>能</w:t>
            </w:r>
            <w:r>
              <w:rPr>
                <w:rFonts w:hint="eastAsia" w:ascii="宋体" w:hAnsi="宋体" w:eastAsia="宋体" w:cs="宋体"/>
                <w:color w:val="auto"/>
              </w:rPr>
              <w:t>提供具有CNAS认证的检测机构出具的校准证书</w:t>
            </w:r>
            <w:r>
              <w:rPr>
                <w:rFonts w:hint="eastAsia" w:ascii="宋体" w:hAnsi="宋体" w:eastAsia="宋体" w:cs="宋体"/>
                <w:color w:val="auto"/>
                <w:lang w:val="en-US" w:eastAsia="zh-CN"/>
              </w:rPr>
              <w:t>复印件或扫描件的得1分，不提供不得分；</w:t>
            </w:r>
          </w:p>
          <w:p w14:paraId="590B82A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4.第12项产品</w:t>
            </w:r>
            <w:r>
              <w:rPr>
                <w:rFonts w:hint="eastAsia" w:ascii="宋体" w:hAnsi="宋体" w:eastAsia="宋体" w:cs="宋体"/>
                <w:color w:val="auto"/>
              </w:rPr>
              <w:t>汽车钣金实训台</w:t>
            </w:r>
            <w:r>
              <w:rPr>
                <w:rFonts w:hint="eastAsia" w:ascii="宋体" w:hAnsi="宋体" w:eastAsia="宋体" w:cs="宋体"/>
                <w:color w:val="auto"/>
                <w:lang w:val="en-US" w:eastAsia="zh-CN"/>
              </w:rPr>
              <w:t>中的</w:t>
            </w:r>
            <w:r>
              <w:rPr>
                <w:rFonts w:hint="eastAsia" w:ascii="宋体" w:hAnsi="宋体" w:eastAsia="宋体" w:cs="宋体"/>
                <w:color w:val="auto"/>
              </w:rPr>
              <w:t>抽排系统</w:t>
            </w:r>
            <w:r>
              <w:rPr>
                <w:rFonts w:hint="eastAsia" w:ascii="宋体" w:hAnsi="宋体" w:eastAsia="宋体" w:cs="宋体"/>
                <w:color w:val="auto"/>
                <w:lang w:val="en-US" w:eastAsia="zh-CN"/>
              </w:rPr>
              <w:t>能提供具有CMA或CNAS认证机构出具的检验报告复印件或扫描件的得1分，不提供不得分；</w:t>
            </w:r>
          </w:p>
          <w:p w14:paraId="4AE869C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5.第14项产品</w:t>
            </w:r>
            <w:r>
              <w:rPr>
                <w:rFonts w:hint="eastAsia" w:ascii="宋体" w:hAnsi="宋体" w:eastAsia="宋体" w:cs="宋体"/>
                <w:color w:val="auto"/>
              </w:rPr>
              <w:t>精密桌面五轴智能制造实训教学设备</w:t>
            </w:r>
            <w:r>
              <w:rPr>
                <w:rFonts w:hint="eastAsia" w:ascii="宋体" w:hAnsi="宋体" w:eastAsia="宋体" w:cs="宋体"/>
                <w:color w:val="auto"/>
                <w:lang w:val="en-US" w:eastAsia="zh-CN"/>
              </w:rPr>
              <w:t>中无线侧头能提供与设备制造商为同品牌或同企业的相关证明材料的得1分，不提供不得分；</w:t>
            </w:r>
          </w:p>
          <w:p w14:paraId="6505B1E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（三）功能截图（4分）</w:t>
            </w:r>
          </w:p>
          <w:p w14:paraId="2A6803D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1.第3项产品</w:t>
            </w:r>
            <w:r>
              <w:rPr>
                <w:rFonts w:hint="eastAsia" w:ascii="宋体" w:hAnsi="宋体" w:eastAsia="宋体" w:cs="宋体"/>
                <w:color w:val="auto"/>
              </w:rPr>
              <w:t>智能网联汽车线控底盘操作检测平台</w:t>
            </w:r>
            <w:r>
              <w:rPr>
                <w:rFonts w:hint="eastAsia" w:ascii="宋体" w:hAnsi="宋体" w:eastAsia="宋体" w:cs="宋体"/>
                <w:color w:val="auto"/>
                <w:lang w:val="en-US" w:eastAsia="zh-CN"/>
              </w:rPr>
              <w:t>中的线控接管需提供产品功能截图作为佐证材料，截图全面、清晰的展示了产品内容的得0.5分，未提供或提供的截图模糊不清，无法展示产品功能不得分；</w:t>
            </w:r>
          </w:p>
          <w:p w14:paraId="6510BAB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2.第7项产品</w:t>
            </w:r>
            <w:r>
              <w:rPr>
                <w:rFonts w:hint="eastAsia" w:ascii="宋体" w:hAnsi="宋体" w:eastAsia="宋体" w:cs="宋体"/>
                <w:color w:val="auto"/>
              </w:rPr>
              <w:t>新能源汽车动力总成VR实训系统</w:t>
            </w:r>
            <w:r>
              <w:rPr>
                <w:rFonts w:hint="eastAsia" w:ascii="宋体" w:hAnsi="宋体" w:eastAsia="宋体" w:cs="宋体"/>
                <w:color w:val="auto"/>
                <w:lang w:val="en-US" w:eastAsia="zh-CN"/>
              </w:rPr>
              <w:t>中的</w:t>
            </w:r>
            <w:r>
              <w:rPr>
                <w:rFonts w:hint="eastAsia" w:ascii="宋体" w:hAnsi="宋体" w:eastAsia="宋体" w:cs="宋体"/>
                <w:color w:val="auto"/>
              </w:rPr>
              <w:t>驱动电机模块</w:t>
            </w:r>
            <w:r>
              <w:rPr>
                <w:rFonts w:hint="eastAsia" w:ascii="宋体" w:hAnsi="宋体" w:eastAsia="宋体" w:cs="宋体"/>
                <w:color w:val="auto"/>
                <w:lang w:val="en-US" w:eastAsia="zh-CN"/>
              </w:rPr>
              <w:t>需提供产品功能截图作为佐证材料，截图全面、清晰的展示了产品内容的得0.5分，未提供或提供的截图模糊不清，无法展示产品功能不得分；</w:t>
            </w:r>
          </w:p>
          <w:p w14:paraId="320EC90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3.第12项产品</w:t>
            </w:r>
            <w:r>
              <w:rPr>
                <w:rFonts w:hint="eastAsia" w:ascii="宋体" w:hAnsi="宋体" w:eastAsia="宋体" w:cs="宋体"/>
                <w:color w:val="auto"/>
              </w:rPr>
              <w:t>汽车钣金实训台</w:t>
            </w:r>
            <w:r>
              <w:rPr>
                <w:rFonts w:hint="eastAsia" w:ascii="宋体" w:hAnsi="宋体" w:eastAsia="宋体" w:cs="宋体"/>
                <w:color w:val="auto"/>
                <w:lang w:val="en-US" w:eastAsia="zh-CN"/>
              </w:rPr>
              <w:t>中的</w:t>
            </w:r>
            <w:r>
              <w:rPr>
                <w:rFonts w:hint="eastAsia" w:ascii="宋体" w:hAnsi="宋体" w:eastAsia="宋体" w:cs="宋体"/>
                <w:color w:val="auto"/>
              </w:rPr>
              <w:t>汽车门板修复教学资源</w:t>
            </w:r>
            <w:r>
              <w:rPr>
                <w:rFonts w:hint="eastAsia" w:ascii="宋体" w:hAnsi="宋体" w:eastAsia="宋体" w:cs="宋体"/>
                <w:color w:val="auto"/>
                <w:lang w:val="en-US" w:eastAsia="zh-CN"/>
              </w:rPr>
              <w:t>需提供产品功能截图作为佐证材料，截图全面、清晰的展示了产品内容的得0.5分，未提供或提供的截图模糊不清，无法展示产品功能不得分；</w:t>
            </w:r>
          </w:p>
          <w:p w14:paraId="1E9D14C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4.第12项产品</w:t>
            </w:r>
            <w:r>
              <w:rPr>
                <w:rFonts w:hint="eastAsia" w:ascii="宋体" w:hAnsi="宋体" w:eastAsia="宋体" w:cs="宋体"/>
                <w:color w:val="auto"/>
              </w:rPr>
              <w:t>汽车钣金实训台</w:t>
            </w:r>
            <w:r>
              <w:rPr>
                <w:rFonts w:hint="eastAsia" w:ascii="宋体" w:hAnsi="宋体" w:eastAsia="宋体" w:cs="宋体"/>
                <w:color w:val="auto"/>
                <w:lang w:val="en-US" w:eastAsia="zh-CN"/>
              </w:rPr>
              <w:t>中的</w:t>
            </w:r>
            <w:r>
              <w:rPr>
                <w:rFonts w:hint="eastAsia" w:ascii="宋体" w:hAnsi="宋体" w:eastAsia="宋体" w:cs="宋体"/>
                <w:color w:val="auto"/>
              </w:rPr>
              <w:t>钢板连接教学资源</w:t>
            </w:r>
            <w:r>
              <w:rPr>
                <w:rFonts w:hint="eastAsia" w:ascii="宋体" w:hAnsi="宋体" w:eastAsia="宋体" w:cs="宋体"/>
                <w:color w:val="auto"/>
                <w:lang w:val="en-US" w:eastAsia="zh-CN"/>
              </w:rPr>
              <w:t>需提供产品功能截图作为佐证材料，截图全面、清晰的展示了产品内容的得0.5分，未提供或提供的截图模糊不清，无法展示产品功能不得分；</w:t>
            </w:r>
          </w:p>
          <w:p w14:paraId="72EAAD9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5.第14项产品</w:t>
            </w:r>
            <w:r>
              <w:rPr>
                <w:rFonts w:hint="eastAsia" w:ascii="宋体" w:hAnsi="宋体" w:eastAsia="宋体" w:cs="宋体"/>
                <w:color w:val="auto"/>
              </w:rPr>
              <w:t>精密桌面五轴智能制造实训教学设备</w:t>
            </w:r>
            <w:r>
              <w:rPr>
                <w:rFonts w:hint="eastAsia" w:ascii="宋体" w:hAnsi="宋体" w:eastAsia="宋体" w:cs="宋体"/>
                <w:color w:val="auto"/>
                <w:lang w:val="en-US" w:eastAsia="zh-CN"/>
              </w:rPr>
              <w:t>中需提供机床床身结构的3D爆炸展示图作为佐证材料，截图全面、清晰的展示了产品内容的得0.5分，未提供或提供的截图模糊不清，无法展示产品功能不得分；</w:t>
            </w:r>
          </w:p>
          <w:p w14:paraId="2C30EDE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6.第14项产品</w:t>
            </w:r>
            <w:r>
              <w:rPr>
                <w:rFonts w:hint="eastAsia" w:ascii="宋体" w:hAnsi="宋体" w:eastAsia="宋体" w:cs="宋体"/>
                <w:color w:val="auto"/>
              </w:rPr>
              <w:t>精密桌面五轴智能制造实训教学设备</w:t>
            </w:r>
            <w:r>
              <w:rPr>
                <w:rFonts w:hint="eastAsia" w:ascii="宋体" w:hAnsi="宋体" w:eastAsia="宋体" w:cs="宋体"/>
                <w:color w:val="auto"/>
                <w:lang w:val="en-US" w:eastAsia="zh-CN"/>
              </w:rPr>
              <w:t>中的</w:t>
            </w:r>
            <w:r>
              <w:rPr>
                <w:rFonts w:hint="eastAsia" w:ascii="宋体" w:hAnsi="宋体" w:eastAsia="宋体" w:cs="宋体"/>
                <w:color w:val="auto"/>
              </w:rPr>
              <w:t>多轴联动加工技术</w:t>
            </w:r>
            <w:r>
              <w:rPr>
                <w:rFonts w:hint="eastAsia" w:ascii="宋体" w:hAnsi="宋体" w:eastAsia="宋体" w:cs="宋体"/>
                <w:color w:val="auto"/>
                <w:lang w:val="en-US" w:eastAsia="zh-CN"/>
              </w:rPr>
              <w:t>需提供产品功能截图作为佐证材料，截图全面、清晰的展示了产品内容的得0.5分，未提供或提供的截图模糊不清，无法展示产品功能不得分；</w:t>
            </w:r>
          </w:p>
          <w:p w14:paraId="1A65A37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7.第14项产品</w:t>
            </w:r>
            <w:r>
              <w:rPr>
                <w:rFonts w:hint="eastAsia" w:ascii="宋体" w:hAnsi="宋体" w:eastAsia="宋体" w:cs="宋体"/>
                <w:color w:val="auto"/>
              </w:rPr>
              <w:t>精密桌面五轴智能制造实训教学设备</w:t>
            </w:r>
            <w:r>
              <w:rPr>
                <w:rFonts w:hint="eastAsia" w:ascii="宋体" w:hAnsi="宋体" w:eastAsia="宋体" w:cs="宋体"/>
                <w:color w:val="auto"/>
                <w:lang w:val="en-US" w:eastAsia="zh-CN"/>
              </w:rPr>
              <w:t>中的</w:t>
            </w:r>
            <w:r>
              <w:rPr>
                <w:rFonts w:hint="eastAsia" w:ascii="宋体" w:hAnsi="宋体" w:eastAsia="宋体" w:cs="宋体"/>
                <w:color w:val="auto"/>
              </w:rPr>
              <w:t>碰撞检测逻辑</w:t>
            </w:r>
            <w:r>
              <w:rPr>
                <w:rFonts w:hint="eastAsia" w:ascii="宋体" w:hAnsi="宋体" w:eastAsia="宋体" w:cs="宋体"/>
                <w:color w:val="auto"/>
                <w:lang w:val="en-US" w:eastAsia="zh-CN"/>
              </w:rPr>
              <w:t>需提供产品功能截图作为佐证材料，截图全面、清晰的展示了产品内容的得0.5分，未提供或提供的截图模糊不清，无法展示产品功能不得分；</w:t>
            </w:r>
          </w:p>
          <w:p w14:paraId="3C289F8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8.第14项产品</w:t>
            </w:r>
            <w:r>
              <w:rPr>
                <w:rFonts w:hint="eastAsia" w:ascii="宋体" w:hAnsi="宋体" w:eastAsia="宋体" w:cs="宋体"/>
                <w:color w:val="auto"/>
              </w:rPr>
              <w:t>精密桌面五轴智能制造实训教学设备</w:t>
            </w:r>
            <w:r>
              <w:rPr>
                <w:rFonts w:hint="eastAsia" w:ascii="宋体" w:hAnsi="宋体" w:eastAsia="宋体" w:cs="宋体"/>
                <w:color w:val="auto"/>
                <w:lang w:val="en-US" w:eastAsia="zh-CN"/>
              </w:rPr>
              <w:t>中需提供</w:t>
            </w:r>
            <w:r>
              <w:rPr>
                <w:rFonts w:hint="eastAsia" w:ascii="宋体" w:hAnsi="宋体" w:eastAsia="宋体" w:cs="宋体"/>
                <w:color w:val="auto"/>
              </w:rPr>
              <w:t>数字化配套教学资源包包含</w:t>
            </w:r>
            <w:r>
              <w:rPr>
                <w:rFonts w:hint="eastAsia" w:ascii="宋体" w:hAnsi="宋体" w:eastAsia="宋体" w:cs="宋体"/>
                <w:color w:val="auto"/>
                <w:lang w:val="en-US" w:eastAsia="zh-CN"/>
              </w:rPr>
              <w:t>的</w:t>
            </w:r>
            <w:r>
              <w:rPr>
                <w:rFonts w:hint="eastAsia" w:ascii="宋体" w:hAnsi="宋体" w:eastAsia="宋体" w:cs="宋体"/>
                <w:color w:val="auto"/>
              </w:rPr>
              <w:t>电子资源、学习案例视频、课件PPT、训练案例模型资源库等</w:t>
            </w:r>
            <w:r>
              <w:rPr>
                <w:rFonts w:hint="eastAsia" w:ascii="宋体" w:hAnsi="宋体" w:eastAsia="宋体" w:cs="宋体"/>
                <w:color w:val="auto"/>
                <w:lang w:val="en-US" w:eastAsia="zh-CN"/>
              </w:rPr>
              <w:t>作为佐证材料，截图全面、清晰的展示了产品内容的得0.5分，未提供或提供的截图模糊不清，无法展示产品功能不得分；</w:t>
            </w:r>
          </w:p>
        </w:tc>
      </w:tr>
      <w:tr w14:paraId="3CE10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700" w:hRule="atLeast"/>
        </w:trPr>
        <w:tc>
          <w:tcPr>
            <w:tcW w:w="1070" w:type="dxa"/>
            <w:vMerge w:val="continue"/>
            <w:noWrap w:val="0"/>
            <w:vAlign w:val="center"/>
          </w:tcPr>
          <w:p w14:paraId="66F64D4F">
            <w:pPr>
              <w:tabs>
                <w:tab w:val="left" w:pos="1230"/>
              </w:tabs>
              <w:spacing w:line="360" w:lineRule="auto"/>
              <w:jc w:val="center"/>
              <w:rPr>
                <w:rFonts w:hint="eastAsia" w:ascii="宋体" w:hAnsi="宋体" w:eastAsia="宋体" w:cs="宋体"/>
                <w:color w:val="auto"/>
                <w:szCs w:val="24"/>
                <w:lang w:val="en-US" w:eastAsia="zh-CN"/>
              </w:rPr>
            </w:pPr>
          </w:p>
        </w:tc>
        <w:tc>
          <w:tcPr>
            <w:tcW w:w="1019" w:type="dxa"/>
            <w:tcBorders>
              <w:top w:val="single" w:color="auto" w:sz="4" w:space="0"/>
              <w:left w:val="single" w:color="auto" w:sz="4" w:space="0"/>
              <w:bottom w:val="single" w:color="auto" w:sz="4" w:space="0"/>
            </w:tcBorders>
            <w:noWrap w:val="0"/>
            <w:vAlign w:val="center"/>
          </w:tcPr>
          <w:p w14:paraId="1C7DE09F">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lang w:val="en-US" w:eastAsia="zh-CN"/>
              </w:rPr>
              <w:t>供货产品技术参数响应情况</w:t>
            </w:r>
          </w:p>
        </w:tc>
        <w:tc>
          <w:tcPr>
            <w:tcW w:w="720" w:type="dxa"/>
            <w:noWrap w:val="0"/>
            <w:vAlign w:val="center"/>
          </w:tcPr>
          <w:p w14:paraId="5E7EF8DC">
            <w:pPr>
              <w:tabs>
                <w:tab w:val="left" w:pos="1230"/>
              </w:tabs>
              <w:spacing w:line="360"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9分</w:t>
            </w:r>
          </w:p>
        </w:tc>
        <w:tc>
          <w:tcPr>
            <w:tcW w:w="6660" w:type="dxa"/>
            <w:noWrap w:val="0"/>
            <w:vAlign w:val="center"/>
          </w:tcPr>
          <w:p w14:paraId="4FC6C930">
            <w:pPr>
              <w:spacing w:line="360" w:lineRule="auto"/>
              <w:ind w:left="0" w:leftChars="0" w:firstLine="420" w:firstLineChars="200"/>
              <w:jc w:val="both"/>
              <w:rPr>
                <w:rFonts w:hint="eastAsia" w:ascii="宋体" w:hAnsi="宋体" w:eastAsia="宋体" w:cs="宋体"/>
                <w:color w:val="auto"/>
                <w:lang w:val="en-US" w:eastAsia="zh-CN"/>
              </w:rPr>
            </w:pPr>
            <w:r>
              <w:rPr>
                <w:rFonts w:hint="eastAsia" w:ascii="宋体" w:hAnsi="宋体" w:eastAsia="宋体" w:cs="宋体"/>
                <w:color w:val="auto"/>
                <w:lang w:val="en-US" w:eastAsia="zh-CN"/>
              </w:rPr>
              <w:t>依据各投标人所投产品的主要技术指标、参数及性能等情况，以及与招标文件技术要求的响应程度打分（本项基础得分7分，有一项正偏离加1分，本项最高得9分）。</w:t>
            </w:r>
          </w:p>
        </w:tc>
      </w:tr>
      <w:tr w14:paraId="1DC2E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6" w:hRule="atLeast"/>
        </w:trPr>
        <w:tc>
          <w:tcPr>
            <w:tcW w:w="1070" w:type="dxa"/>
            <w:vMerge w:val="restart"/>
            <w:tcBorders>
              <w:right w:val="single" w:color="auto" w:sz="4" w:space="0"/>
            </w:tcBorders>
            <w:noWrap w:val="0"/>
            <w:vAlign w:val="center"/>
          </w:tcPr>
          <w:p w14:paraId="4AB967C4">
            <w:pPr>
              <w:tabs>
                <w:tab w:val="left" w:pos="1230"/>
              </w:tabs>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技术部分</w:t>
            </w:r>
          </w:p>
          <w:p w14:paraId="6807D168">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lang w:val="en-US" w:eastAsia="zh-CN"/>
              </w:rPr>
              <w:t>总分30分</w:t>
            </w:r>
          </w:p>
        </w:tc>
        <w:tc>
          <w:tcPr>
            <w:tcW w:w="1019" w:type="dxa"/>
            <w:tcBorders>
              <w:top w:val="single" w:color="auto" w:sz="4" w:space="0"/>
              <w:left w:val="single" w:color="auto" w:sz="4" w:space="0"/>
              <w:bottom w:val="single" w:color="auto" w:sz="4" w:space="0"/>
            </w:tcBorders>
            <w:noWrap w:val="0"/>
            <w:vAlign w:val="center"/>
          </w:tcPr>
          <w:p w14:paraId="71671031">
            <w:pPr>
              <w:tabs>
                <w:tab w:val="left" w:pos="1230"/>
              </w:tabs>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项目实施方案</w:t>
            </w:r>
          </w:p>
        </w:tc>
        <w:tc>
          <w:tcPr>
            <w:tcW w:w="720" w:type="dxa"/>
            <w:noWrap w:val="0"/>
            <w:vAlign w:val="center"/>
          </w:tcPr>
          <w:p w14:paraId="6FCD342C">
            <w:pPr>
              <w:tabs>
                <w:tab w:val="left" w:pos="1230"/>
              </w:tabs>
              <w:spacing w:line="360"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10分</w:t>
            </w:r>
          </w:p>
        </w:tc>
        <w:tc>
          <w:tcPr>
            <w:tcW w:w="6660" w:type="dxa"/>
            <w:noWrap w:val="0"/>
            <w:vAlign w:val="center"/>
          </w:tcPr>
          <w:p w14:paraId="77406924">
            <w:pPr>
              <w:pageBreakBefore w:val="0"/>
              <w:kinsoku/>
              <w:wordWrap w:val="0"/>
              <w:overflowPunct w:val="0"/>
              <w:topLinePunct w:val="0"/>
              <w:bidi w:val="0"/>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1.根据投标人提供的满足招标文件项目要求的服务方案进行综合评分，服务方案需包含：①专门的服务组织架构和服务体系，包括各层级机构设置、职能职责、服务流程；②整体服务计划和人员安排，包括物资准备、供应安排、储备安排、项目人员安排、培训人员计划；③产品管理方案，包括产品调配措施、产品安全运行措施、产品不合格处理方案；④突发事件的处置保障预案，包括处置响应、处置流程、处置措施；⑤交货验收方案，包括产品的交付流程、安装调试方案、运输及交货验收方案。提供以上5项方案的得10分，每缺一项扣2分，每项描述存在缺陷的1分，扣完为止，未提供不得分。</w:t>
            </w:r>
          </w:p>
          <w:p w14:paraId="328BAF2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（备注：缺陷是指内容与项目无关、逻辑错误、科学原理错误、表述错误、不符合本项目涉及的相关规范或标准要求的任意一种情形。）</w:t>
            </w:r>
          </w:p>
        </w:tc>
      </w:tr>
      <w:tr w14:paraId="0E8F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43" w:hRule="atLeast"/>
        </w:trPr>
        <w:tc>
          <w:tcPr>
            <w:tcW w:w="1070" w:type="dxa"/>
            <w:vMerge w:val="continue"/>
            <w:tcBorders>
              <w:right w:val="single" w:color="auto" w:sz="4" w:space="0"/>
            </w:tcBorders>
            <w:noWrap w:val="0"/>
            <w:vAlign w:val="center"/>
          </w:tcPr>
          <w:p w14:paraId="5F5706BF">
            <w:pPr>
              <w:tabs>
                <w:tab w:val="left" w:pos="1230"/>
              </w:tabs>
              <w:spacing w:line="360" w:lineRule="auto"/>
              <w:jc w:val="center"/>
              <w:rPr>
                <w:rFonts w:hint="eastAsia" w:ascii="宋体" w:hAnsi="宋体" w:eastAsia="宋体" w:cs="宋体"/>
                <w:color w:val="auto"/>
                <w:szCs w:val="24"/>
              </w:rPr>
            </w:pPr>
          </w:p>
        </w:tc>
        <w:tc>
          <w:tcPr>
            <w:tcW w:w="1019" w:type="dxa"/>
            <w:tcBorders>
              <w:top w:val="single" w:color="auto" w:sz="4" w:space="0"/>
              <w:left w:val="single" w:color="auto" w:sz="4" w:space="0"/>
              <w:bottom w:val="single" w:color="auto" w:sz="4" w:space="0"/>
            </w:tcBorders>
            <w:noWrap w:val="0"/>
            <w:vAlign w:val="center"/>
          </w:tcPr>
          <w:p w14:paraId="6FDCA3BE">
            <w:pPr>
              <w:tabs>
                <w:tab w:val="left" w:pos="1230"/>
              </w:tabs>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lang w:val="en-US" w:eastAsia="zh-CN"/>
              </w:rPr>
              <w:t>产品培训方案</w:t>
            </w:r>
          </w:p>
        </w:tc>
        <w:tc>
          <w:tcPr>
            <w:tcW w:w="720" w:type="dxa"/>
            <w:noWrap w:val="0"/>
            <w:vAlign w:val="center"/>
          </w:tcPr>
          <w:p w14:paraId="1F2FC3F6">
            <w:pPr>
              <w:tabs>
                <w:tab w:val="left" w:pos="1230"/>
              </w:tabs>
              <w:spacing w:line="360"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10分</w:t>
            </w:r>
          </w:p>
        </w:tc>
        <w:tc>
          <w:tcPr>
            <w:tcW w:w="6660" w:type="dxa"/>
            <w:noWrap w:val="0"/>
            <w:vAlign w:val="center"/>
          </w:tcPr>
          <w:p w14:paraId="19B4ADEC">
            <w:pPr>
              <w:pageBreakBefore w:val="0"/>
              <w:kinsoku/>
              <w:wordWrap w:val="0"/>
              <w:overflowPunct w:val="0"/>
              <w:topLinePunct w:val="0"/>
              <w:bidi w:val="0"/>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投标人针对本项目制定相应的培训方案，至少应包含①培训计划；②培训方式；③培训内容；④培训时间；⑤培训师资安排等。提供以上5项方案的得10分，每缺一项扣2分，每项描述存在缺陷的1分，扣完为止，未提供不得分。</w:t>
            </w:r>
          </w:p>
          <w:p w14:paraId="3C5E8971">
            <w:pPr>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（备注：缺陷是指内容与项目无关、逻辑错误、科学原理错误、表述错误、不符合本项目涉及的相关规范或标准要求的任意一种情形。）。</w:t>
            </w:r>
          </w:p>
        </w:tc>
      </w:tr>
      <w:tr w14:paraId="4BCDF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26" w:hRule="atLeast"/>
        </w:trPr>
        <w:tc>
          <w:tcPr>
            <w:tcW w:w="1070" w:type="dxa"/>
            <w:vMerge w:val="continue"/>
            <w:tcBorders>
              <w:right w:val="single" w:color="auto" w:sz="4" w:space="0"/>
            </w:tcBorders>
            <w:noWrap w:val="0"/>
            <w:vAlign w:val="center"/>
          </w:tcPr>
          <w:p w14:paraId="5CDF7F97">
            <w:pPr>
              <w:tabs>
                <w:tab w:val="left" w:pos="1230"/>
              </w:tabs>
              <w:spacing w:line="360" w:lineRule="auto"/>
              <w:jc w:val="center"/>
              <w:rPr>
                <w:rFonts w:hint="eastAsia" w:ascii="宋体" w:hAnsi="宋体" w:eastAsia="宋体" w:cs="宋体"/>
                <w:color w:val="auto"/>
                <w:szCs w:val="24"/>
              </w:rPr>
            </w:pPr>
          </w:p>
        </w:tc>
        <w:tc>
          <w:tcPr>
            <w:tcW w:w="1019" w:type="dxa"/>
            <w:tcBorders>
              <w:top w:val="single" w:color="auto" w:sz="4" w:space="0"/>
              <w:left w:val="single" w:color="auto" w:sz="4" w:space="0"/>
              <w:bottom w:val="single" w:color="auto" w:sz="4" w:space="0"/>
            </w:tcBorders>
            <w:noWrap w:val="0"/>
            <w:vAlign w:val="center"/>
          </w:tcPr>
          <w:p w14:paraId="77F5CC5B">
            <w:pPr>
              <w:tabs>
                <w:tab w:val="left" w:pos="1230"/>
              </w:tabs>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质量保障及保证措施</w:t>
            </w:r>
          </w:p>
        </w:tc>
        <w:tc>
          <w:tcPr>
            <w:tcW w:w="720" w:type="dxa"/>
            <w:noWrap w:val="0"/>
            <w:vAlign w:val="center"/>
          </w:tcPr>
          <w:p w14:paraId="2E257888">
            <w:pPr>
              <w:tabs>
                <w:tab w:val="left" w:pos="1230"/>
              </w:tabs>
              <w:spacing w:line="360"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5分</w:t>
            </w:r>
          </w:p>
        </w:tc>
        <w:tc>
          <w:tcPr>
            <w:tcW w:w="6660" w:type="dxa"/>
            <w:noWrap w:val="0"/>
            <w:vAlign w:val="center"/>
          </w:tcPr>
          <w:p w14:paraId="5BD6F4EC">
            <w:pPr>
              <w:pageBreakBefore w:val="0"/>
              <w:kinsoku/>
              <w:wordWrap w:val="0"/>
              <w:overflowPunct w:val="0"/>
              <w:topLinePunct w:val="0"/>
              <w:bidi w:val="0"/>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投标人提供的质量保证措施方案，包括但不限于：①质量保障；②质量管理目标；③质量管理机构；④管理体系；⑤保证措施等。提供以上5项方案的得5分，每缺一项扣1分，每项描述存在缺陷的0.5分，扣完为止，未提供不得分。</w:t>
            </w:r>
          </w:p>
          <w:p w14:paraId="21A2BF22">
            <w:pPr>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（备注：缺陷是指内容与项目无关、逻辑错误、科学原理错误、表述错误、不符合本项目涉及的相关规范或标准要求的任意一种情形。）</w:t>
            </w:r>
          </w:p>
        </w:tc>
      </w:tr>
      <w:tr w14:paraId="34DB2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1070" w:type="dxa"/>
            <w:vMerge w:val="continue"/>
            <w:tcBorders>
              <w:right w:val="single" w:color="auto" w:sz="4" w:space="0"/>
            </w:tcBorders>
            <w:noWrap w:val="0"/>
            <w:vAlign w:val="center"/>
          </w:tcPr>
          <w:p w14:paraId="4A0893AC">
            <w:pPr>
              <w:tabs>
                <w:tab w:val="left" w:pos="1230"/>
              </w:tabs>
              <w:spacing w:line="360" w:lineRule="auto"/>
              <w:jc w:val="center"/>
              <w:rPr>
                <w:rFonts w:hint="eastAsia" w:ascii="宋体" w:hAnsi="宋体" w:eastAsia="宋体" w:cs="宋体"/>
                <w:color w:val="auto"/>
                <w:szCs w:val="24"/>
              </w:rPr>
            </w:pPr>
          </w:p>
        </w:tc>
        <w:tc>
          <w:tcPr>
            <w:tcW w:w="1019" w:type="dxa"/>
            <w:tcBorders>
              <w:top w:val="single" w:color="auto" w:sz="4" w:space="0"/>
              <w:left w:val="single" w:color="auto" w:sz="4" w:space="0"/>
              <w:bottom w:val="single" w:color="auto" w:sz="4" w:space="0"/>
            </w:tcBorders>
            <w:noWrap w:val="0"/>
            <w:vAlign w:val="center"/>
          </w:tcPr>
          <w:p w14:paraId="075608BD">
            <w:pPr>
              <w:tabs>
                <w:tab w:val="left" w:pos="1230"/>
              </w:tabs>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售后服务方案</w:t>
            </w:r>
          </w:p>
        </w:tc>
        <w:tc>
          <w:tcPr>
            <w:tcW w:w="720" w:type="dxa"/>
            <w:noWrap w:val="0"/>
            <w:vAlign w:val="center"/>
          </w:tcPr>
          <w:p w14:paraId="2900C288">
            <w:pPr>
              <w:tabs>
                <w:tab w:val="left" w:pos="1230"/>
              </w:tabs>
              <w:spacing w:line="360" w:lineRule="auto"/>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5分</w:t>
            </w:r>
          </w:p>
        </w:tc>
        <w:tc>
          <w:tcPr>
            <w:tcW w:w="6660" w:type="dxa"/>
            <w:noWrap w:val="0"/>
            <w:vAlign w:val="center"/>
          </w:tcPr>
          <w:p w14:paraId="0EE40D6D">
            <w:pPr>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投标人提供完善的售后服务方案包含但不限于：①提供服务响应时间及售后负责人准确联系方式；②售后服务内容；③售后服务具体流程；④售后服务承诺；⑤售后保障措施等。提供以上5项方案的得5分，每缺一项扣1分，每项描述存在缺陷的0.5分，扣完为止，未提供不得分。</w:t>
            </w:r>
          </w:p>
          <w:p w14:paraId="7363DFBA">
            <w:pPr>
              <w:spacing w:line="360" w:lineRule="auto"/>
              <w:ind w:left="0" w:leftChars="0"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注：缺陷包括但不限于方案内容不完善，表述不清、操作性差或者与项目无关、逻辑混乱、表述错误、不符合现场实际情况，没有因地制宜、不符合本项目涉及相关规范或标准要求的任意一种情形。</w:t>
            </w:r>
          </w:p>
        </w:tc>
      </w:tr>
      <w:tr w14:paraId="10F6B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44" w:hRule="atLeast"/>
        </w:trPr>
        <w:tc>
          <w:tcPr>
            <w:tcW w:w="1070" w:type="dxa"/>
            <w:noWrap w:val="0"/>
            <w:vAlign w:val="center"/>
          </w:tcPr>
          <w:p w14:paraId="4604FBE0">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评标总得分</w:t>
            </w:r>
          </w:p>
          <w:p w14:paraId="2422E3F4">
            <w:pPr>
              <w:tabs>
                <w:tab w:val="left" w:pos="1230"/>
              </w:tabs>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总分100分</w:t>
            </w:r>
          </w:p>
        </w:tc>
        <w:tc>
          <w:tcPr>
            <w:tcW w:w="8399" w:type="dxa"/>
            <w:gridSpan w:val="3"/>
            <w:noWrap w:val="0"/>
            <w:vAlign w:val="center"/>
          </w:tcPr>
          <w:p w14:paraId="5BEFD274">
            <w:pPr>
              <w:spacing w:line="360" w:lineRule="auto"/>
              <w:ind w:left="0" w:leftChars="0" w:firstLine="420" w:firstLineChars="200"/>
              <w:rPr>
                <w:rFonts w:hint="eastAsia" w:ascii="宋体" w:hAnsi="宋体" w:eastAsia="宋体" w:cs="宋体"/>
                <w:color w:val="auto"/>
              </w:rPr>
            </w:pPr>
            <w:r>
              <w:rPr>
                <w:rFonts w:hint="eastAsia" w:ascii="宋体" w:hAnsi="宋体" w:eastAsia="宋体" w:cs="宋体"/>
                <w:color w:val="auto"/>
              </w:rPr>
              <w:t>汇总上述得分，即为投标人的总得分</w:t>
            </w:r>
          </w:p>
        </w:tc>
      </w:tr>
    </w:tbl>
    <w:p w14:paraId="5560E214">
      <w:pPr>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br w:type="page"/>
      </w:r>
    </w:p>
    <w:p w14:paraId="6C94A615">
      <w:pPr>
        <w:pageBreakBefore w:val="0"/>
        <w:tabs>
          <w:tab w:val="left" w:pos="0"/>
        </w:tabs>
        <w:kinsoku/>
        <w:wordWrap w:val="0"/>
        <w:overflowPunct w:val="0"/>
        <w:topLinePunct w:val="0"/>
        <w:bidi w:val="0"/>
        <w:adjustRightInd w:val="0"/>
        <w:snapToGrid w:val="0"/>
        <w:spacing w:line="360" w:lineRule="auto"/>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二包评分办法</w:t>
      </w:r>
    </w:p>
    <w:tbl>
      <w:tblPr>
        <w:tblStyle w:val="26"/>
        <w:tblW w:w="9469"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121"/>
        <w:gridCol w:w="964"/>
        <w:gridCol w:w="936"/>
        <w:gridCol w:w="6448"/>
      </w:tblGrid>
      <w:tr w14:paraId="14FBD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Align w:val="center"/>
          </w:tcPr>
          <w:p w14:paraId="4C45F7C5">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类别</w:t>
            </w:r>
          </w:p>
        </w:tc>
        <w:tc>
          <w:tcPr>
            <w:tcW w:w="964" w:type="dxa"/>
            <w:vAlign w:val="center"/>
          </w:tcPr>
          <w:p w14:paraId="333F317C">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评分</w:t>
            </w:r>
          </w:p>
          <w:p w14:paraId="1A5A31A0">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项目</w:t>
            </w:r>
          </w:p>
        </w:tc>
        <w:tc>
          <w:tcPr>
            <w:tcW w:w="936" w:type="dxa"/>
            <w:vAlign w:val="center"/>
          </w:tcPr>
          <w:p w14:paraId="112E76DC">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分值</w:t>
            </w:r>
          </w:p>
        </w:tc>
        <w:tc>
          <w:tcPr>
            <w:tcW w:w="6448" w:type="dxa"/>
            <w:vAlign w:val="center"/>
          </w:tcPr>
          <w:p w14:paraId="3E927E15">
            <w:pPr>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rPr>
              <w:t>评分参考及范围</w:t>
            </w:r>
          </w:p>
        </w:tc>
      </w:tr>
      <w:tr w14:paraId="124E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Align w:val="center"/>
          </w:tcPr>
          <w:p w14:paraId="1BE44679">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投标报价</w:t>
            </w:r>
          </w:p>
          <w:p w14:paraId="1F704BFA">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总分20分</w:t>
            </w:r>
          </w:p>
        </w:tc>
        <w:tc>
          <w:tcPr>
            <w:tcW w:w="964" w:type="dxa"/>
            <w:vAlign w:val="center"/>
          </w:tcPr>
          <w:p w14:paraId="321F7C41">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投标</w:t>
            </w:r>
          </w:p>
          <w:p w14:paraId="7CEE998F">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总价</w:t>
            </w:r>
          </w:p>
        </w:tc>
        <w:tc>
          <w:tcPr>
            <w:tcW w:w="936" w:type="dxa"/>
            <w:vAlign w:val="center"/>
          </w:tcPr>
          <w:p w14:paraId="6885FBE2">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20分</w:t>
            </w:r>
          </w:p>
        </w:tc>
        <w:tc>
          <w:tcPr>
            <w:tcW w:w="6448" w:type="dxa"/>
            <w:vAlign w:val="center"/>
          </w:tcPr>
          <w:p w14:paraId="771CED88">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满足招标文件要求（通过资格性审查和符合性审查）且投标价格最低的投标报价为评标基准价（低于成本的报价除外），其价格分为满分20分。其他投标人的价格分统一按照下列公式计算：</w:t>
            </w:r>
          </w:p>
          <w:p w14:paraId="2BD171D8">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投标报价得分=(评标基准价／投标报价)×20%×100</w:t>
            </w:r>
          </w:p>
          <w:p w14:paraId="1D0933A1">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计算精确至小数点后两位</w:t>
            </w:r>
          </w:p>
          <w:p w14:paraId="050E57E5">
            <w:pPr>
              <w:wordWrap w:val="0"/>
              <w:overflowPunct w:val="0"/>
              <w:spacing w:line="360" w:lineRule="auto"/>
              <w:ind w:firstLine="422" w:firstLineChars="200"/>
              <w:rPr>
                <w:rFonts w:hint="eastAsia" w:ascii="宋体" w:hAnsi="宋体" w:eastAsia="宋体" w:cs="宋体"/>
                <w:color w:val="auto"/>
              </w:rPr>
            </w:pPr>
            <w:r>
              <w:rPr>
                <w:rFonts w:hint="eastAsia" w:ascii="宋体" w:hAnsi="宋体" w:eastAsia="宋体" w:cs="宋体"/>
                <w:b/>
                <w:bCs/>
                <w:color w:val="auto"/>
              </w:rPr>
              <w:t>注：评标委员会认为投标人的报价明显低于其他通过符合性审查的投标人的报价，有可能影响产品质量或者不能诚信履约的，应当要求其在合理的时间内提供书面说明，必要时提交相关证明材料；投标人不能证明其报价合理性的，评标委员会应当将其作为无效投标处理。</w:t>
            </w:r>
          </w:p>
        </w:tc>
      </w:tr>
      <w:tr w14:paraId="3DFE3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restart"/>
            <w:vAlign w:val="center"/>
          </w:tcPr>
          <w:p w14:paraId="6F445E4A">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商务部分</w:t>
            </w:r>
          </w:p>
          <w:p w14:paraId="2CE2221D">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w:t>
            </w:r>
            <w:r>
              <w:rPr>
                <w:rFonts w:hint="eastAsia" w:ascii="宋体" w:hAnsi="宋体" w:eastAsia="宋体" w:cs="宋体"/>
                <w:color w:val="auto"/>
                <w:szCs w:val="24"/>
                <w:lang w:val="en-US" w:eastAsia="zh-CN"/>
              </w:rPr>
              <w:t>14</w:t>
            </w:r>
            <w:r>
              <w:rPr>
                <w:rFonts w:hint="eastAsia" w:ascii="宋体" w:hAnsi="宋体" w:eastAsia="宋体" w:cs="宋体"/>
                <w:color w:val="auto"/>
                <w:szCs w:val="24"/>
              </w:rPr>
              <w:t>分</w:t>
            </w:r>
          </w:p>
        </w:tc>
        <w:tc>
          <w:tcPr>
            <w:tcW w:w="964" w:type="dxa"/>
            <w:tcBorders>
              <w:top w:val="single" w:color="auto" w:sz="4" w:space="0"/>
            </w:tcBorders>
            <w:vAlign w:val="center"/>
          </w:tcPr>
          <w:p w14:paraId="7A43754B">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类似项目业绩</w:t>
            </w:r>
          </w:p>
          <w:p w14:paraId="339C84C6">
            <w:pPr>
              <w:tabs>
                <w:tab w:val="left" w:pos="1230"/>
              </w:tabs>
              <w:wordWrap w:val="0"/>
              <w:overflowPunct w:val="0"/>
              <w:spacing w:line="360" w:lineRule="auto"/>
              <w:jc w:val="center"/>
              <w:rPr>
                <w:rFonts w:hint="eastAsia" w:ascii="宋体" w:hAnsi="宋体" w:eastAsia="宋体" w:cs="宋体"/>
                <w:color w:val="auto"/>
                <w:szCs w:val="24"/>
                <w:lang w:eastAsia="zh-CN"/>
              </w:rPr>
            </w:pPr>
            <w:r>
              <w:rPr>
                <w:rFonts w:hint="eastAsia" w:ascii="宋体" w:hAnsi="宋体" w:eastAsia="宋体" w:cs="宋体"/>
                <w:color w:val="auto"/>
                <w:szCs w:val="24"/>
                <w:lang w:eastAsia="zh-CN"/>
              </w:rPr>
              <w:t>（</w:t>
            </w:r>
            <w:r>
              <w:rPr>
                <w:rFonts w:hint="eastAsia" w:ascii="宋体" w:hAnsi="宋体" w:eastAsia="宋体" w:cs="宋体"/>
                <w:color w:val="auto"/>
                <w:szCs w:val="24"/>
                <w:lang w:val="en-US" w:eastAsia="zh-CN"/>
              </w:rPr>
              <w:t>4分</w:t>
            </w:r>
            <w:r>
              <w:rPr>
                <w:rFonts w:hint="eastAsia" w:ascii="宋体" w:hAnsi="宋体" w:eastAsia="宋体" w:cs="宋体"/>
                <w:color w:val="auto"/>
                <w:szCs w:val="24"/>
                <w:lang w:eastAsia="zh-CN"/>
              </w:rPr>
              <w:t>）</w:t>
            </w:r>
          </w:p>
        </w:tc>
        <w:tc>
          <w:tcPr>
            <w:tcW w:w="936" w:type="dxa"/>
            <w:tcBorders>
              <w:top w:val="single" w:color="auto" w:sz="4" w:space="0"/>
            </w:tcBorders>
            <w:vAlign w:val="center"/>
          </w:tcPr>
          <w:p w14:paraId="08F7B862">
            <w:pPr>
              <w:tabs>
                <w:tab w:val="left" w:pos="1230"/>
              </w:tabs>
              <w:wordWrap w:val="0"/>
              <w:overflowPunct w:val="0"/>
              <w:spacing w:line="360" w:lineRule="auto"/>
              <w:jc w:val="center"/>
              <w:rPr>
                <w:rFonts w:hint="eastAsia" w:ascii="宋体" w:hAnsi="宋体" w:eastAsia="宋体" w:cs="宋体"/>
                <w:color w:val="auto"/>
                <w:sz w:val="24"/>
                <w:szCs w:val="24"/>
              </w:rPr>
            </w:pPr>
            <w:r>
              <w:rPr>
                <w:rFonts w:hint="eastAsia" w:ascii="宋体" w:hAnsi="宋体" w:eastAsia="宋体" w:cs="宋体"/>
                <w:color w:val="auto"/>
                <w:szCs w:val="24"/>
                <w:lang w:val="en-US" w:eastAsia="zh-CN"/>
              </w:rPr>
              <w:t>4</w:t>
            </w:r>
            <w:r>
              <w:rPr>
                <w:rFonts w:hint="eastAsia" w:ascii="宋体" w:hAnsi="宋体" w:eastAsia="宋体" w:cs="宋体"/>
                <w:color w:val="auto"/>
                <w:szCs w:val="24"/>
              </w:rPr>
              <w:t>分</w:t>
            </w:r>
          </w:p>
        </w:tc>
        <w:tc>
          <w:tcPr>
            <w:tcW w:w="6448" w:type="dxa"/>
            <w:tcBorders>
              <w:top w:val="single" w:color="auto" w:sz="4" w:space="0"/>
            </w:tcBorders>
            <w:vAlign w:val="center"/>
          </w:tcPr>
          <w:p w14:paraId="72886942">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项目案例是以提供的投标人近三年（投标截止日前三个年度）自身签署的同类项目业绩合同为准，要求必须提供与最终用户签订的合同首页、合同金额所在页、签字盖章页复印件作为证明，每提供一个项目业绩合同，得</w:t>
            </w:r>
            <w:r>
              <w:rPr>
                <w:rFonts w:hint="eastAsia" w:ascii="宋体" w:hAnsi="宋体" w:eastAsia="宋体" w:cs="宋体"/>
                <w:color w:val="auto"/>
                <w:lang w:val="en-US" w:eastAsia="zh-CN"/>
              </w:rPr>
              <w:t>2</w:t>
            </w:r>
            <w:r>
              <w:rPr>
                <w:rFonts w:hint="eastAsia" w:ascii="宋体" w:hAnsi="宋体" w:eastAsia="宋体" w:cs="宋体"/>
                <w:color w:val="auto"/>
              </w:rPr>
              <w:t>分，最高得</w:t>
            </w:r>
            <w:r>
              <w:rPr>
                <w:rFonts w:hint="eastAsia" w:ascii="宋体" w:hAnsi="宋体" w:eastAsia="宋体" w:cs="宋体"/>
                <w:color w:val="auto"/>
                <w:lang w:val="en-US" w:eastAsia="zh-CN"/>
              </w:rPr>
              <w:t>4</w:t>
            </w:r>
            <w:r>
              <w:rPr>
                <w:rFonts w:hint="eastAsia" w:ascii="宋体" w:hAnsi="宋体" w:eastAsia="宋体" w:cs="宋体"/>
                <w:color w:val="auto"/>
              </w:rPr>
              <w:t>分。注：本款可作为加分的合同案例仅指投标人自身的合同案例，即合同案例合同的乙方必须与投标人的名称完全一致，如公司名称发生变更，必须提供行政审批部门的证明文件。</w:t>
            </w:r>
          </w:p>
          <w:p w14:paraId="26C3B014">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未按要求提供或提供不完整的不得分</w:t>
            </w:r>
          </w:p>
          <w:p w14:paraId="3A7F3AC4">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类似项目业绩是指专业内涵建设项目</w:t>
            </w:r>
          </w:p>
        </w:tc>
      </w:tr>
      <w:tr w14:paraId="1969B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continue"/>
            <w:vAlign w:val="center"/>
          </w:tcPr>
          <w:p w14:paraId="42E84DEF">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tcBorders>
              <w:top w:val="single" w:color="auto" w:sz="4" w:space="0"/>
              <w:left w:val="single" w:color="auto" w:sz="4" w:space="0"/>
              <w:bottom w:val="single" w:color="auto" w:sz="4" w:space="0"/>
            </w:tcBorders>
            <w:vAlign w:val="center"/>
          </w:tcPr>
          <w:p w14:paraId="523A505F">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技术指标</w:t>
            </w:r>
          </w:p>
          <w:p w14:paraId="65029460">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（10分）</w:t>
            </w:r>
          </w:p>
        </w:tc>
        <w:tc>
          <w:tcPr>
            <w:tcW w:w="936" w:type="dxa"/>
            <w:vAlign w:val="center"/>
          </w:tcPr>
          <w:p w14:paraId="2F031CD0">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szCs w:val="24"/>
              </w:rPr>
              <w:t>10分</w:t>
            </w:r>
          </w:p>
        </w:tc>
        <w:tc>
          <w:tcPr>
            <w:tcW w:w="6448" w:type="dxa"/>
            <w:vAlign w:val="center"/>
          </w:tcPr>
          <w:p w14:paraId="032E2989">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供应商所投产品完全满足招标文件技术要求的，得基本分8分；每有一项主要需求或性能描述是正偏离的加1分，最高加2分，满分10分。评审依据：需在“技术条款偏离表”后提供有效对应证明文件，提供的材料不满足或不清晰无法判断的不得分。</w:t>
            </w:r>
          </w:p>
          <w:p w14:paraId="1B65548F">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 注：中标产品交付标准必须以投标文件中的技术参数为准，如有虚假应标招标人将追究其法律责任，并有权终止合同。</w:t>
            </w:r>
          </w:p>
        </w:tc>
      </w:tr>
      <w:tr w14:paraId="42944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Align w:val="center"/>
          </w:tcPr>
          <w:p w14:paraId="4E6E25CB">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tcBorders>
              <w:top w:val="single" w:color="auto" w:sz="4" w:space="0"/>
              <w:left w:val="single" w:color="auto" w:sz="4" w:space="0"/>
              <w:bottom w:val="single" w:color="auto" w:sz="4" w:space="0"/>
            </w:tcBorders>
            <w:vAlign w:val="center"/>
          </w:tcPr>
          <w:p w14:paraId="72ACB502">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项目实施方案</w:t>
            </w:r>
          </w:p>
        </w:tc>
        <w:tc>
          <w:tcPr>
            <w:tcW w:w="936" w:type="dxa"/>
            <w:vAlign w:val="center"/>
          </w:tcPr>
          <w:p w14:paraId="66A90CE1">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rPr>
              <w:t>10分</w:t>
            </w:r>
          </w:p>
        </w:tc>
        <w:tc>
          <w:tcPr>
            <w:tcW w:w="6448" w:type="dxa"/>
            <w:vAlign w:val="center"/>
          </w:tcPr>
          <w:p w14:paraId="2DF87891">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根据投标人提供的满足招标文件项目要求的服务方案进行综合评分，服务方案需包含：①服务需求和目标的理解及分析；②项目重难点问题的分析与解决措施；③整体服务计划和人员安排；④实施团队职能和工作安排；⑤项目交付及验收方案等，提供以上5项方案的得10分，每缺一项扣2分，本项描述存在缺陷的扣1分，未提供不得分。</w:t>
            </w:r>
          </w:p>
          <w:p w14:paraId="7E5FF704">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（备注：缺陷是指内容与项目无关、逻辑错误、科学原理错误、表述错误、不符合本项目涉及的相关规范或标准要求的任意一种情形。）</w:t>
            </w:r>
          </w:p>
        </w:tc>
      </w:tr>
      <w:tr w14:paraId="2AE5D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restart"/>
            <w:vAlign w:val="center"/>
          </w:tcPr>
          <w:p w14:paraId="7EAE6C45">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技术部分</w:t>
            </w:r>
          </w:p>
          <w:p w14:paraId="4BCBF213">
            <w:pPr>
              <w:tabs>
                <w:tab w:val="left" w:pos="1230"/>
              </w:tabs>
              <w:wordWrap w:val="0"/>
              <w:overflowPunct w:val="0"/>
              <w:spacing w:line="360" w:lineRule="auto"/>
              <w:jc w:val="center"/>
              <w:rPr>
                <w:rFonts w:hint="eastAsia" w:ascii="宋体" w:hAnsi="宋体" w:eastAsia="宋体" w:cs="宋体"/>
                <w:color w:val="auto"/>
                <w:szCs w:val="24"/>
                <w:lang w:val="en-US" w:eastAsia="zh-CN"/>
              </w:rPr>
            </w:pPr>
            <w:r>
              <w:rPr>
                <w:rFonts w:hint="eastAsia" w:ascii="宋体" w:hAnsi="宋体" w:eastAsia="宋体" w:cs="宋体"/>
                <w:color w:val="auto"/>
                <w:szCs w:val="24"/>
              </w:rPr>
              <w:t>总分</w:t>
            </w:r>
            <w:r>
              <w:rPr>
                <w:rFonts w:hint="eastAsia" w:ascii="宋体" w:hAnsi="宋体" w:eastAsia="宋体" w:cs="宋体"/>
                <w:color w:val="auto"/>
                <w:szCs w:val="24"/>
                <w:lang w:val="en-US" w:eastAsia="zh-CN"/>
              </w:rPr>
              <w:t>66</w:t>
            </w:r>
          </w:p>
        </w:tc>
        <w:tc>
          <w:tcPr>
            <w:tcW w:w="964" w:type="dxa"/>
            <w:tcBorders>
              <w:top w:val="single" w:color="auto" w:sz="4" w:space="0"/>
              <w:left w:val="single" w:color="auto" w:sz="4" w:space="0"/>
              <w:bottom w:val="single" w:color="auto" w:sz="4" w:space="0"/>
            </w:tcBorders>
            <w:vAlign w:val="center"/>
          </w:tcPr>
          <w:p w14:paraId="585D5A97">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服务能力</w:t>
            </w:r>
          </w:p>
        </w:tc>
        <w:tc>
          <w:tcPr>
            <w:tcW w:w="936" w:type="dxa"/>
            <w:vAlign w:val="center"/>
          </w:tcPr>
          <w:p w14:paraId="10693CF5">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rPr>
              <w:t>9分</w:t>
            </w:r>
          </w:p>
        </w:tc>
        <w:tc>
          <w:tcPr>
            <w:tcW w:w="6448" w:type="dxa"/>
            <w:vAlign w:val="center"/>
          </w:tcPr>
          <w:p w14:paraId="59B2007F">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（1）专业人才培养方案编制能力（3分）</w:t>
            </w:r>
          </w:p>
          <w:p w14:paraId="093F6D5E">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要求投标人提供专业人才培养方案的模板，评标专家根据提供的模板进行评分。</w:t>
            </w:r>
            <w:r>
              <w:rPr>
                <w:rFonts w:hint="eastAsia" w:ascii="宋体" w:hAnsi="宋体" w:eastAsia="宋体" w:cs="宋体"/>
                <w:color w:val="auto"/>
                <w:lang w:val="en-US" w:eastAsia="zh-CN"/>
              </w:rPr>
              <w:t>包含但不限于：（1）培养目标与人才规格 （2）课程体系与实践教学设计 （3）教学保障与持续改进机制</w:t>
            </w:r>
            <w:r>
              <w:rPr>
                <w:rFonts w:hint="eastAsia" w:ascii="宋体" w:hAnsi="宋体" w:eastAsia="宋体" w:cs="宋体"/>
                <w:color w:val="auto"/>
              </w:rPr>
              <w:t>，符合教育部有关人才培养方案政策文件要求的，以上3项内容完整得3分，每缺少一项扣1分，每项内容存在一处瑕疵扣0.5分</w:t>
            </w:r>
            <w:r>
              <w:rPr>
                <w:rFonts w:hint="eastAsia" w:ascii="宋体" w:hAnsi="宋体" w:eastAsia="宋体" w:cs="宋体"/>
                <w:color w:val="auto"/>
                <w:lang w:eastAsia="zh-CN"/>
              </w:rPr>
              <w:t>，</w:t>
            </w:r>
            <w:r>
              <w:rPr>
                <w:rFonts w:hint="eastAsia" w:ascii="宋体" w:hAnsi="宋体" w:eastAsia="宋体" w:cs="宋体"/>
                <w:color w:val="auto"/>
              </w:rPr>
              <w:t>未提供不得分</w:t>
            </w:r>
            <w:r>
              <w:rPr>
                <w:rFonts w:hint="eastAsia" w:ascii="宋体" w:hAnsi="宋体" w:eastAsia="宋体" w:cs="宋体"/>
                <w:color w:val="auto"/>
                <w:lang w:eastAsia="zh-CN"/>
              </w:rPr>
              <w:t>。</w:t>
            </w:r>
          </w:p>
          <w:p w14:paraId="0357FE3A">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（2）特色教材展示（3分）</w:t>
            </w:r>
          </w:p>
          <w:p w14:paraId="37B2419F">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要求投标人提供已完成同类教材案例进行评分，根据供应商提供的模板进行评分，内容包括(1)科学合理性与合规性</w:t>
            </w:r>
            <w:r>
              <w:rPr>
                <w:rFonts w:hint="eastAsia" w:ascii="宋体" w:hAnsi="宋体" w:eastAsia="宋体" w:cs="宋体"/>
                <w:color w:val="auto"/>
                <w:lang w:eastAsia="zh-CN"/>
              </w:rPr>
              <w:t>；</w:t>
            </w:r>
            <w:r>
              <w:rPr>
                <w:rFonts w:hint="eastAsia" w:ascii="宋体" w:hAnsi="宋体" w:eastAsia="宋体" w:cs="宋体"/>
                <w:color w:val="auto"/>
              </w:rPr>
              <w:t>(2)创新性与新形态特征</w:t>
            </w:r>
            <w:r>
              <w:rPr>
                <w:rFonts w:hint="eastAsia" w:ascii="宋体" w:hAnsi="宋体" w:eastAsia="宋体" w:cs="宋体"/>
                <w:color w:val="auto"/>
                <w:lang w:eastAsia="zh-CN"/>
              </w:rPr>
              <w:t>；</w:t>
            </w:r>
            <w:r>
              <w:rPr>
                <w:rFonts w:hint="eastAsia" w:ascii="宋体" w:hAnsi="宋体" w:eastAsia="宋体" w:cs="宋体"/>
                <w:color w:val="auto"/>
              </w:rPr>
              <w:t xml:space="preserve"> (3)整体质量与概念准确性。内容创新性强，特色教材特征显著，设计理念先进，以上3项内容完整得3分，每缺少一项扣1分，每项内容存在一处瑕疵扣0.5分</w:t>
            </w:r>
            <w:r>
              <w:rPr>
                <w:rFonts w:hint="eastAsia" w:ascii="宋体" w:hAnsi="宋体" w:eastAsia="宋体" w:cs="宋体"/>
                <w:color w:val="auto"/>
                <w:lang w:eastAsia="zh-CN"/>
              </w:rPr>
              <w:t>，</w:t>
            </w:r>
            <w:r>
              <w:rPr>
                <w:rFonts w:hint="eastAsia" w:ascii="宋体" w:hAnsi="宋体" w:eastAsia="宋体" w:cs="宋体"/>
                <w:color w:val="auto"/>
              </w:rPr>
              <w:t>未提供不得分</w:t>
            </w:r>
            <w:r>
              <w:rPr>
                <w:rFonts w:hint="eastAsia" w:ascii="宋体" w:hAnsi="宋体" w:eastAsia="宋体" w:cs="宋体"/>
                <w:color w:val="auto"/>
                <w:lang w:eastAsia="zh-CN"/>
              </w:rPr>
              <w:t>。</w:t>
            </w:r>
          </w:p>
          <w:p w14:paraId="72485455">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（3）微课资源开发能力（3分）</w:t>
            </w:r>
          </w:p>
          <w:p w14:paraId="30543E46">
            <w:pPr>
              <w:wordWrap w:val="0"/>
              <w:overflowPunct w:val="0"/>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rPr>
              <w:t>要求投标人提供已完成微课案例，提供已完成同类微课开发的过程性资料，至少应包括：(1)微课教学设计（分镜脚本）、(2)微课拍摄流程、(3)微课成品案例等。评标委员会根据微课样例对本项目技术指标的符合程度及内容质量进行评审</w:t>
            </w:r>
            <w:r>
              <w:rPr>
                <w:rFonts w:hint="eastAsia" w:ascii="宋体" w:hAnsi="宋体" w:eastAsia="宋体" w:cs="宋体"/>
                <w:color w:val="auto"/>
                <w:lang w:eastAsia="zh-CN"/>
              </w:rPr>
              <w:t>，</w:t>
            </w:r>
            <w:r>
              <w:rPr>
                <w:rFonts w:hint="eastAsia" w:ascii="宋体" w:hAnsi="宋体" w:eastAsia="宋体" w:cs="宋体"/>
                <w:color w:val="auto"/>
              </w:rPr>
              <w:t>以上3项内容完整得3分，每缺少一项扣1分，每项内容存在一处瑕疵扣0.5分</w:t>
            </w:r>
            <w:r>
              <w:rPr>
                <w:rFonts w:hint="eastAsia" w:ascii="宋体" w:hAnsi="宋体" w:eastAsia="宋体" w:cs="宋体"/>
                <w:color w:val="auto"/>
                <w:lang w:eastAsia="zh-CN"/>
              </w:rPr>
              <w:t>，</w:t>
            </w:r>
            <w:r>
              <w:rPr>
                <w:rFonts w:hint="eastAsia" w:ascii="宋体" w:hAnsi="宋体" w:eastAsia="宋体" w:cs="宋体"/>
                <w:color w:val="auto"/>
              </w:rPr>
              <w:t>未提供不得分</w:t>
            </w:r>
            <w:r>
              <w:rPr>
                <w:rFonts w:hint="eastAsia" w:ascii="宋体" w:hAnsi="宋体" w:eastAsia="宋体" w:cs="宋体"/>
                <w:color w:val="auto"/>
                <w:lang w:eastAsia="zh-CN"/>
              </w:rPr>
              <w:t>。</w:t>
            </w:r>
          </w:p>
        </w:tc>
      </w:tr>
      <w:tr w14:paraId="55672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continue"/>
            <w:vAlign w:val="center"/>
          </w:tcPr>
          <w:p w14:paraId="0E875BD1">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tcBorders>
              <w:top w:val="single" w:color="auto" w:sz="4" w:space="0"/>
              <w:left w:val="single" w:color="auto" w:sz="4" w:space="0"/>
              <w:bottom w:val="single" w:color="auto" w:sz="4" w:space="0"/>
            </w:tcBorders>
            <w:vAlign w:val="center"/>
          </w:tcPr>
          <w:p w14:paraId="79DA0F27">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rPr>
              <w:t>人员保障</w:t>
            </w:r>
          </w:p>
        </w:tc>
        <w:tc>
          <w:tcPr>
            <w:tcW w:w="936" w:type="dxa"/>
            <w:vAlign w:val="center"/>
          </w:tcPr>
          <w:p w14:paraId="3D844E25">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6</w:t>
            </w:r>
            <w:r>
              <w:rPr>
                <w:rFonts w:hint="eastAsia" w:ascii="宋体" w:hAnsi="宋体" w:eastAsia="宋体" w:cs="宋体"/>
                <w:color w:val="auto"/>
              </w:rPr>
              <w:t>分</w:t>
            </w:r>
          </w:p>
        </w:tc>
        <w:tc>
          <w:tcPr>
            <w:tcW w:w="6448" w:type="dxa"/>
            <w:vAlign w:val="center"/>
          </w:tcPr>
          <w:p w14:paraId="3EC9FBFD">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（1）项目负责人（5分）</w:t>
            </w:r>
          </w:p>
          <w:p w14:paraId="65D4E08A">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根据投标人拟派本项目的项目负责人的职称进行评审：具有与项目相关的正高级职称的，得5分；具有与项目相关的副高级职称的，得4分；具有与项目相关的中级职称的，得2分；未提供或不符合要求的不得分。注：须提供项目负责人的身份证明、学历证书、职称证书，以及供应商与其签订的劳动合同或社保证明；</w:t>
            </w:r>
          </w:p>
          <w:p w14:paraId="642AEE70">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（2）内涵建设指导专家（</w:t>
            </w:r>
            <w:r>
              <w:rPr>
                <w:rFonts w:hint="eastAsia" w:ascii="宋体" w:hAnsi="宋体" w:eastAsia="宋体" w:cs="宋体"/>
                <w:color w:val="auto"/>
                <w:lang w:val="en-US" w:eastAsia="zh-CN"/>
              </w:rPr>
              <w:t>6</w:t>
            </w:r>
            <w:r>
              <w:rPr>
                <w:rFonts w:hint="eastAsia" w:ascii="宋体" w:hAnsi="宋体" w:eastAsia="宋体" w:cs="宋体"/>
                <w:color w:val="auto"/>
              </w:rPr>
              <w:t>分）</w:t>
            </w:r>
          </w:p>
          <w:p w14:paraId="32D96E12">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投标人拟配备项目组成员（除项目负责人外）具有副高及以上职称（教育类）的职业教育研究专家，能够承担本项目内涵建设咨询、指导服务，需提供专家职称证书和聘书。每提供1人得</w:t>
            </w:r>
            <w:r>
              <w:rPr>
                <w:rFonts w:hint="eastAsia" w:ascii="宋体" w:hAnsi="宋体" w:eastAsia="宋体" w:cs="宋体"/>
                <w:color w:val="auto"/>
                <w:lang w:val="en-US" w:eastAsia="zh-CN"/>
              </w:rPr>
              <w:t>3</w:t>
            </w:r>
            <w:r>
              <w:rPr>
                <w:rFonts w:hint="eastAsia" w:ascii="宋体" w:hAnsi="宋体" w:eastAsia="宋体" w:cs="宋体"/>
                <w:color w:val="auto"/>
              </w:rPr>
              <w:t>分，最多得</w:t>
            </w:r>
            <w:r>
              <w:rPr>
                <w:rFonts w:hint="eastAsia" w:ascii="宋体" w:hAnsi="宋体" w:eastAsia="宋体" w:cs="宋体"/>
                <w:color w:val="auto"/>
                <w:lang w:val="en-US" w:eastAsia="zh-CN"/>
              </w:rPr>
              <w:t>6</w:t>
            </w:r>
            <w:r>
              <w:rPr>
                <w:rFonts w:hint="eastAsia" w:ascii="宋体" w:hAnsi="宋体" w:eastAsia="宋体" w:cs="宋体"/>
                <w:color w:val="auto"/>
              </w:rPr>
              <w:t>分；提供不全不得分。</w:t>
            </w:r>
          </w:p>
          <w:p w14:paraId="32B700D9">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（3）资源开发团队（5分）</w:t>
            </w:r>
          </w:p>
          <w:p w14:paraId="17B6A867">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为保证本项目核心教材（讲义）数字化资源（微课，视频+PPT）开发质量，投标人须配备专业的资源开发团队，团队中具有动画制作员、影视后期制作工程师、三维动画设计工程师、影视动画设计应用工程师职业技能证书的人员配备情况，每具备一类有效证书（须有对应人员）得1分，本项最高得5分。须提供对应人员的身份证明、证书，以及供应商与其签订的劳动合同或社保证明；同一类证书仅计分一次，未提供或提供不全的不得分。</w:t>
            </w:r>
          </w:p>
        </w:tc>
      </w:tr>
      <w:tr w14:paraId="4217D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continue"/>
            <w:vAlign w:val="center"/>
          </w:tcPr>
          <w:p w14:paraId="070D007A">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tcBorders>
              <w:top w:val="single" w:color="auto" w:sz="4" w:space="0"/>
              <w:left w:val="single" w:color="auto" w:sz="4" w:space="0"/>
              <w:bottom w:val="single" w:color="auto" w:sz="4" w:space="0"/>
            </w:tcBorders>
            <w:vAlign w:val="center"/>
          </w:tcPr>
          <w:p w14:paraId="18D80457">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培训方案</w:t>
            </w:r>
          </w:p>
        </w:tc>
        <w:tc>
          <w:tcPr>
            <w:tcW w:w="936" w:type="dxa"/>
            <w:vAlign w:val="center"/>
          </w:tcPr>
          <w:p w14:paraId="322B440A">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szCs w:val="24"/>
                <w:lang w:val="en-US" w:eastAsia="zh-CN"/>
              </w:rPr>
              <w:t>10</w:t>
            </w:r>
            <w:r>
              <w:rPr>
                <w:rFonts w:hint="eastAsia" w:ascii="宋体" w:hAnsi="宋体" w:eastAsia="宋体" w:cs="宋体"/>
                <w:color w:val="auto"/>
                <w:szCs w:val="24"/>
              </w:rPr>
              <w:t>分</w:t>
            </w:r>
          </w:p>
        </w:tc>
        <w:tc>
          <w:tcPr>
            <w:tcW w:w="6448" w:type="dxa"/>
            <w:vAlign w:val="center"/>
          </w:tcPr>
          <w:p w14:paraId="40DE0395">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投标人针对本项目制定相应的培训方案，至少应包含①培训计划；②培训方式；③培训内容；④培训时间；⑤培训师资安排等。提供以上5项方案的得</w:t>
            </w:r>
            <w:r>
              <w:rPr>
                <w:rFonts w:hint="eastAsia" w:ascii="宋体" w:hAnsi="宋体" w:eastAsia="宋体" w:cs="宋体"/>
                <w:color w:val="auto"/>
                <w:lang w:val="en-US" w:eastAsia="zh-CN"/>
              </w:rPr>
              <w:t>10</w:t>
            </w:r>
            <w:r>
              <w:rPr>
                <w:rFonts w:hint="eastAsia" w:ascii="宋体" w:hAnsi="宋体" w:eastAsia="宋体" w:cs="宋体"/>
                <w:color w:val="auto"/>
              </w:rPr>
              <w:t>分，每缺一项扣</w:t>
            </w:r>
            <w:r>
              <w:rPr>
                <w:rFonts w:hint="eastAsia" w:ascii="宋体" w:hAnsi="宋体" w:eastAsia="宋体" w:cs="宋体"/>
                <w:color w:val="auto"/>
                <w:lang w:val="en-US" w:eastAsia="zh-CN"/>
              </w:rPr>
              <w:t>2</w:t>
            </w:r>
            <w:r>
              <w:rPr>
                <w:rFonts w:hint="eastAsia" w:ascii="宋体" w:hAnsi="宋体" w:eastAsia="宋体" w:cs="宋体"/>
                <w:color w:val="auto"/>
              </w:rPr>
              <w:t>分，每项描述存在缺陷的扣</w:t>
            </w:r>
            <w:r>
              <w:rPr>
                <w:rFonts w:hint="eastAsia" w:ascii="宋体" w:hAnsi="宋体" w:eastAsia="宋体" w:cs="宋体"/>
                <w:color w:val="auto"/>
                <w:lang w:val="en-US" w:eastAsia="zh-CN"/>
              </w:rPr>
              <w:t>1</w:t>
            </w:r>
            <w:r>
              <w:rPr>
                <w:rFonts w:hint="eastAsia" w:ascii="宋体" w:hAnsi="宋体" w:eastAsia="宋体" w:cs="宋体"/>
                <w:color w:val="auto"/>
              </w:rPr>
              <w:t>分，扣完为止，未提供不得分。</w:t>
            </w:r>
          </w:p>
          <w:p w14:paraId="203C3DB4">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（备注：缺陷是指内容与项目无关、逻辑错误、科学原理错误、表述错误、不符合本项目涉及的相关规范或标准要求的任意一种情形。）</w:t>
            </w:r>
          </w:p>
        </w:tc>
      </w:tr>
      <w:tr w14:paraId="5B39D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continue"/>
            <w:vAlign w:val="center"/>
          </w:tcPr>
          <w:p w14:paraId="286BAC33">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vAlign w:val="center"/>
          </w:tcPr>
          <w:p w14:paraId="45B9F0C7">
            <w:pPr>
              <w:wordWrap w:val="0"/>
              <w:overflowPunct w:val="0"/>
              <w:spacing w:line="360" w:lineRule="auto"/>
              <w:rPr>
                <w:rFonts w:hint="eastAsia" w:ascii="宋体" w:hAnsi="宋体" w:eastAsia="宋体" w:cs="宋体"/>
                <w:color w:val="auto"/>
                <w:szCs w:val="24"/>
              </w:rPr>
            </w:pPr>
            <w:r>
              <w:rPr>
                <w:rFonts w:hint="eastAsia" w:ascii="宋体" w:hAnsi="宋体" w:eastAsia="宋体" w:cs="宋体"/>
                <w:color w:val="auto"/>
                <w:szCs w:val="24"/>
              </w:rPr>
              <w:t>项目实施进度及保障措施</w:t>
            </w:r>
          </w:p>
        </w:tc>
        <w:tc>
          <w:tcPr>
            <w:tcW w:w="936" w:type="dxa"/>
            <w:vAlign w:val="center"/>
          </w:tcPr>
          <w:p w14:paraId="0956CA61">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rPr>
              <w:t>12分</w:t>
            </w:r>
          </w:p>
        </w:tc>
        <w:tc>
          <w:tcPr>
            <w:tcW w:w="6448" w:type="dxa"/>
            <w:vAlign w:val="center"/>
          </w:tcPr>
          <w:p w14:paraId="619E94AC">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投标人提供的方案，包括但不限于：①服务责任方案；②进度安排和时间节点；③质量保证措施等。 提供以上3项方案的得12分，每缺一项扣4分，每项描述存在缺陷的扣2分，扣完为止，未提供不得分。</w:t>
            </w:r>
          </w:p>
          <w:p w14:paraId="1BBA757C">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（备注：缺陷是指内容与项目无关、逻辑错误、科学原理错误、表述错误、不符合本项目涉及的相关规范或标准要求的任意一种情形。）</w:t>
            </w:r>
          </w:p>
        </w:tc>
      </w:tr>
      <w:tr w14:paraId="3EB5B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Merge w:val="continue"/>
            <w:vAlign w:val="center"/>
          </w:tcPr>
          <w:p w14:paraId="55285201">
            <w:pPr>
              <w:tabs>
                <w:tab w:val="left" w:pos="1230"/>
              </w:tabs>
              <w:wordWrap w:val="0"/>
              <w:overflowPunct w:val="0"/>
              <w:spacing w:line="360" w:lineRule="auto"/>
              <w:jc w:val="center"/>
              <w:rPr>
                <w:rFonts w:hint="eastAsia" w:ascii="宋体" w:hAnsi="宋体" w:eastAsia="宋体" w:cs="宋体"/>
                <w:color w:val="auto"/>
                <w:szCs w:val="24"/>
              </w:rPr>
            </w:pPr>
          </w:p>
        </w:tc>
        <w:tc>
          <w:tcPr>
            <w:tcW w:w="964" w:type="dxa"/>
            <w:vAlign w:val="center"/>
          </w:tcPr>
          <w:p w14:paraId="06DEC7A9">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售后及服务承诺</w:t>
            </w:r>
          </w:p>
        </w:tc>
        <w:tc>
          <w:tcPr>
            <w:tcW w:w="936" w:type="dxa"/>
            <w:vAlign w:val="center"/>
          </w:tcPr>
          <w:p w14:paraId="2B9E42F6">
            <w:pPr>
              <w:tabs>
                <w:tab w:val="left" w:pos="1230"/>
              </w:tabs>
              <w:wordWrap w:val="0"/>
              <w:overflowPunct w:val="0"/>
              <w:spacing w:line="360" w:lineRule="auto"/>
              <w:jc w:val="center"/>
              <w:rPr>
                <w:rFonts w:hint="eastAsia" w:ascii="宋体" w:hAnsi="宋体" w:eastAsia="宋体" w:cs="宋体"/>
                <w:color w:val="auto"/>
              </w:rPr>
            </w:pPr>
            <w:r>
              <w:rPr>
                <w:rFonts w:hint="eastAsia" w:ascii="宋体" w:hAnsi="宋体" w:eastAsia="宋体" w:cs="宋体"/>
                <w:color w:val="auto"/>
                <w:szCs w:val="24"/>
              </w:rPr>
              <w:t>9分</w:t>
            </w:r>
          </w:p>
        </w:tc>
        <w:tc>
          <w:tcPr>
            <w:tcW w:w="6448" w:type="dxa"/>
            <w:vAlign w:val="center"/>
          </w:tcPr>
          <w:p w14:paraId="717BA36B">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投标人提供的针对本项目的售后服务方案，包括但不限于：①售后服务承诺；②售后服务团队人员（包含：姓名、电话、职务）；③质保期内的更新维护等提供以上3项方案的得9分，每缺一项扣3分，本项描述存在缺陷的扣1.5分，扣完为止，未提供不得分。</w:t>
            </w:r>
          </w:p>
          <w:p w14:paraId="2F3927B9">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（备注：缺陷是指内容与项目无关、逻辑错误、科学原理错误、表述错误、不符合本项目涉及的相关规范或标准要求的任意一种情形。）</w:t>
            </w:r>
          </w:p>
        </w:tc>
      </w:tr>
      <w:tr w14:paraId="23C2F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1121" w:type="dxa"/>
            <w:vAlign w:val="center"/>
          </w:tcPr>
          <w:p w14:paraId="5BE43411">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评标总得分</w:t>
            </w:r>
          </w:p>
          <w:p w14:paraId="5CAE55DA">
            <w:pPr>
              <w:tabs>
                <w:tab w:val="left" w:pos="1230"/>
              </w:tabs>
              <w:wordWrap w:val="0"/>
              <w:overflowPunct w:val="0"/>
              <w:spacing w:line="360" w:lineRule="auto"/>
              <w:jc w:val="center"/>
              <w:rPr>
                <w:rFonts w:hint="eastAsia" w:ascii="宋体" w:hAnsi="宋体" w:eastAsia="宋体" w:cs="宋体"/>
                <w:color w:val="auto"/>
                <w:szCs w:val="24"/>
              </w:rPr>
            </w:pPr>
            <w:r>
              <w:rPr>
                <w:rFonts w:hint="eastAsia" w:ascii="宋体" w:hAnsi="宋体" w:eastAsia="宋体" w:cs="宋体"/>
                <w:color w:val="auto"/>
                <w:szCs w:val="24"/>
              </w:rPr>
              <w:t>总分100分</w:t>
            </w:r>
          </w:p>
        </w:tc>
        <w:tc>
          <w:tcPr>
            <w:tcW w:w="8348" w:type="dxa"/>
            <w:gridSpan w:val="3"/>
            <w:vAlign w:val="center"/>
          </w:tcPr>
          <w:p w14:paraId="272078B1">
            <w:pPr>
              <w:wordWrap w:val="0"/>
              <w:overflowPunct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汇总上述得分，即为投标人的总得分</w:t>
            </w:r>
          </w:p>
        </w:tc>
      </w:tr>
    </w:tbl>
    <w:p w14:paraId="60FD485D">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b/>
          <w:color w:val="auto"/>
          <w:kern w:val="0"/>
          <w:sz w:val="24"/>
          <w:szCs w:val="24"/>
        </w:rPr>
      </w:pPr>
    </w:p>
    <w:p w14:paraId="42E9E181">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b/>
          <w:color w:val="auto"/>
          <w:kern w:val="0"/>
          <w:sz w:val="24"/>
          <w:szCs w:val="24"/>
        </w:rPr>
      </w:pPr>
    </w:p>
    <w:p w14:paraId="5145F627">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b/>
          <w:color w:val="auto"/>
          <w:kern w:val="0"/>
          <w:sz w:val="24"/>
          <w:szCs w:val="24"/>
        </w:rPr>
      </w:pPr>
    </w:p>
    <w:p w14:paraId="5A35DA73">
      <w:pPr>
        <w:pageBreakBefore w:val="0"/>
        <w:tabs>
          <w:tab w:val="left" w:pos="0"/>
        </w:tabs>
        <w:kinsoku/>
        <w:wordWrap w:val="0"/>
        <w:overflowPunct w:val="0"/>
        <w:topLinePunct w:val="0"/>
        <w:bidi w:val="0"/>
        <w:adjustRightInd w:val="0"/>
        <w:snapToGrid w:val="0"/>
        <w:spacing w:line="360" w:lineRule="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二、评标程序</w:t>
      </w:r>
    </w:p>
    <w:p w14:paraId="7EF8D914">
      <w:pPr>
        <w:pageBreakBefore w:val="0"/>
        <w:kinsoku/>
        <w:wordWrap w:val="0"/>
        <w:overflowPunct w:val="0"/>
        <w:topLinePunct w:val="0"/>
        <w:bidi w:val="0"/>
        <w:adjustRightInd w:val="0"/>
        <w:snapToGrid w:val="0"/>
        <w:spacing w:line="360" w:lineRule="auto"/>
        <w:ind w:right="-109" w:rightChars="-52"/>
        <w:rPr>
          <w:rFonts w:hint="eastAsia" w:ascii="宋体" w:hAnsi="宋体" w:eastAsia="宋体" w:cs="宋体"/>
          <w:b/>
          <w:bCs/>
          <w:color w:val="auto"/>
          <w:sz w:val="24"/>
          <w:szCs w:val="24"/>
        </w:rPr>
      </w:pPr>
      <w:r>
        <w:rPr>
          <w:rFonts w:hint="eastAsia" w:ascii="宋体" w:hAnsi="宋体" w:eastAsia="宋体" w:cs="宋体"/>
          <w:b/>
          <w:bCs/>
          <w:color w:val="auto"/>
          <w:sz w:val="24"/>
          <w:szCs w:val="24"/>
        </w:rPr>
        <w:t>3.投标文件的初步</w:t>
      </w:r>
      <w:r>
        <w:rPr>
          <w:rFonts w:hint="eastAsia" w:ascii="宋体" w:hAnsi="宋体" w:eastAsia="宋体" w:cs="宋体"/>
          <w:b/>
          <w:color w:val="auto"/>
          <w:sz w:val="24"/>
          <w:szCs w:val="24"/>
        </w:rPr>
        <w:t>评审</w:t>
      </w:r>
    </w:p>
    <w:p w14:paraId="0CEA7388">
      <w:pPr>
        <w:pageBreakBefore w:val="0"/>
        <w:kinsoku/>
        <w:wordWrap w:val="0"/>
        <w:overflowPunct w:val="0"/>
        <w:topLinePunct w:val="0"/>
        <w:bidi w:val="0"/>
        <w:adjustRightInd w:val="0"/>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3.1符合性检查。</w:t>
      </w:r>
    </w:p>
    <w:p w14:paraId="2337A129">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pacing w:val="-6"/>
          <w:sz w:val="24"/>
          <w:szCs w:val="24"/>
        </w:rPr>
      </w:pPr>
      <w:r>
        <w:rPr>
          <w:rFonts w:hint="eastAsia" w:ascii="宋体" w:hAnsi="宋体" w:eastAsia="宋体" w:cs="宋体"/>
          <w:color w:val="auto"/>
          <w:sz w:val="24"/>
          <w:szCs w:val="24"/>
        </w:rPr>
        <w:t>（1）依据招标文件的规定，从投标文件的有效性、完整</w:t>
      </w:r>
      <w:r>
        <w:rPr>
          <w:rFonts w:hint="eastAsia" w:ascii="宋体" w:hAnsi="宋体" w:eastAsia="宋体" w:cs="宋体"/>
          <w:color w:val="auto"/>
          <w:spacing w:val="-6"/>
          <w:sz w:val="24"/>
          <w:szCs w:val="24"/>
        </w:rPr>
        <w:t>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522"/>
        <w:gridCol w:w="6246"/>
      </w:tblGrid>
      <w:tr w14:paraId="5708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51" w:type="dxa"/>
            <w:noWrap w:val="0"/>
            <w:vAlign w:val="top"/>
          </w:tcPr>
          <w:p w14:paraId="39E05CAE">
            <w:pPr>
              <w:pageBreakBefore w:val="0"/>
              <w:kinsoku/>
              <w:wordWrap w:val="0"/>
              <w:overflowPunct w:val="0"/>
              <w:topLinePunct w:val="0"/>
              <w:bidi w:val="0"/>
              <w:adjustRightInd w:val="0"/>
              <w:snapToGrid w:val="0"/>
              <w:spacing w:line="400" w:lineRule="exact"/>
              <w:ind w:right="-109" w:rightChars="-52"/>
              <w:rPr>
                <w:rFonts w:hint="eastAsia" w:ascii="宋体" w:hAnsi="宋体" w:eastAsia="宋体" w:cs="宋体"/>
                <w:color w:val="auto"/>
                <w:sz w:val="24"/>
                <w:szCs w:val="24"/>
              </w:rPr>
            </w:pPr>
            <w:r>
              <w:rPr>
                <w:rFonts w:hint="eastAsia" w:ascii="宋体" w:hAnsi="宋体" w:eastAsia="宋体" w:cs="宋体"/>
                <w:color w:val="auto"/>
                <w:sz w:val="24"/>
                <w:szCs w:val="24"/>
              </w:rPr>
              <w:t xml:space="preserve"> 序号</w:t>
            </w:r>
          </w:p>
        </w:tc>
        <w:tc>
          <w:tcPr>
            <w:tcW w:w="2522" w:type="dxa"/>
            <w:noWrap w:val="0"/>
            <w:vAlign w:val="center"/>
          </w:tcPr>
          <w:p w14:paraId="1EC85CF3">
            <w:pPr>
              <w:pageBreakBefore w:val="0"/>
              <w:kinsoku/>
              <w:wordWrap w:val="0"/>
              <w:overflowPunct w:val="0"/>
              <w:topLinePunct w:val="0"/>
              <w:bidi w:val="0"/>
              <w:adjustRightInd w:val="0"/>
              <w:snapToGrid w:val="0"/>
              <w:spacing w:line="400" w:lineRule="exact"/>
              <w:ind w:right="-109" w:rightChars="-52"/>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评审因素</w:t>
            </w:r>
          </w:p>
        </w:tc>
        <w:tc>
          <w:tcPr>
            <w:tcW w:w="6246" w:type="dxa"/>
            <w:noWrap w:val="0"/>
            <w:vAlign w:val="center"/>
          </w:tcPr>
          <w:p w14:paraId="39A72A55">
            <w:pPr>
              <w:pageBreakBefore w:val="0"/>
              <w:kinsoku/>
              <w:wordWrap w:val="0"/>
              <w:overflowPunct w:val="0"/>
              <w:topLinePunct w:val="0"/>
              <w:bidi w:val="0"/>
              <w:adjustRightInd w:val="0"/>
              <w:snapToGrid w:val="0"/>
              <w:spacing w:line="400" w:lineRule="exact"/>
              <w:ind w:right="-109" w:rightChars="-52"/>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评审标准</w:t>
            </w:r>
          </w:p>
        </w:tc>
      </w:tr>
      <w:tr w14:paraId="320D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51" w:type="dxa"/>
            <w:noWrap w:val="0"/>
            <w:vAlign w:val="center"/>
          </w:tcPr>
          <w:p w14:paraId="5B95E8A7">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522" w:type="dxa"/>
            <w:noWrap w:val="0"/>
            <w:vAlign w:val="center"/>
          </w:tcPr>
          <w:p w14:paraId="5DD22997">
            <w:pPr>
              <w:pageBreakBefore w:val="0"/>
              <w:kinsoku/>
              <w:wordWrap w:val="0"/>
              <w:overflowPunct w:val="0"/>
              <w:topLinePunct w:val="0"/>
              <w:bidi w:val="0"/>
              <w:adjustRightInd w:val="0"/>
              <w:spacing w:line="400" w:lineRule="exact"/>
              <w:rPr>
                <w:rFonts w:hint="eastAsia" w:ascii="宋体" w:hAnsi="宋体" w:eastAsia="宋体" w:cs="宋体"/>
                <w:color w:val="auto"/>
                <w:sz w:val="24"/>
                <w:szCs w:val="24"/>
              </w:rPr>
            </w:pPr>
            <w:r>
              <w:rPr>
                <w:rFonts w:hint="eastAsia" w:ascii="宋体" w:hAnsi="宋体" w:eastAsia="宋体" w:cs="宋体"/>
                <w:color w:val="auto"/>
                <w:kern w:val="0"/>
                <w:sz w:val="24"/>
                <w:szCs w:val="24"/>
              </w:rPr>
              <w:t>投标</w:t>
            </w:r>
            <w:r>
              <w:rPr>
                <w:rFonts w:hint="eastAsia" w:ascii="宋体" w:hAnsi="宋体" w:eastAsia="宋体" w:cs="宋体"/>
                <w:color w:val="auto"/>
                <w:kern w:val="0"/>
                <w:sz w:val="24"/>
                <w:szCs w:val="24"/>
                <w:lang w:val="en-US" w:eastAsia="zh-CN"/>
              </w:rPr>
              <w:t>文件</w:t>
            </w:r>
            <w:r>
              <w:rPr>
                <w:rFonts w:hint="eastAsia" w:ascii="宋体" w:hAnsi="宋体" w:eastAsia="宋体" w:cs="宋体"/>
                <w:color w:val="auto"/>
                <w:kern w:val="0"/>
                <w:sz w:val="24"/>
                <w:szCs w:val="24"/>
              </w:rPr>
              <w:t>签字盖章</w:t>
            </w:r>
          </w:p>
        </w:tc>
        <w:tc>
          <w:tcPr>
            <w:tcW w:w="6246" w:type="dxa"/>
            <w:noWrap w:val="0"/>
            <w:vAlign w:val="center"/>
          </w:tcPr>
          <w:p w14:paraId="6357E4E0">
            <w:pPr>
              <w:pageBreakBefore w:val="0"/>
              <w:kinsoku/>
              <w:wordWrap w:val="0"/>
              <w:overflowPunct w:val="0"/>
              <w:topLinePunct w:val="0"/>
              <w:bidi w:val="0"/>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投标</w:t>
            </w:r>
            <w:r>
              <w:rPr>
                <w:rFonts w:hint="eastAsia" w:ascii="宋体" w:hAnsi="宋体" w:eastAsia="宋体" w:cs="宋体"/>
                <w:color w:val="auto"/>
                <w:kern w:val="0"/>
                <w:sz w:val="24"/>
                <w:szCs w:val="24"/>
                <w:lang w:val="en-US" w:eastAsia="zh-CN"/>
              </w:rPr>
              <w:t>文件</w:t>
            </w:r>
            <w:r>
              <w:rPr>
                <w:rFonts w:hint="eastAsia" w:ascii="宋体" w:hAnsi="宋体" w:eastAsia="宋体" w:cs="宋体"/>
                <w:color w:val="auto"/>
                <w:kern w:val="0"/>
                <w:sz w:val="24"/>
                <w:szCs w:val="24"/>
              </w:rPr>
              <w:t>签字盖章</w:t>
            </w:r>
            <w:r>
              <w:rPr>
                <w:rFonts w:hint="eastAsia" w:ascii="宋体" w:hAnsi="宋体" w:eastAsia="宋体" w:cs="宋体"/>
                <w:color w:val="auto"/>
                <w:kern w:val="0"/>
                <w:sz w:val="24"/>
                <w:szCs w:val="24"/>
                <w:lang w:val="en-US" w:eastAsia="zh-CN"/>
              </w:rPr>
              <w:t>符合招标文件规定</w:t>
            </w:r>
          </w:p>
        </w:tc>
      </w:tr>
      <w:tr w14:paraId="6A63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51" w:type="dxa"/>
            <w:noWrap w:val="0"/>
            <w:vAlign w:val="center"/>
          </w:tcPr>
          <w:p w14:paraId="55A7F634">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522" w:type="dxa"/>
            <w:noWrap w:val="0"/>
            <w:vAlign w:val="center"/>
          </w:tcPr>
          <w:p w14:paraId="69767306">
            <w:pPr>
              <w:pageBreakBefore w:val="0"/>
              <w:kinsoku/>
              <w:wordWrap w:val="0"/>
              <w:overflowPunct w:val="0"/>
              <w:topLinePunct w:val="0"/>
              <w:bidi w:val="0"/>
              <w:spacing w:line="400" w:lineRule="exac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合同履约期限</w:t>
            </w:r>
          </w:p>
        </w:tc>
        <w:tc>
          <w:tcPr>
            <w:tcW w:w="6246" w:type="dxa"/>
            <w:noWrap w:val="0"/>
            <w:vAlign w:val="center"/>
          </w:tcPr>
          <w:p w14:paraId="7A8A70C9">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合同履约期限</w:t>
            </w:r>
            <w:r>
              <w:rPr>
                <w:rFonts w:hint="eastAsia" w:ascii="宋体" w:hAnsi="宋体" w:eastAsia="宋体" w:cs="宋体"/>
                <w:color w:val="auto"/>
                <w:kern w:val="0"/>
                <w:sz w:val="24"/>
                <w:szCs w:val="24"/>
              </w:rPr>
              <w:t>符合</w:t>
            </w:r>
            <w:r>
              <w:rPr>
                <w:rFonts w:hint="eastAsia" w:ascii="宋体" w:hAnsi="宋体" w:eastAsia="宋体" w:cs="宋体"/>
                <w:color w:val="auto"/>
                <w:kern w:val="0"/>
                <w:sz w:val="24"/>
                <w:szCs w:val="24"/>
                <w:lang w:val="en-US" w:eastAsia="zh-CN"/>
              </w:rPr>
              <w:t>或优于</w:t>
            </w:r>
            <w:r>
              <w:rPr>
                <w:rFonts w:hint="eastAsia" w:ascii="宋体" w:hAnsi="宋体" w:eastAsia="宋体" w:cs="宋体"/>
                <w:color w:val="auto"/>
                <w:kern w:val="0"/>
                <w:sz w:val="24"/>
                <w:szCs w:val="24"/>
              </w:rPr>
              <w:t>招标文件规定</w:t>
            </w:r>
          </w:p>
        </w:tc>
      </w:tr>
      <w:tr w14:paraId="2D0E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51" w:type="dxa"/>
            <w:noWrap w:val="0"/>
            <w:vAlign w:val="center"/>
          </w:tcPr>
          <w:p w14:paraId="5829633E">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522" w:type="dxa"/>
            <w:noWrap w:val="0"/>
            <w:vAlign w:val="center"/>
          </w:tcPr>
          <w:p w14:paraId="7C6E4C7F">
            <w:pPr>
              <w:pageBreakBefore w:val="0"/>
              <w:kinsoku/>
              <w:wordWrap w:val="0"/>
              <w:overflowPunct w:val="0"/>
              <w:topLinePunct w:val="0"/>
              <w:bidi w:val="0"/>
              <w:adjustRightInd w:val="0"/>
              <w:spacing w:line="400" w:lineRule="exact"/>
              <w:rPr>
                <w:rFonts w:hint="eastAsia" w:ascii="宋体" w:hAnsi="宋体" w:eastAsia="宋体" w:cs="宋体"/>
                <w:color w:val="auto"/>
                <w:sz w:val="24"/>
                <w:szCs w:val="24"/>
              </w:rPr>
            </w:pPr>
            <w:r>
              <w:rPr>
                <w:rFonts w:hint="eastAsia" w:ascii="宋体" w:hAnsi="宋体" w:eastAsia="宋体" w:cs="宋体"/>
                <w:color w:val="auto"/>
                <w:kern w:val="0"/>
                <w:sz w:val="24"/>
                <w:szCs w:val="24"/>
              </w:rPr>
              <w:t>投标有效期</w:t>
            </w:r>
          </w:p>
        </w:tc>
        <w:tc>
          <w:tcPr>
            <w:tcW w:w="6246" w:type="dxa"/>
            <w:noWrap w:val="0"/>
            <w:vAlign w:val="center"/>
          </w:tcPr>
          <w:p w14:paraId="5D0F5C9B">
            <w:pPr>
              <w:pageBreakBefore w:val="0"/>
              <w:kinsoku/>
              <w:wordWrap w:val="0"/>
              <w:overflowPunct w:val="0"/>
              <w:topLinePunct w:val="0"/>
              <w:bidi w:val="0"/>
              <w:adjustRightInd w:val="0"/>
              <w:spacing w:line="400" w:lineRule="exact"/>
              <w:rPr>
                <w:rFonts w:hint="eastAsia" w:ascii="宋体" w:hAnsi="宋体" w:eastAsia="宋体" w:cs="宋体"/>
                <w:color w:val="auto"/>
                <w:sz w:val="24"/>
                <w:szCs w:val="24"/>
              </w:rPr>
            </w:pPr>
            <w:r>
              <w:rPr>
                <w:rFonts w:hint="eastAsia" w:ascii="宋体" w:hAnsi="宋体" w:eastAsia="宋体" w:cs="宋体"/>
                <w:color w:val="auto"/>
                <w:kern w:val="0"/>
                <w:sz w:val="24"/>
                <w:szCs w:val="24"/>
              </w:rPr>
              <w:t>投标有效期符合招标文件规定的有效期</w:t>
            </w:r>
          </w:p>
        </w:tc>
      </w:tr>
      <w:tr w14:paraId="6E54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951" w:type="dxa"/>
            <w:noWrap w:val="0"/>
            <w:vAlign w:val="center"/>
          </w:tcPr>
          <w:p w14:paraId="251745B3">
            <w:pPr>
              <w:pageBreakBefore w:val="0"/>
              <w:kinsoku/>
              <w:wordWrap w:val="0"/>
              <w:overflowPunct w:val="0"/>
              <w:topLinePunct w:val="0"/>
              <w:bidi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522" w:type="dxa"/>
            <w:noWrap w:val="0"/>
            <w:vAlign w:val="center"/>
          </w:tcPr>
          <w:p w14:paraId="2920E148">
            <w:pPr>
              <w:pageBreakBefore w:val="0"/>
              <w:kinsoku/>
              <w:wordWrap w:val="0"/>
              <w:overflowPunct w:val="0"/>
              <w:topLinePunct w:val="0"/>
              <w:bidi w:val="0"/>
              <w:adjustRightInd w:val="0"/>
              <w:spacing w:line="400" w:lineRule="exact"/>
              <w:rPr>
                <w:rFonts w:hint="eastAsia" w:ascii="宋体" w:hAnsi="宋体" w:eastAsia="宋体" w:cs="宋体"/>
                <w:color w:val="auto"/>
                <w:sz w:val="24"/>
                <w:szCs w:val="24"/>
              </w:rPr>
            </w:pPr>
            <w:r>
              <w:rPr>
                <w:rFonts w:hint="eastAsia" w:ascii="宋体" w:hAnsi="宋体" w:eastAsia="宋体" w:cs="宋体"/>
                <w:color w:val="auto"/>
                <w:kern w:val="0"/>
                <w:sz w:val="24"/>
                <w:szCs w:val="24"/>
              </w:rPr>
              <w:t>投标范围</w:t>
            </w:r>
          </w:p>
        </w:tc>
        <w:tc>
          <w:tcPr>
            <w:tcW w:w="6246" w:type="dxa"/>
            <w:noWrap w:val="0"/>
            <w:vAlign w:val="center"/>
          </w:tcPr>
          <w:p w14:paraId="13D38C3F">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投标范围符合招标文件规定的招标范围</w:t>
            </w:r>
          </w:p>
          <w:p w14:paraId="33DB2212">
            <w:pPr>
              <w:pageBreakBefore w:val="0"/>
              <w:kinsoku/>
              <w:wordWrap w:val="0"/>
              <w:overflowPunct w:val="0"/>
              <w:topLinePunct w:val="0"/>
              <w:bidi w:val="0"/>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（无缺漏招标文件所要求的内容）</w:t>
            </w:r>
          </w:p>
        </w:tc>
      </w:tr>
      <w:tr w14:paraId="089E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951" w:type="dxa"/>
            <w:noWrap w:val="0"/>
            <w:vAlign w:val="center"/>
          </w:tcPr>
          <w:p w14:paraId="341B2830">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2522" w:type="dxa"/>
            <w:noWrap w:val="0"/>
            <w:vAlign w:val="center"/>
          </w:tcPr>
          <w:p w14:paraId="11DF0BBB">
            <w:pPr>
              <w:pageBreakBefore w:val="0"/>
              <w:kinsoku/>
              <w:wordWrap w:val="0"/>
              <w:overflowPunct w:val="0"/>
              <w:topLinePunct w:val="0"/>
              <w:bidi w:val="0"/>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投标报价</w:t>
            </w:r>
          </w:p>
        </w:tc>
        <w:tc>
          <w:tcPr>
            <w:tcW w:w="6246" w:type="dxa"/>
            <w:noWrap w:val="0"/>
            <w:vAlign w:val="center"/>
          </w:tcPr>
          <w:p w14:paraId="72241028">
            <w:pPr>
              <w:pageBreakBefore w:val="0"/>
              <w:tabs>
                <w:tab w:val="left" w:pos="0"/>
              </w:tabs>
              <w:kinsoku/>
              <w:wordWrap w:val="0"/>
              <w:overflowPunct w:val="0"/>
              <w:topLinePunct w:val="0"/>
              <w:bidi w:val="0"/>
              <w:adjustRightInd w:val="0"/>
              <w:snapToGrid w:val="0"/>
              <w:spacing w:line="460" w:lineRule="exact"/>
              <w:jc w:val="left"/>
              <w:rPr>
                <w:rFonts w:hint="eastAsia" w:ascii="宋体" w:hAnsi="宋体" w:eastAsia="宋体" w:cs="宋体"/>
                <w:color w:val="auto"/>
                <w:sz w:val="24"/>
                <w:szCs w:val="24"/>
              </w:rPr>
            </w:pPr>
            <w:r>
              <w:rPr>
                <w:rFonts w:hint="eastAsia" w:ascii="宋体" w:hAnsi="宋体" w:eastAsia="宋体" w:cs="宋体"/>
                <w:color w:val="auto"/>
                <w:kern w:val="0"/>
                <w:sz w:val="24"/>
              </w:rPr>
              <w:t>投标报价唯一且低于（含等于）采购预算金额</w:t>
            </w:r>
            <w:r>
              <w:rPr>
                <w:rFonts w:hint="eastAsia" w:ascii="宋体" w:hAnsi="宋体" w:eastAsia="宋体" w:cs="宋体"/>
                <w:color w:val="auto"/>
                <w:sz w:val="24"/>
                <w:szCs w:val="24"/>
                <w:lang w:val="en-US" w:eastAsia="zh-CN"/>
              </w:rPr>
              <w:t>（最高限价）</w:t>
            </w:r>
          </w:p>
        </w:tc>
      </w:tr>
      <w:tr w14:paraId="16B9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51" w:type="dxa"/>
            <w:noWrap w:val="0"/>
            <w:vAlign w:val="center"/>
          </w:tcPr>
          <w:p w14:paraId="58CC705F">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2522" w:type="dxa"/>
            <w:noWrap w:val="0"/>
            <w:vAlign w:val="center"/>
          </w:tcPr>
          <w:p w14:paraId="5BB837E0">
            <w:pPr>
              <w:pageBreakBefore w:val="0"/>
              <w:kinsoku/>
              <w:wordWrap w:val="0"/>
              <w:overflowPunct w:val="0"/>
              <w:topLinePunct w:val="0"/>
              <w:bidi w:val="0"/>
              <w:spacing w:line="40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246" w:type="dxa"/>
            <w:noWrap w:val="0"/>
            <w:vAlign w:val="center"/>
          </w:tcPr>
          <w:p w14:paraId="5EE8CF60">
            <w:pPr>
              <w:pageBreakBefore w:val="0"/>
              <w:tabs>
                <w:tab w:val="left" w:pos="0"/>
              </w:tabs>
              <w:kinsoku/>
              <w:wordWrap w:val="0"/>
              <w:overflowPunct w:val="0"/>
              <w:topLinePunct w:val="0"/>
              <w:bidi w:val="0"/>
              <w:adjustRightInd w:val="0"/>
              <w:snapToGrid w:val="0"/>
              <w:spacing w:line="460" w:lineRule="exact"/>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质保期符合或优于招标文件的规定</w:t>
            </w:r>
          </w:p>
        </w:tc>
      </w:tr>
      <w:tr w14:paraId="525C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51" w:type="dxa"/>
            <w:noWrap w:val="0"/>
            <w:vAlign w:val="center"/>
          </w:tcPr>
          <w:p w14:paraId="76EFA532">
            <w:pPr>
              <w:pageBreakBefore w:val="0"/>
              <w:kinsoku/>
              <w:wordWrap w:val="0"/>
              <w:overflowPunct w:val="0"/>
              <w:topLinePunct w:val="0"/>
              <w:bidi w:val="0"/>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2522" w:type="dxa"/>
            <w:noWrap w:val="0"/>
            <w:vAlign w:val="center"/>
          </w:tcPr>
          <w:p w14:paraId="74A15A02">
            <w:pPr>
              <w:pageBreakBefore w:val="0"/>
              <w:kinsoku/>
              <w:wordWrap w:val="0"/>
              <w:overflowPunct w:val="0"/>
              <w:topLinePunct w:val="0"/>
              <w:bidi w:val="0"/>
              <w:spacing w:line="40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其他</w:t>
            </w:r>
          </w:p>
        </w:tc>
        <w:tc>
          <w:tcPr>
            <w:tcW w:w="6246" w:type="dxa"/>
            <w:noWrap w:val="0"/>
            <w:vAlign w:val="center"/>
          </w:tcPr>
          <w:p w14:paraId="4BED4E75">
            <w:pPr>
              <w:pageBreakBefore w:val="0"/>
              <w:tabs>
                <w:tab w:val="left" w:pos="0"/>
              </w:tabs>
              <w:kinsoku/>
              <w:wordWrap w:val="0"/>
              <w:overflowPunct w:val="0"/>
              <w:topLinePunct w:val="0"/>
              <w:bidi w:val="0"/>
              <w:adjustRightInd w:val="0"/>
              <w:snapToGrid w:val="0"/>
              <w:spacing w:line="460" w:lineRule="exact"/>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符合招标文件的其他要求</w:t>
            </w:r>
          </w:p>
        </w:tc>
      </w:tr>
    </w:tbl>
    <w:p w14:paraId="60EB1723">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投标人不得通过修正或撤销不合要求的偏离从而使其投标成为实质上响应的投标。</w:t>
      </w:r>
    </w:p>
    <w:p w14:paraId="6C63E05E">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 投标文件属下列情况之一的，应当在资格性、符合性检查时按照无效投标处理，无效投标的情况同时在</w:t>
      </w:r>
      <w:r>
        <w:rPr>
          <w:rFonts w:hint="eastAsia" w:ascii="宋体" w:hAnsi="宋体" w:eastAsia="宋体" w:cs="宋体"/>
          <w:b/>
          <w:color w:val="auto"/>
          <w:sz w:val="24"/>
          <w:szCs w:val="24"/>
        </w:rPr>
        <w:t>招标文件前附表</w:t>
      </w:r>
      <w:r>
        <w:rPr>
          <w:rFonts w:hint="eastAsia" w:ascii="宋体" w:hAnsi="宋体" w:eastAsia="宋体" w:cs="宋体"/>
          <w:b/>
          <w:color w:val="auto"/>
          <w:sz w:val="24"/>
          <w:szCs w:val="24"/>
          <w:lang w:eastAsia="zh-CN"/>
        </w:rPr>
        <w:t>中</w:t>
      </w:r>
      <w:r>
        <w:rPr>
          <w:rFonts w:hint="eastAsia" w:ascii="宋体" w:hAnsi="宋体" w:eastAsia="宋体" w:cs="宋体"/>
          <w:color w:val="auto"/>
          <w:sz w:val="24"/>
          <w:szCs w:val="24"/>
        </w:rPr>
        <w:t>列示：</w:t>
      </w:r>
    </w:p>
    <w:p w14:paraId="373A0BB9">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（1）应交未交投标保证金或金额不足、投标保证金形式不符合招标文件要求的；</w:t>
      </w:r>
    </w:p>
    <w:p w14:paraId="36C93AED">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（2）未按照招标文件规定要求签署、盖章的；</w:t>
      </w:r>
    </w:p>
    <w:p w14:paraId="70547E89">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（3）投标有效期不足的；</w:t>
      </w:r>
    </w:p>
    <w:p w14:paraId="6FD4C41D">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（4）参加政府采购活动前三年内，在经营活动中有重大违法记录的； </w:t>
      </w:r>
    </w:p>
    <w:p w14:paraId="5385FACD">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（5）不具备第一章“投标须知”第3.1</w:t>
      </w:r>
      <w:r>
        <w:rPr>
          <w:rFonts w:hint="eastAsia" w:ascii="宋体" w:hAnsi="宋体" w:eastAsia="宋体" w:cs="宋体"/>
          <w:color w:val="auto"/>
          <w:sz w:val="24"/>
          <w:szCs w:val="24"/>
          <w:lang w:val="zh-CN"/>
        </w:rPr>
        <w:t>款</w:t>
      </w:r>
      <w:r>
        <w:rPr>
          <w:rFonts w:hint="eastAsia" w:ascii="宋体" w:hAnsi="宋体" w:eastAsia="宋体" w:cs="宋体"/>
          <w:color w:val="auto"/>
          <w:sz w:val="24"/>
          <w:szCs w:val="24"/>
        </w:rPr>
        <w:t>规定的投标人资格要求的；</w:t>
      </w:r>
    </w:p>
    <w:p w14:paraId="5B788CB7">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（6）不满足第一章“投标须知”第10.1</w:t>
      </w:r>
      <w:r>
        <w:rPr>
          <w:rFonts w:hint="eastAsia" w:ascii="宋体" w:hAnsi="宋体" w:eastAsia="宋体" w:cs="宋体"/>
          <w:color w:val="auto"/>
          <w:sz w:val="24"/>
          <w:szCs w:val="24"/>
          <w:lang w:val="zh-CN"/>
        </w:rPr>
        <w:t>款</w:t>
      </w:r>
      <w:r>
        <w:rPr>
          <w:rFonts w:hint="eastAsia" w:ascii="宋体" w:hAnsi="宋体" w:eastAsia="宋体" w:cs="宋体"/>
          <w:color w:val="auto"/>
          <w:sz w:val="24"/>
          <w:szCs w:val="24"/>
        </w:rPr>
        <w:t>、第10.2</w:t>
      </w:r>
      <w:r>
        <w:rPr>
          <w:rFonts w:hint="eastAsia" w:ascii="宋体" w:hAnsi="宋体" w:eastAsia="宋体" w:cs="宋体"/>
          <w:color w:val="auto"/>
          <w:sz w:val="24"/>
          <w:szCs w:val="24"/>
          <w:lang w:val="zh-CN"/>
        </w:rPr>
        <w:t>款</w:t>
      </w:r>
      <w:r>
        <w:rPr>
          <w:rFonts w:hint="eastAsia" w:ascii="宋体" w:hAnsi="宋体" w:eastAsia="宋体" w:cs="宋体"/>
          <w:color w:val="auto"/>
          <w:sz w:val="24"/>
          <w:szCs w:val="24"/>
        </w:rPr>
        <w:t>规定的实质性要求的；</w:t>
      </w:r>
    </w:p>
    <w:p w14:paraId="493BEDF8">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（7）同一投标人提交两个以上不同的投标文件或者投标报价的；</w:t>
      </w:r>
    </w:p>
    <w:p w14:paraId="3DAA0D68">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（8）投标文件载明的投标范围小于招标文件规定的招标范围的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缺漏招标文件所要求的内容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4D9DEFF8">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（9）投标货物性能、规格、检验标准和方法、服务等不满足招标文件的相关要求和超出采购人接受的偏差范围的；</w:t>
      </w:r>
    </w:p>
    <w:p w14:paraId="280F6C7A">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（10）投标文件附有采购人不能接受的条件；</w:t>
      </w:r>
    </w:p>
    <w:p w14:paraId="28532806">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（11）不符合招标文件规定的分包、转包规定等其他实质性要求；</w:t>
      </w:r>
    </w:p>
    <w:p w14:paraId="312F4DA9">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（12）不符合</w:t>
      </w:r>
      <w:r>
        <w:rPr>
          <w:rFonts w:hint="eastAsia" w:ascii="宋体" w:hAnsi="宋体" w:eastAsia="宋体" w:cs="宋体"/>
          <w:color w:val="auto"/>
          <w:sz w:val="24"/>
          <w:szCs w:val="24"/>
          <w:lang w:eastAsia="zh-CN"/>
        </w:rPr>
        <w:t>法律法规</w:t>
      </w:r>
      <w:r>
        <w:rPr>
          <w:rFonts w:hint="eastAsia" w:ascii="宋体" w:hAnsi="宋体" w:eastAsia="宋体" w:cs="宋体"/>
          <w:color w:val="auto"/>
          <w:sz w:val="24"/>
          <w:szCs w:val="24"/>
        </w:rPr>
        <w:t>的规定。</w:t>
      </w:r>
    </w:p>
    <w:p w14:paraId="2C859F55">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 有下列情形之一时，评标委员会应予废标，并将理由通知所有投标人。废标的情形同时在</w:t>
      </w:r>
      <w:r>
        <w:rPr>
          <w:rFonts w:hint="eastAsia" w:ascii="宋体" w:hAnsi="宋体" w:eastAsia="宋体" w:cs="宋体"/>
          <w:b/>
          <w:color w:val="auto"/>
          <w:sz w:val="24"/>
          <w:szCs w:val="24"/>
        </w:rPr>
        <w:t>招标文件前附表</w:t>
      </w:r>
      <w:r>
        <w:rPr>
          <w:rFonts w:hint="eastAsia" w:ascii="宋体" w:hAnsi="宋体" w:eastAsia="宋体" w:cs="宋体"/>
          <w:b/>
          <w:color w:val="auto"/>
          <w:sz w:val="24"/>
          <w:szCs w:val="24"/>
          <w:lang w:eastAsia="zh-CN"/>
        </w:rPr>
        <w:t>中</w:t>
      </w:r>
      <w:r>
        <w:rPr>
          <w:rFonts w:hint="eastAsia" w:ascii="宋体" w:hAnsi="宋体" w:eastAsia="宋体" w:cs="宋体"/>
          <w:color w:val="auto"/>
          <w:sz w:val="24"/>
          <w:szCs w:val="24"/>
        </w:rPr>
        <w:t>列示：</w:t>
      </w:r>
    </w:p>
    <w:p w14:paraId="0CF2E9BC">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（1）符合专业条件的投标人或者对招标文件作实质性响应的投标人不足三家的；</w:t>
      </w:r>
    </w:p>
    <w:p w14:paraId="7D46EBC8">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（2）出现影响采购公正的违法、违规行为的；</w:t>
      </w:r>
    </w:p>
    <w:p w14:paraId="6165F5EA">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（3）因重大变故，采购任务取消的。</w:t>
      </w:r>
    </w:p>
    <w:p w14:paraId="671B1E9C">
      <w:pPr>
        <w:pageBreakBefore w:val="0"/>
        <w:kinsoku/>
        <w:wordWrap w:val="0"/>
        <w:overflowPunct w:val="0"/>
        <w:topLinePunct w:val="0"/>
        <w:bidi w:val="0"/>
        <w:adjustRightInd w:val="0"/>
        <w:snapToGrid w:val="0"/>
        <w:spacing w:line="360" w:lineRule="auto"/>
        <w:ind w:firstLine="482" w:firstLineChars="200"/>
        <w:rPr>
          <w:rFonts w:hint="eastAsia" w:ascii="宋体" w:hAnsi="宋体" w:eastAsia="宋体" w:cs="宋体"/>
          <w:bCs/>
          <w:color w:val="auto"/>
          <w:sz w:val="24"/>
          <w:szCs w:val="24"/>
        </w:rPr>
      </w:pPr>
      <w:r>
        <w:rPr>
          <w:rFonts w:hint="eastAsia" w:ascii="宋体" w:hAnsi="宋体" w:eastAsia="宋体" w:cs="宋体"/>
          <w:b/>
          <w:bCs/>
          <w:color w:val="auto"/>
          <w:sz w:val="24"/>
          <w:szCs w:val="24"/>
        </w:rPr>
        <w:t>4.澄清有关问题</w:t>
      </w:r>
    </w:p>
    <w:p w14:paraId="3E8D8367">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 对投标文件中含义不明确、同类问题表述不一致或者有明显文字和计算错误的内容，评标委员会将以书面形式通知投标人作出必要的澄清、说明，但不得超出投标文件的范围或对投标文件</w:t>
      </w:r>
      <w:r>
        <w:rPr>
          <w:rFonts w:hint="eastAsia" w:ascii="宋体" w:hAnsi="宋体" w:eastAsia="宋体" w:cs="宋体"/>
          <w:color w:val="auto"/>
          <w:sz w:val="24"/>
          <w:szCs w:val="24"/>
          <w:lang w:eastAsia="zh-CN"/>
        </w:rPr>
        <w:t>作</w:t>
      </w:r>
      <w:r>
        <w:rPr>
          <w:rFonts w:hint="eastAsia" w:ascii="宋体" w:hAnsi="宋体" w:eastAsia="宋体" w:cs="宋体"/>
          <w:color w:val="auto"/>
          <w:sz w:val="24"/>
          <w:szCs w:val="24"/>
        </w:rPr>
        <w:t>实质性的修改（计算错误修正除外）。评标委员会不接受投标人主动提出的澄清、说明。</w:t>
      </w:r>
    </w:p>
    <w:p w14:paraId="3C8FD0CC">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color w:val="auto"/>
          <w:sz w:val="24"/>
          <w:szCs w:val="24"/>
        </w:rPr>
        <w:t>4.2投标人不得对下列</w:t>
      </w:r>
      <w:r>
        <w:rPr>
          <w:rFonts w:hint="eastAsia" w:ascii="宋体" w:hAnsi="宋体" w:eastAsia="宋体" w:cs="宋体"/>
          <w:color w:val="auto"/>
          <w:sz w:val="24"/>
          <w:szCs w:val="24"/>
          <w:lang w:eastAsia="zh-CN"/>
        </w:rPr>
        <w:t>内容</w:t>
      </w:r>
      <w:r>
        <w:rPr>
          <w:rFonts w:hint="eastAsia" w:ascii="宋体" w:hAnsi="宋体" w:eastAsia="宋体" w:cs="宋体"/>
          <w:bCs/>
          <w:color w:val="auto"/>
          <w:sz w:val="24"/>
          <w:szCs w:val="24"/>
        </w:rPr>
        <w:t>进行澄清或补充：</w:t>
      </w:r>
    </w:p>
    <w:p w14:paraId="2EF38CA2">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color w:val="auto"/>
          <w:sz w:val="24"/>
          <w:szCs w:val="24"/>
        </w:rPr>
        <w:t>（1）开标时，</w:t>
      </w:r>
      <w:r>
        <w:rPr>
          <w:rFonts w:hint="eastAsia" w:ascii="宋体" w:hAnsi="宋体" w:eastAsia="宋体" w:cs="宋体"/>
          <w:bCs/>
          <w:color w:val="auto"/>
          <w:sz w:val="24"/>
          <w:szCs w:val="24"/>
        </w:rPr>
        <w:t>未宣读的投标价格、价格折扣和</w:t>
      </w:r>
      <w:r>
        <w:rPr>
          <w:rFonts w:hint="eastAsia" w:ascii="宋体" w:hAnsi="宋体" w:eastAsia="宋体" w:cs="宋体"/>
          <w:color w:val="auto"/>
          <w:sz w:val="24"/>
          <w:szCs w:val="24"/>
        </w:rPr>
        <w:t>第一章“投标须知”第16.1</w:t>
      </w:r>
      <w:r>
        <w:rPr>
          <w:rFonts w:hint="eastAsia" w:ascii="宋体" w:hAnsi="宋体" w:eastAsia="宋体" w:cs="宋体"/>
          <w:color w:val="auto"/>
          <w:kern w:val="0"/>
          <w:sz w:val="24"/>
          <w:szCs w:val="24"/>
          <w:lang w:val="zh-CN"/>
        </w:rPr>
        <w:t>款</w:t>
      </w:r>
      <w:r>
        <w:rPr>
          <w:rFonts w:hint="eastAsia" w:ascii="宋体" w:hAnsi="宋体" w:eastAsia="宋体" w:cs="宋体"/>
          <w:bCs/>
          <w:color w:val="auto"/>
          <w:sz w:val="24"/>
          <w:szCs w:val="24"/>
        </w:rPr>
        <w:t>允许提</w:t>
      </w:r>
      <w:r>
        <w:rPr>
          <w:rFonts w:hint="eastAsia" w:ascii="宋体" w:hAnsi="宋体" w:eastAsia="宋体" w:cs="宋体"/>
          <w:color w:val="auto"/>
          <w:sz w:val="24"/>
          <w:szCs w:val="24"/>
        </w:rPr>
        <w:t>交</w:t>
      </w:r>
      <w:r>
        <w:rPr>
          <w:rFonts w:hint="eastAsia" w:ascii="宋体" w:hAnsi="宋体" w:eastAsia="宋体" w:cs="宋体"/>
          <w:bCs/>
          <w:color w:val="auto"/>
          <w:sz w:val="24"/>
          <w:szCs w:val="24"/>
        </w:rPr>
        <w:t>的备选方案等实质性内容。</w:t>
      </w:r>
    </w:p>
    <w:p w14:paraId="69E09751">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color w:val="auto"/>
          <w:sz w:val="24"/>
          <w:szCs w:val="24"/>
        </w:rPr>
        <w:t>（2）不满足第一章投标须知第9.1</w:t>
      </w:r>
      <w:r>
        <w:rPr>
          <w:rFonts w:hint="eastAsia" w:ascii="宋体" w:hAnsi="宋体" w:eastAsia="宋体" w:cs="宋体"/>
          <w:color w:val="auto"/>
          <w:kern w:val="0"/>
          <w:sz w:val="24"/>
          <w:szCs w:val="24"/>
          <w:lang w:val="zh-CN"/>
        </w:rPr>
        <w:t>款</w:t>
      </w:r>
      <w:r>
        <w:rPr>
          <w:rFonts w:hint="eastAsia" w:ascii="宋体" w:hAnsi="宋体" w:eastAsia="宋体" w:cs="宋体"/>
          <w:color w:val="auto"/>
          <w:sz w:val="24"/>
          <w:szCs w:val="24"/>
        </w:rPr>
        <w:t>、第9.2</w:t>
      </w:r>
      <w:r>
        <w:rPr>
          <w:rFonts w:hint="eastAsia" w:ascii="宋体" w:hAnsi="宋体" w:eastAsia="宋体" w:cs="宋体"/>
          <w:color w:val="auto"/>
          <w:kern w:val="0"/>
          <w:sz w:val="24"/>
          <w:szCs w:val="24"/>
          <w:lang w:val="zh-CN"/>
        </w:rPr>
        <w:t>款</w:t>
      </w:r>
      <w:r>
        <w:rPr>
          <w:rFonts w:hint="eastAsia" w:ascii="宋体" w:hAnsi="宋体" w:eastAsia="宋体" w:cs="宋体"/>
          <w:bCs/>
          <w:color w:val="auto"/>
          <w:sz w:val="24"/>
          <w:szCs w:val="24"/>
        </w:rPr>
        <w:t>规定的</w:t>
      </w:r>
      <w:r>
        <w:rPr>
          <w:rFonts w:hint="eastAsia" w:ascii="宋体" w:hAnsi="宋体" w:eastAsia="宋体" w:cs="宋体"/>
          <w:color w:val="auto"/>
          <w:sz w:val="24"/>
          <w:szCs w:val="24"/>
        </w:rPr>
        <w:t>实质性要求的</w:t>
      </w:r>
      <w:r>
        <w:rPr>
          <w:rFonts w:hint="eastAsia" w:ascii="宋体" w:hAnsi="宋体" w:eastAsia="宋体" w:cs="宋体"/>
          <w:bCs/>
          <w:color w:val="auto"/>
          <w:sz w:val="24"/>
          <w:szCs w:val="24"/>
        </w:rPr>
        <w:t>投标文件内容。</w:t>
      </w:r>
    </w:p>
    <w:p w14:paraId="49BD2D21">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4.3 投标文件报价出现前后不一致的，除招标文件另有规定外，按照下列规定修正：</w:t>
      </w:r>
    </w:p>
    <w:p w14:paraId="6DD32E5F">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（1）投标文件中开标一览表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报价表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内容与投标文件中相应内容不一致的，以开标一览表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报价表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为准</w:t>
      </w:r>
      <w:r>
        <w:rPr>
          <w:rFonts w:hint="eastAsia" w:ascii="宋体" w:hAnsi="宋体" w:eastAsia="宋体" w:cs="宋体"/>
          <w:color w:val="auto"/>
          <w:sz w:val="24"/>
          <w:szCs w:val="24"/>
          <w:lang w:eastAsia="zh-CN"/>
        </w:rPr>
        <w:t>；</w:t>
      </w:r>
    </w:p>
    <w:p w14:paraId="08F1F861">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（2）大写金额和小写金额不一致的，以大写金额为准</w:t>
      </w:r>
      <w:r>
        <w:rPr>
          <w:rFonts w:hint="eastAsia" w:ascii="宋体" w:hAnsi="宋体" w:eastAsia="宋体" w:cs="宋体"/>
          <w:color w:val="auto"/>
          <w:sz w:val="24"/>
          <w:szCs w:val="24"/>
          <w:lang w:eastAsia="zh-CN"/>
        </w:rPr>
        <w:t>；</w:t>
      </w:r>
    </w:p>
    <w:p w14:paraId="49A7B76A">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（3）单价金额小数点或者百分比有明显错位的，以开标一览表的总价为准，并修改单价</w:t>
      </w:r>
      <w:r>
        <w:rPr>
          <w:rFonts w:hint="eastAsia" w:ascii="宋体" w:hAnsi="宋体" w:eastAsia="宋体" w:cs="宋体"/>
          <w:color w:val="auto"/>
          <w:sz w:val="24"/>
          <w:szCs w:val="24"/>
          <w:lang w:eastAsia="zh-CN"/>
        </w:rPr>
        <w:t>；</w:t>
      </w:r>
    </w:p>
    <w:p w14:paraId="1DD6E4EE">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（4）总价金额与按单价汇总金额不一致的，以单价金额计算结果为准。</w:t>
      </w:r>
    </w:p>
    <w:p w14:paraId="2F511E75">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若投标人拒绝接受上述修正，在评标时将其视为无效投标。</w:t>
      </w:r>
    </w:p>
    <w:p w14:paraId="45E72DE4">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4.4 投标人的澄清、说明或者补正应该采用书面形式，由法定代表人或其授权的代理人签字，并按评标委员会的通知要求递交。</w:t>
      </w:r>
    </w:p>
    <w:p w14:paraId="25DBDBDE">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4.5 有效的书面澄清材料，是投标文件的补充材料，成为投标文件的组成部分。</w:t>
      </w:r>
    </w:p>
    <w:p w14:paraId="7F91DFA7">
      <w:pPr>
        <w:pageBreakBefore w:val="0"/>
        <w:tabs>
          <w:tab w:val="left" w:pos="0"/>
        </w:tabs>
        <w:kinsoku/>
        <w:wordWrap w:val="0"/>
        <w:overflowPunct w:val="0"/>
        <w:topLinePunct w:val="0"/>
        <w:bidi w:val="0"/>
        <w:adjustRightInd w:val="0"/>
        <w:snapToGrid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5.比较与评价（详细评审）</w:t>
      </w:r>
    </w:p>
    <w:p w14:paraId="73E8B7BF">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bookmarkStart w:id="25" w:name="_Toc27702_WPSOffice_Level1"/>
      <w:r>
        <w:rPr>
          <w:rFonts w:hint="eastAsia" w:ascii="宋体" w:hAnsi="宋体" w:eastAsia="宋体" w:cs="宋体"/>
          <w:b w:val="0"/>
          <w:bCs/>
          <w:color w:val="auto"/>
          <w:spacing w:val="-6"/>
          <w:sz w:val="24"/>
          <w:szCs w:val="24"/>
          <w:lang w:val="en-US" w:eastAsia="zh-CN"/>
        </w:rPr>
        <w:t>5.1评标委员会应按照招标文件中规定的评标方法、标准和评标因素，只对资格性检查和符合性检查合格的投标文件进行评估，综合比较与评价。</w:t>
      </w:r>
    </w:p>
    <w:p w14:paraId="2949EDBC">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5.2投标报价评价。评标委员会以开标时承认的投标报价为基础，依次对投标报价进行算术修正和采购政策优惠价格计算。</w:t>
      </w:r>
    </w:p>
    <w:p w14:paraId="4DF7902B">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5.3价格分采用低价优先法计算，即满足招标文件要求且投标价格最低的投标报价为评标基准价，其价格分为满分，其他有效投标人的价格分按照下列公式计算：</w:t>
      </w:r>
    </w:p>
    <w:p w14:paraId="43932FB9">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投标报价得分=(评标基准价／投标报价)×价格权值30%×100</w:t>
      </w:r>
    </w:p>
    <w:p w14:paraId="6D47D3E8">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本项所称投标报价为按本章第5.2</w:t>
      </w:r>
      <w:r>
        <w:rPr>
          <w:rFonts w:hint="eastAsia" w:ascii="宋体" w:hAnsi="宋体" w:eastAsia="宋体" w:cs="宋体"/>
          <w:b w:val="0"/>
          <w:bCs/>
          <w:color w:val="auto"/>
          <w:spacing w:val="-6"/>
          <w:sz w:val="24"/>
          <w:szCs w:val="24"/>
          <w:lang w:val="zh-CN" w:eastAsia="zh-CN"/>
        </w:rPr>
        <w:t>款</w:t>
      </w:r>
      <w:r>
        <w:rPr>
          <w:rFonts w:hint="eastAsia" w:ascii="宋体" w:hAnsi="宋体" w:eastAsia="宋体" w:cs="宋体"/>
          <w:b w:val="0"/>
          <w:bCs/>
          <w:color w:val="auto"/>
          <w:spacing w:val="-6"/>
          <w:sz w:val="24"/>
          <w:szCs w:val="24"/>
          <w:lang w:val="en-US" w:eastAsia="zh-CN"/>
        </w:rPr>
        <w:t>规定评价后的投标报价。</w:t>
      </w:r>
    </w:p>
    <w:p w14:paraId="75121F3D">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如评标委员会一致认为某个投标人的报价明显不合理，有降低质量、不能诚信履行的可能时，评标委员会有权决定是否通知投标人限期进行书面解释或提供相关证明材料。若已要求，而该投标人在规定期限内未作出解释、做出的解释不合理或不能提供证明材料的，评标委员会有权拒绝该投标。</w:t>
      </w:r>
    </w:p>
    <w:p w14:paraId="3347EC93">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5.4涉及政府采购政策优惠的，按招标文件前附表规定调整投标人的技术、价格得分或总得分。</w:t>
      </w:r>
    </w:p>
    <w:p w14:paraId="676B38C7">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5.5涉及多处获得政府采购政策优惠的，涉及调整得分的，按本章第5.4</w:t>
      </w:r>
      <w:r>
        <w:rPr>
          <w:rFonts w:hint="eastAsia" w:ascii="宋体" w:hAnsi="宋体" w:eastAsia="宋体" w:cs="宋体"/>
          <w:b w:val="0"/>
          <w:bCs/>
          <w:color w:val="auto"/>
          <w:spacing w:val="-6"/>
          <w:sz w:val="24"/>
          <w:szCs w:val="24"/>
          <w:lang w:val="zh-CN" w:eastAsia="zh-CN"/>
        </w:rPr>
        <w:t>款</w:t>
      </w:r>
      <w:r>
        <w:rPr>
          <w:rFonts w:hint="eastAsia" w:ascii="宋体" w:hAnsi="宋体" w:eastAsia="宋体" w:cs="宋体"/>
          <w:b w:val="0"/>
          <w:bCs/>
          <w:color w:val="auto"/>
          <w:spacing w:val="-6"/>
          <w:sz w:val="24"/>
          <w:szCs w:val="24"/>
          <w:lang w:val="en-US" w:eastAsia="zh-CN"/>
        </w:rPr>
        <w:t>规定调整得分；涉及调整价格的，按本章第5.2</w:t>
      </w:r>
      <w:r>
        <w:rPr>
          <w:rFonts w:hint="eastAsia" w:ascii="宋体" w:hAnsi="宋体" w:eastAsia="宋体" w:cs="宋体"/>
          <w:b w:val="0"/>
          <w:bCs/>
          <w:color w:val="auto"/>
          <w:spacing w:val="-6"/>
          <w:sz w:val="24"/>
          <w:szCs w:val="24"/>
          <w:lang w:val="zh-CN" w:eastAsia="zh-CN"/>
        </w:rPr>
        <w:t>款</w:t>
      </w:r>
      <w:r>
        <w:rPr>
          <w:rFonts w:hint="eastAsia" w:ascii="宋体" w:hAnsi="宋体" w:eastAsia="宋体" w:cs="宋体"/>
          <w:b w:val="0"/>
          <w:bCs/>
          <w:color w:val="auto"/>
          <w:spacing w:val="-6"/>
          <w:sz w:val="24"/>
          <w:szCs w:val="24"/>
          <w:lang w:val="en-US" w:eastAsia="zh-CN"/>
        </w:rPr>
        <w:t>规定调整价格。综合调整见招标文件前附表相关规定。</w:t>
      </w:r>
    </w:p>
    <w:p w14:paraId="081C1665">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5.6提供相同品牌的核心产品且通过资格审查、符合性审查的不同投标人参加同一合同项下投标的，按一家投标人计算，评审后得分最高的同品牌的投标人获得中标人推荐资格；评审得分相同的，技术部分得分高的投标人获得中标人推荐资格，其他同品牌的投标人不作为中标候选人。</w:t>
      </w:r>
    </w:p>
    <w:p w14:paraId="4CA97F1F">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5.7评标时，评标委员会各成员应当独立对每个投标人的投标文件进行评价、评分，计算每个投标人技术部分得分时以算术平均值为其得分。然后汇总每个投标人每项评分因素的得分为其最后得分。</w:t>
      </w:r>
    </w:p>
    <w:p w14:paraId="557A7C36">
      <w:pPr>
        <w:pageBreakBefore w:val="0"/>
        <w:kinsoku/>
        <w:wordWrap w:val="0"/>
        <w:overflowPunct w:val="0"/>
        <w:topLinePunct w:val="0"/>
        <w:bidi w:val="0"/>
        <w:adjustRightInd w:val="0"/>
        <w:snapToGrid w:val="0"/>
        <w:spacing w:line="360" w:lineRule="auto"/>
        <w:ind w:firstLine="456" w:firstLineChars="200"/>
        <w:rPr>
          <w:rFonts w:hint="eastAsia" w:ascii="宋体" w:hAnsi="宋体" w:eastAsia="宋体" w:cs="宋体"/>
          <w:b w:val="0"/>
          <w:bCs/>
          <w:color w:val="auto"/>
          <w:spacing w:val="-6"/>
          <w:sz w:val="24"/>
          <w:szCs w:val="24"/>
          <w:lang w:val="en-US" w:eastAsia="zh-CN"/>
        </w:rPr>
      </w:pPr>
      <w:r>
        <w:rPr>
          <w:rFonts w:hint="eastAsia" w:ascii="宋体" w:hAnsi="宋体" w:eastAsia="宋体" w:cs="宋体"/>
          <w:b w:val="0"/>
          <w:bCs/>
          <w:color w:val="auto"/>
          <w:spacing w:val="-6"/>
          <w:sz w:val="24"/>
          <w:szCs w:val="24"/>
          <w:lang w:val="en-US" w:eastAsia="zh-CN"/>
        </w:rPr>
        <w:t>5.8异常低价审查</w:t>
      </w:r>
    </w:p>
    <w:p w14:paraId="4DF03627">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在政府采购评审中出现下列情形之一的，评审委员会应当启动异常低价投标（响应）审查程序：</w:t>
      </w:r>
    </w:p>
    <w:p w14:paraId="1313A8AB">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1EF2D07E">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453B4591">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3.投标（响应）报价低于采购项目最高限价45%的，即投标（响应）报价&lt;采购项目最高限价×45%；</w:t>
      </w:r>
    </w:p>
    <w:p w14:paraId="01977FC4">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4.评审委员会基于专业判断，认为供应商报价过低，有可能影响产品质量或者不能诚信履约的其他情形。</w:t>
      </w:r>
    </w:p>
    <w:p w14:paraId="3EB28830">
      <w:pPr>
        <w:pageBreakBefore w:val="0"/>
        <w:kinsoku/>
        <w:wordWrap w:val="0"/>
        <w:overflowPunct w:val="0"/>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0A510DF">
      <w:pPr>
        <w:pageBreakBefore w:val="0"/>
        <w:tabs>
          <w:tab w:val="left" w:pos="0"/>
        </w:tabs>
        <w:kinsoku/>
        <w:wordWrap w:val="0"/>
        <w:overflowPunct w:val="0"/>
        <w:topLinePunct w:val="0"/>
        <w:bidi w:val="0"/>
        <w:adjustRightInd w:val="0"/>
        <w:snapToGrid w:val="0"/>
        <w:spacing w:line="360" w:lineRule="auto"/>
        <w:ind w:firstLine="480" w:firstLineChars="200"/>
        <w:rPr>
          <w:rFonts w:hint="eastAsia" w:ascii="宋体" w:hAnsi="宋体" w:eastAsia="宋体" w:cs="宋体"/>
          <w:bCs/>
          <w:color w:val="auto"/>
          <w:spacing w:val="-6"/>
          <w:sz w:val="24"/>
          <w:szCs w:val="24"/>
        </w:rPr>
      </w:pPr>
      <w:r>
        <w:rPr>
          <w:rFonts w:hint="eastAsia" w:ascii="宋体" w:hAnsi="宋体" w:eastAsia="宋体" w:cs="宋体"/>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05B74D">
      <w:pPr>
        <w:pageBreakBefore w:val="0"/>
        <w:tabs>
          <w:tab w:val="left" w:pos="0"/>
        </w:tabs>
        <w:kinsoku/>
        <w:wordWrap w:val="0"/>
        <w:overflowPunct w:val="0"/>
        <w:topLinePunct w:val="0"/>
        <w:bidi w:val="0"/>
        <w:adjustRightInd w:val="0"/>
        <w:snapToGrid w:val="0"/>
        <w:spacing w:line="360" w:lineRule="auto"/>
        <w:ind w:firstLine="458" w:firstLineChars="200"/>
        <w:rPr>
          <w:rFonts w:hint="eastAsia" w:ascii="宋体" w:hAnsi="宋体" w:eastAsia="宋体" w:cs="宋体"/>
          <w:b/>
          <w:bCs w:val="0"/>
          <w:color w:val="auto"/>
          <w:spacing w:val="-6"/>
          <w:sz w:val="24"/>
          <w:szCs w:val="24"/>
        </w:rPr>
      </w:pPr>
      <w:r>
        <w:rPr>
          <w:rFonts w:hint="eastAsia" w:ascii="宋体" w:hAnsi="宋体" w:eastAsia="宋体" w:cs="宋体"/>
          <w:b/>
          <w:bCs w:val="0"/>
          <w:color w:val="auto"/>
          <w:spacing w:val="-6"/>
          <w:sz w:val="24"/>
          <w:szCs w:val="24"/>
        </w:rPr>
        <w:t>6.确定中标人</w:t>
      </w:r>
    </w:p>
    <w:p w14:paraId="32214886">
      <w:pPr>
        <w:pageBreakBefore w:val="0"/>
        <w:tabs>
          <w:tab w:val="left" w:pos="0"/>
        </w:tabs>
        <w:kinsoku/>
        <w:wordWrap w:val="0"/>
        <w:overflowPunct w:val="0"/>
        <w:topLinePunct w:val="0"/>
        <w:bidi w:val="0"/>
        <w:adjustRightInd w:val="0"/>
        <w:snapToGrid w:val="0"/>
        <w:spacing w:line="360" w:lineRule="auto"/>
        <w:ind w:firstLine="456" w:firstLineChars="200"/>
        <w:rPr>
          <w:rFonts w:hint="eastAsia" w:ascii="宋体" w:hAnsi="宋体" w:eastAsia="宋体" w:cs="宋体"/>
          <w:bCs/>
          <w:color w:val="auto"/>
          <w:spacing w:val="-6"/>
          <w:sz w:val="24"/>
          <w:szCs w:val="24"/>
        </w:rPr>
      </w:pPr>
      <w:r>
        <w:rPr>
          <w:rFonts w:hint="eastAsia" w:ascii="宋体" w:hAnsi="宋体" w:eastAsia="宋体" w:cs="宋体"/>
          <w:bCs/>
          <w:color w:val="auto"/>
          <w:spacing w:val="-6"/>
          <w:sz w:val="24"/>
          <w:szCs w:val="24"/>
        </w:rPr>
        <w:t>评标委员会按</w:t>
      </w:r>
      <w:r>
        <w:rPr>
          <w:rFonts w:hint="eastAsia" w:ascii="宋体" w:hAnsi="宋体" w:eastAsia="宋体" w:cs="宋体"/>
          <w:bCs/>
          <w:color w:val="auto"/>
          <w:spacing w:val="-6"/>
          <w:sz w:val="24"/>
          <w:szCs w:val="24"/>
          <w:lang w:val="en-US" w:eastAsia="zh-CN"/>
        </w:rPr>
        <w:t>综合</w:t>
      </w:r>
      <w:r>
        <w:rPr>
          <w:rFonts w:hint="eastAsia" w:ascii="宋体" w:hAnsi="宋体" w:eastAsia="宋体" w:cs="宋体"/>
          <w:bCs/>
          <w:color w:val="auto"/>
          <w:spacing w:val="-6"/>
          <w:sz w:val="24"/>
          <w:szCs w:val="24"/>
        </w:rPr>
        <w:t>得分从高到低的</w:t>
      </w:r>
      <w:r>
        <w:rPr>
          <w:rFonts w:hint="eastAsia" w:ascii="宋体" w:hAnsi="宋体" w:eastAsia="宋体" w:cs="宋体"/>
          <w:bCs/>
          <w:color w:val="auto"/>
          <w:spacing w:val="-6"/>
          <w:sz w:val="24"/>
          <w:szCs w:val="24"/>
          <w:lang w:eastAsia="zh-CN"/>
        </w:rPr>
        <w:t>顺序</w:t>
      </w:r>
      <w:r>
        <w:rPr>
          <w:rFonts w:hint="eastAsia" w:ascii="宋体" w:hAnsi="宋体" w:eastAsia="宋体" w:cs="宋体"/>
          <w:bCs/>
          <w:color w:val="auto"/>
          <w:spacing w:val="-6"/>
          <w:sz w:val="24"/>
          <w:szCs w:val="24"/>
        </w:rPr>
        <w:t>对投标人进行排序（当投标人得分相同时，报价低者排名在前；当投标人综合评分且报价相同时，按技术部分得分由高者排名在前。）根据采购人的授权，直接确定排名第一的投标人为中标人。</w:t>
      </w:r>
    </w:p>
    <w:p w14:paraId="7325A117">
      <w:pPr>
        <w:pageBreakBefore w:val="0"/>
        <w:kinsoku/>
        <w:wordWrap w:val="0"/>
        <w:overflowPunct w:val="0"/>
        <w:topLinePunct w:val="0"/>
        <w:bidi w:val="0"/>
        <w:adjustRightInd w:val="0"/>
        <w:snapToGrid w:val="0"/>
        <w:spacing w:line="360" w:lineRule="auto"/>
        <w:ind w:firstLine="2409" w:firstLineChars="750"/>
        <w:outlineLvl w:val="0"/>
        <w:rPr>
          <w:rFonts w:hint="eastAsia" w:ascii="宋体" w:hAnsi="宋体" w:eastAsia="宋体" w:cs="宋体"/>
          <w:color w:val="auto"/>
          <w:sz w:val="24"/>
          <w:szCs w:val="24"/>
        </w:rPr>
      </w:pPr>
      <w:r>
        <w:rPr>
          <w:rFonts w:hint="eastAsia" w:ascii="宋体" w:hAnsi="宋体" w:eastAsia="宋体" w:cs="宋体"/>
          <w:b/>
          <w:bCs/>
          <w:color w:val="auto"/>
          <w:sz w:val="32"/>
          <w:szCs w:val="32"/>
        </w:rPr>
        <w:br w:type="page"/>
      </w:r>
      <w:bookmarkStart w:id="26" w:name="_Toc4586"/>
      <w:bookmarkStart w:id="27" w:name="_Toc5819"/>
      <w:bookmarkStart w:id="28" w:name="_Toc9272"/>
      <w:bookmarkStart w:id="29" w:name="_Toc11799"/>
      <w:bookmarkStart w:id="30" w:name="_Toc20053"/>
      <w:bookmarkStart w:id="31" w:name="_Toc29903"/>
      <w:r>
        <w:rPr>
          <w:rStyle w:val="38"/>
          <w:rFonts w:hint="eastAsia" w:ascii="宋体" w:hAnsi="宋体" w:eastAsia="宋体" w:cs="宋体"/>
          <w:color w:val="auto"/>
        </w:rPr>
        <w:t xml:space="preserve">第四章 </w:t>
      </w:r>
      <w:bookmarkEnd w:id="25"/>
      <w:r>
        <w:rPr>
          <w:rStyle w:val="38"/>
          <w:rFonts w:hint="eastAsia" w:ascii="宋体" w:hAnsi="宋体" w:eastAsia="宋体" w:cs="宋体"/>
          <w:color w:val="auto"/>
        </w:rPr>
        <w:t>政府采购合同格式</w:t>
      </w:r>
      <w:bookmarkEnd w:id="26"/>
      <w:bookmarkEnd w:id="27"/>
      <w:bookmarkEnd w:id="28"/>
      <w:bookmarkEnd w:id="29"/>
      <w:bookmarkEnd w:id="30"/>
      <w:bookmarkEnd w:id="31"/>
    </w:p>
    <w:p w14:paraId="7BAC1765">
      <w:pPr>
        <w:pageBreakBefore w:val="0"/>
        <w:kinsoku/>
        <w:wordWrap w:val="0"/>
        <w:overflowPunct w:val="0"/>
        <w:topLinePunct w:val="0"/>
        <w:bidi w:val="0"/>
        <w:spacing w:line="500" w:lineRule="exact"/>
        <w:jc w:val="right"/>
        <w:rPr>
          <w:rFonts w:hint="eastAsia" w:ascii="宋体" w:hAnsi="宋体" w:eastAsia="宋体" w:cs="宋体"/>
          <w:color w:val="000000"/>
          <w:sz w:val="24"/>
        </w:rPr>
      </w:pPr>
      <w:r>
        <w:rPr>
          <w:rFonts w:hint="eastAsia" w:ascii="宋体" w:hAnsi="宋体" w:eastAsia="宋体" w:cs="宋体"/>
          <w:color w:val="000000"/>
          <w:spacing w:val="-10"/>
          <w:sz w:val="24"/>
          <w:szCs w:val="24"/>
          <w:lang w:val="en-US" w:eastAsia="zh-CN"/>
        </w:rPr>
        <w:t>项目</w:t>
      </w:r>
      <w:r>
        <w:rPr>
          <w:rFonts w:hint="eastAsia" w:ascii="宋体" w:hAnsi="宋体" w:eastAsia="宋体" w:cs="宋体"/>
          <w:color w:val="000000"/>
          <w:sz w:val="24"/>
        </w:rPr>
        <w:t>编号：</w:t>
      </w:r>
      <w:r>
        <w:rPr>
          <w:rFonts w:hint="eastAsia" w:ascii="宋体" w:hAnsi="宋体" w:eastAsia="宋体" w:cs="宋体"/>
          <w:color w:val="000000"/>
          <w:sz w:val="24"/>
          <w:u w:val="single"/>
        </w:rPr>
        <w:t xml:space="preserve">             </w:t>
      </w:r>
    </w:p>
    <w:p w14:paraId="51C77280">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采购人（全称）：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（甲方）</w:t>
      </w:r>
    </w:p>
    <w:p w14:paraId="3B741D23">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供应商（全称）：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（乙方）</w:t>
      </w:r>
    </w:p>
    <w:p w14:paraId="0F64BB51">
      <w:pPr>
        <w:pStyle w:val="12"/>
        <w:pageBreakBefore w:val="0"/>
        <w:kinsoku/>
        <w:wordWrap w:val="0"/>
        <w:overflowPunct w:val="0"/>
        <w:topLinePunct w:val="0"/>
        <w:bidi w:val="0"/>
        <w:adjustRightInd w:val="0"/>
        <w:snapToGrid w:val="0"/>
        <w:spacing w:after="0" w:line="5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为了保护甲、乙双方合法权益，根据《中华人民共和国合同法</w:t>
      </w:r>
      <w:r>
        <w:rPr>
          <w:rFonts w:hint="eastAsia" w:ascii="宋体" w:hAnsi="宋体" w:eastAsia="宋体" w:cs="宋体"/>
          <w:color w:val="000000"/>
          <w:sz w:val="24"/>
          <w:lang w:eastAsia="zh-CN"/>
        </w:rPr>
        <w:t>》《</w:t>
      </w:r>
      <w:r>
        <w:rPr>
          <w:rFonts w:hint="eastAsia" w:ascii="宋体" w:hAnsi="宋体" w:eastAsia="宋体" w:cs="宋体"/>
          <w:color w:val="000000"/>
          <w:sz w:val="24"/>
        </w:rPr>
        <w:t>中华人民共和国政府采购法》及其他有关</w:t>
      </w:r>
      <w:r>
        <w:rPr>
          <w:rFonts w:hint="eastAsia" w:ascii="宋体" w:hAnsi="宋体" w:eastAsia="宋体" w:cs="宋体"/>
          <w:color w:val="000000"/>
          <w:sz w:val="24"/>
          <w:lang w:eastAsia="zh-CN"/>
        </w:rPr>
        <w:t>法律法规</w:t>
      </w:r>
      <w:r>
        <w:rPr>
          <w:rFonts w:hint="eastAsia" w:ascii="宋体" w:hAnsi="宋体" w:eastAsia="宋体" w:cs="宋体"/>
          <w:color w:val="000000"/>
          <w:sz w:val="24"/>
        </w:rPr>
        <w:t>、规章，双方签订本合同协议书。</w:t>
      </w:r>
    </w:p>
    <w:p w14:paraId="1E04C5FD">
      <w:pPr>
        <w:pStyle w:val="12"/>
        <w:pageBreakBefore w:val="0"/>
        <w:kinsoku/>
        <w:wordWrap w:val="0"/>
        <w:overflowPunct w:val="0"/>
        <w:topLinePunct w:val="0"/>
        <w:bidi w:val="0"/>
        <w:adjustRightInd w:val="0"/>
        <w:snapToGrid w:val="0"/>
        <w:spacing w:after="0" w:line="500" w:lineRule="exact"/>
        <w:ind w:left="0" w:leftChars="0" w:firstLine="482" w:firstLineChars="200"/>
        <w:rPr>
          <w:rFonts w:hint="eastAsia" w:ascii="宋体" w:hAnsi="宋体" w:eastAsia="宋体" w:cs="宋体"/>
          <w:color w:val="000000"/>
          <w:sz w:val="24"/>
        </w:rPr>
      </w:pPr>
      <w:r>
        <w:rPr>
          <w:rFonts w:hint="eastAsia" w:ascii="宋体" w:hAnsi="宋体" w:eastAsia="宋体" w:cs="宋体"/>
          <w:b/>
          <w:color w:val="000000"/>
          <w:sz w:val="24"/>
        </w:rPr>
        <w:t>1.项目管理信息</w:t>
      </w:r>
    </w:p>
    <w:p w14:paraId="7D13F003">
      <w:pPr>
        <w:pStyle w:val="12"/>
        <w:pageBreakBefore w:val="0"/>
        <w:kinsoku/>
        <w:wordWrap w:val="0"/>
        <w:overflowPunct w:val="0"/>
        <w:topLinePunct w:val="0"/>
        <w:bidi w:val="0"/>
        <w:adjustRightInd w:val="0"/>
        <w:snapToGrid w:val="0"/>
        <w:spacing w:after="0" w:line="5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（1）采购组织形式：</w:t>
      </w:r>
      <w:r>
        <w:rPr>
          <w:rFonts w:hint="eastAsia" w:ascii="宋体" w:hAnsi="宋体" w:eastAsia="宋体" w:cs="宋体"/>
          <w:color w:val="000000"/>
          <w:sz w:val="24"/>
          <w:u w:val="single"/>
        </w:rPr>
        <w:t xml:space="preserve">                      </w:t>
      </w:r>
    </w:p>
    <w:p w14:paraId="6F15BFEC">
      <w:pPr>
        <w:pStyle w:val="12"/>
        <w:pageBreakBefore w:val="0"/>
        <w:kinsoku/>
        <w:wordWrap w:val="0"/>
        <w:overflowPunct w:val="0"/>
        <w:topLinePunct w:val="0"/>
        <w:bidi w:val="0"/>
        <w:adjustRightInd w:val="0"/>
        <w:snapToGrid w:val="0"/>
        <w:spacing w:after="0" w:line="500" w:lineRule="exact"/>
        <w:ind w:left="0" w:leftChars="0"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（2）采购方式：</w:t>
      </w:r>
      <w:r>
        <w:rPr>
          <w:rFonts w:hint="eastAsia" w:ascii="宋体" w:hAnsi="宋体" w:eastAsia="宋体" w:cs="宋体"/>
          <w:color w:val="000000"/>
          <w:sz w:val="24"/>
          <w:u w:val="single"/>
        </w:rPr>
        <w:t xml:space="preserve">                          </w:t>
      </w:r>
    </w:p>
    <w:p w14:paraId="692FD323">
      <w:pPr>
        <w:pStyle w:val="12"/>
        <w:pageBreakBefore w:val="0"/>
        <w:kinsoku/>
        <w:wordWrap w:val="0"/>
        <w:overflowPunct w:val="0"/>
        <w:topLinePunct w:val="0"/>
        <w:bidi w:val="0"/>
        <w:adjustRightInd w:val="0"/>
        <w:snapToGrid w:val="0"/>
        <w:spacing w:after="0" w:line="500" w:lineRule="exact"/>
        <w:ind w:left="0" w:leftChars="0" w:firstLine="480" w:firstLineChars="200"/>
        <w:rPr>
          <w:rFonts w:hint="eastAsia" w:ascii="宋体" w:hAnsi="宋体" w:eastAsia="宋体" w:cs="宋体"/>
          <w:color w:val="000000"/>
          <w:sz w:val="24"/>
        </w:rPr>
      </w:pPr>
      <w:r>
        <w:rPr>
          <w:rFonts w:hint="eastAsia" w:ascii="宋体" w:hAnsi="宋体" w:eastAsia="宋体" w:cs="宋体"/>
          <w:color w:val="000000"/>
          <w:sz w:val="24"/>
        </w:rPr>
        <w:t>（3）标的名称：</w:t>
      </w:r>
      <w:r>
        <w:rPr>
          <w:rFonts w:hint="eastAsia" w:ascii="宋体" w:hAnsi="宋体" w:eastAsia="宋体" w:cs="宋体"/>
          <w:color w:val="000000"/>
          <w:sz w:val="24"/>
          <w:u w:val="single"/>
        </w:rPr>
        <w:t xml:space="preserve">                              </w:t>
      </w:r>
    </w:p>
    <w:p w14:paraId="6D4B9504">
      <w:pPr>
        <w:pageBreakBefore w:val="0"/>
        <w:kinsoku/>
        <w:wordWrap w:val="0"/>
        <w:overflowPunct w:val="0"/>
        <w:topLinePunct w:val="0"/>
        <w:bidi w:val="0"/>
        <w:adjustRightInd w:val="0"/>
        <w:snapToGrid w:val="0"/>
        <w:spacing w:line="500" w:lineRule="exact"/>
        <w:ind w:firstLine="482" w:firstLineChars="200"/>
        <w:rPr>
          <w:rFonts w:hint="eastAsia" w:ascii="宋体" w:hAnsi="宋体" w:eastAsia="宋体" w:cs="宋体"/>
          <w:b/>
          <w:color w:val="000000"/>
          <w:sz w:val="24"/>
        </w:rPr>
      </w:pPr>
      <w:r>
        <w:rPr>
          <w:rFonts w:hint="eastAsia" w:ascii="宋体" w:hAnsi="宋体" w:eastAsia="宋体" w:cs="宋体"/>
          <w:b/>
          <w:color w:val="000000"/>
          <w:sz w:val="24"/>
        </w:rPr>
        <w:t>2.合同标的及金额</w:t>
      </w:r>
    </w:p>
    <w:tbl>
      <w:tblPr>
        <w:tblStyle w:val="26"/>
        <w:tblW w:w="98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688"/>
        <w:gridCol w:w="3008"/>
        <w:gridCol w:w="1260"/>
        <w:gridCol w:w="1260"/>
      </w:tblGrid>
      <w:tr w14:paraId="4E0D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662" w:type="dxa"/>
            <w:noWrap w:val="0"/>
            <w:vAlign w:val="center"/>
          </w:tcPr>
          <w:p w14:paraId="0A60A02A">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r>
              <w:rPr>
                <w:rFonts w:hint="eastAsia" w:ascii="宋体" w:hAnsi="宋体" w:eastAsia="宋体" w:cs="宋体"/>
                <w:color w:val="000000"/>
                <w:sz w:val="24"/>
              </w:rPr>
              <w:t>序号</w:t>
            </w:r>
          </w:p>
        </w:tc>
        <w:tc>
          <w:tcPr>
            <w:tcW w:w="2688" w:type="dxa"/>
            <w:noWrap w:val="0"/>
            <w:vAlign w:val="center"/>
          </w:tcPr>
          <w:p w14:paraId="52361FB4">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r>
              <w:rPr>
                <w:rFonts w:hint="eastAsia" w:ascii="宋体" w:hAnsi="宋体" w:eastAsia="宋体" w:cs="宋体"/>
                <w:color w:val="000000"/>
                <w:sz w:val="24"/>
              </w:rPr>
              <w:t>标的名称</w:t>
            </w:r>
          </w:p>
        </w:tc>
        <w:tc>
          <w:tcPr>
            <w:tcW w:w="3008" w:type="dxa"/>
            <w:noWrap w:val="0"/>
            <w:vAlign w:val="center"/>
          </w:tcPr>
          <w:p w14:paraId="51D010D5">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r>
              <w:rPr>
                <w:rFonts w:hint="eastAsia" w:ascii="宋体" w:hAnsi="宋体" w:eastAsia="宋体" w:cs="宋体"/>
                <w:color w:val="000000"/>
                <w:sz w:val="24"/>
              </w:rPr>
              <w:t>服务内容</w:t>
            </w:r>
          </w:p>
        </w:tc>
        <w:tc>
          <w:tcPr>
            <w:tcW w:w="1260" w:type="dxa"/>
            <w:noWrap w:val="0"/>
            <w:vAlign w:val="center"/>
          </w:tcPr>
          <w:p w14:paraId="4E03ADED">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r>
              <w:rPr>
                <w:rFonts w:hint="eastAsia" w:ascii="宋体" w:hAnsi="宋体" w:eastAsia="宋体" w:cs="宋体"/>
                <w:color w:val="000000"/>
                <w:sz w:val="24"/>
              </w:rPr>
              <w:t>总价</w:t>
            </w:r>
          </w:p>
        </w:tc>
        <w:tc>
          <w:tcPr>
            <w:tcW w:w="1260" w:type="dxa"/>
            <w:noWrap w:val="0"/>
            <w:vAlign w:val="center"/>
          </w:tcPr>
          <w:p w14:paraId="4877111F">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r>
              <w:rPr>
                <w:rFonts w:hint="eastAsia" w:ascii="宋体" w:hAnsi="宋体" w:eastAsia="宋体" w:cs="宋体"/>
                <w:color w:val="000000"/>
                <w:sz w:val="24"/>
              </w:rPr>
              <w:t>备注</w:t>
            </w:r>
          </w:p>
        </w:tc>
      </w:tr>
      <w:tr w14:paraId="3685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662" w:type="dxa"/>
            <w:noWrap w:val="0"/>
            <w:vAlign w:val="center"/>
          </w:tcPr>
          <w:p w14:paraId="1B4005AC">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2688" w:type="dxa"/>
            <w:noWrap w:val="0"/>
            <w:vAlign w:val="center"/>
          </w:tcPr>
          <w:p w14:paraId="0CA13F02">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3008" w:type="dxa"/>
            <w:noWrap w:val="0"/>
            <w:vAlign w:val="center"/>
          </w:tcPr>
          <w:p w14:paraId="1DE63991">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1260" w:type="dxa"/>
            <w:noWrap w:val="0"/>
            <w:vAlign w:val="center"/>
          </w:tcPr>
          <w:p w14:paraId="10D799E4">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1260" w:type="dxa"/>
            <w:noWrap w:val="0"/>
            <w:vAlign w:val="center"/>
          </w:tcPr>
          <w:p w14:paraId="227F7AC5">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r>
      <w:tr w14:paraId="1FE4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662" w:type="dxa"/>
            <w:noWrap w:val="0"/>
            <w:vAlign w:val="center"/>
          </w:tcPr>
          <w:p w14:paraId="3A35CE1B">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2688" w:type="dxa"/>
            <w:noWrap w:val="0"/>
            <w:vAlign w:val="center"/>
          </w:tcPr>
          <w:p w14:paraId="52840281">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3008" w:type="dxa"/>
            <w:noWrap w:val="0"/>
            <w:vAlign w:val="center"/>
          </w:tcPr>
          <w:p w14:paraId="30F5E99C">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1260" w:type="dxa"/>
            <w:noWrap w:val="0"/>
            <w:vAlign w:val="center"/>
          </w:tcPr>
          <w:p w14:paraId="256E3180">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c>
          <w:tcPr>
            <w:tcW w:w="1260" w:type="dxa"/>
            <w:noWrap w:val="0"/>
            <w:vAlign w:val="center"/>
          </w:tcPr>
          <w:p w14:paraId="3F529EE6">
            <w:pPr>
              <w:pageBreakBefore w:val="0"/>
              <w:kinsoku/>
              <w:wordWrap w:val="0"/>
              <w:overflowPunct w:val="0"/>
              <w:topLinePunct w:val="0"/>
              <w:bidi w:val="0"/>
              <w:adjustRightInd w:val="0"/>
              <w:snapToGrid w:val="0"/>
              <w:spacing w:line="500" w:lineRule="exact"/>
              <w:jc w:val="center"/>
              <w:rPr>
                <w:rFonts w:hint="eastAsia" w:ascii="宋体" w:hAnsi="宋体" w:eastAsia="宋体" w:cs="宋体"/>
                <w:color w:val="000000"/>
                <w:sz w:val="24"/>
              </w:rPr>
            </w:pPr>
          </w:p>
        </w:tc>
      </w:tr>
      <w:tr w14:paraId="20CA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9878" w:type="dxa"/>
            <w:gridSpan w:val="5"/>
            <w:noWrap w:val="0"/>
            <w:vAlign w:val="center"/>
          </w:tcPr>
          <w:p w14:paraId="179F8523">
            <w:pPr>
              <w:pageBreakBefore w:val="0"/>
              <w:kinsoku/>
              <w:wordWrap w:val="0"/>
              <w:overflowPunct w:val="0"/>
              <w:topLinePunct w:val="0"/>
              <w:bidi w:val="0"/>
              <w:adjustRightInd w:val="0"/>
              <w:snapToGrid w:val="0"/>
              <w:spacing w:line="500" w:lineRule="exact"/>
              <w:rPr>
                <w:rFonts w:hint="eastAsia" w:ascii="宋体" w:hAnsi="宋体" w:eastAsia="宋体" w:cs="宋体"/>
                <w:color w:val="000000"/>
                <w:sz w:val="24"/>
              </w:rPr>
            </w:pPr>
            <w:r>
              <w:rPr>
                <w:rFonts w:hint="eastAsia" w:ascii="宋体" w:hAnsi="宋体" w:eastAsia="宋体" w:cs="宋体"/>
                <w:color w:val="000000"/>
                <w:sz w:val="24"/>
              </w:rPr>
              <w:t>合同金额小写：</w:t>
            </w:r>
            <w:r>
              <w:rPr>
                <w:rFonts w:hint="eastAsia" w:ascii="宋体" w:hAnsi="宋体" w:eastAsia="宋体" w:cs="宋体"/>
                <w:color w:val="000000"/>
                <w:sz w:val="24"/>
                <w:u w:val="single"/>
              </w:rPr>
              <w:t xml:space="preserve">                      </w:t>
            </w:r>
          </w:p>
          <w:p w14:paraId="5BABF96C">
            <w:pPr>
              <w:pageBreakBefore w:val="0"/>
              <w:kinsoku/>
              <w:wordWrap w:val="0"/>
              <w:overflowPunct w:val="0"/>
              <w:topLinePunct w:val="0"/>
              <w:bidi w:val="0"/>
              <w:adjustRightInd w:val="0"/>
              <w:snapToGrid w:val="0"/>
              <w:spacing w:line="500" w:lineRule="exact"/>
              <w:ind w:firstLine="960" w:firstLineChars="400"/>
              <w:rPr>
                <w:rFonts w:hint="eastAsia" w:ascii="宋体" w:hAnsi="宋体" w:eastAsia="宋体" w:cs="宋体"/>
                <w:color w:val="000000"/>
                <w:sz w:val="24"/>
              </w:rPr>
            </w:pPr>
            <w:r>
              <w:rPr>
                <w:rFonts w:hint="eastAsia" w:ascii="宋体" w:hAnsi="宋体" w:eastAsia="宋体" w:cs="宋体"/>
                <w:color w:val="000000"/>
                <w:sz w:val="24"/>
              </w:rPr>
              <w:t>大写：</w:t>
            </w:r>
            <w:r>
              <w:rPr>
                <w:rFonts w:hint="eastAsia" w:ascii="宋体" w:hAnsi="宋体" w:eastAsia="宋体" w:cs="宋体"/>
                <w:color w:val="000000"/>
                <w:sz w:val="24"/>
                <w:u w:val="single"/>
              </w:rPr>
              <w:t xml:space="preserve">                      </w:t>
            </w:r>
          </w:p>
        </w:tc>
      </w:tr>
    </w:tbl>
    <w:p w14:paraId="4EAA465B">
      <w:pPr>
        <w:pageBreakBefore w:val="0"/>
        <w:kinsoku/>
        <w:wordWrap w:val="0"/>
        <w:overflowPunct w:val="0"/>
        <w:topLinePunct w:val="0"/>
        <w:bidi w:val="0"/>
        <w:adjustRightInd w:val="0"/>
        <w:snapToGrid w:val="0"/>
        <w:spacing w:line="500" w:lineRule="exact"/>
        <w:ind w:firstLine="482" w:firstLineChars="200"/>
        <w:rPr>
          <w:rFonts w:hint="eastAsia" w:ascii="宋体" w:hAnsi="宋体" w:eastAsia="宋体" w:cs="宋体"/>
          <w:color w:val="000000"/>
          <w:sz w:val="24"/>
          <w:u w:val="single"/>
        </w:rPr>
      </w:pPr>
      <w:r>
        <w:rPr>
          <w:rFonts w:hint="eastAsia" w:ascii="宋体" w:hAnsi="宋体" w:eastAsia="宋体" w:cs="宋体"/>
          <w:b/>
          <w:color w:val="000000"/>
          <w:sz w:val="24"/>
        </w:rPr>
        <w:t>3.履行合同的时间、地点及方式：</w:t>
      </w:r>
      <w:r>
        <w:rPr>
          <w:rFonts w:hint="eastAsia" w:ascii="宋体" w:hAnsi="宋体" w:eastAsia="宋体" w:cs="宋体"/>
          <w:color w:val="000000"/>
          <w:sz w:val="24"/>
          <w:u w:val="single"/>
        </w:rPr>
        <w:t xml:space="preserve">                             </w:t>
      </w:r>
    </w:p>
    <w:p w14:paraId="59165876">
      <w:pPr>
        <w:pStyle w:val="60"/>
        <w:keepNext w:val="0"/>
        <w:keepLines w:val="0"/>
        <w:pageBreakBefore w:val="0"/>
        <w:widowControl w:val="0"/>
        <w:kinsoku/>
        <w:wordWrap w:val="0"/>
        <w:overflowPunct w:val="0"/>
        <w:topLinePunct w:val="0"/>
        <w:autoSpaceDE/>
        <w:autoSpaceDN/>
        <w:bidi w:val="0"/>
        <w:adjustRightInd/>
        <w:snapToGrid w:val="0"/>
        <w:spacing w:line="600" w:lineRule="exact"/>
        <w:ind w:firstLine="482" w:firstLineChars="200"/>
        <w:textAlignment w:val="auto"/>
        <w:rPr>
          <w:rFonts w:hint="eastAsia" w:ascii="宋体" w:hAnsi="宋体" w:eastAsia="宋体" w:cs="宋体"/>
          <w:b/>
          <w:color w:val="000000"/>
          <w:sz w:val="24"/>
          <w:lang w:val="en-US" w:eastAsia="zh-CN"/>
        </w:rPr>
      </w:pPr>
      <w:r>
        <w:rPr>
          <w:rFonts w:hint="eastAsia" w:ascii="宋体" w:hAnsi="宋体" w:eastAsia="宋体" w:cs="宋体"/>
          <w:b/>
          <w:color w:val="000000"/>
          <w:sz w:val="24"/>
        </w:rPr>
        <w:t>4.付款</w:t>
      </w:r>
      <w:r>
        <w:rPr>
          <w:rFonts w:hint="eastAsia" w:ascii="宋体" w:hAnsi="宋体" w:eastAsia="宋体" w:cs="宋体"/>
          <w:b/>
          <w:color w:val="000000"/>
          <w:sz w:val="24"/>
          <w:u w:val="none"/>
        </w:rPr>
        <w:t>：</w:t>
      </w:r>
      <w:r>
        <w:rPr>
          <w:rFonts w:hint="eastAsia" w:ascii="宋体" w:hAnsi="宋体" w:eastAsia="宋体" w:cs="宋体"/>
          <w:b/>
          <w:color w:val="000000"/>
          <w:sz w:val="24"/>
          <w:u w:val="single"/>
          <w:lang w:val="en-US" w:eastAsia="zh-CN"/>
        </w:rPr>
        <w:t xml:space="preserve">                           </w:t>
      </w:r>
    </w:p>
    <w:p w14:paraId="1C00DDE8">
      <w:pPr>
        <w:pageBreakBefore w:val="0"/>
        <w:kinsoku/>
        <w:wordWrap w:val="0"/>
        <w:overflowPunct w:val="0"/>
        <w:topLinePunct w:val="0"/>
        <w:bidi w:val="0"/>
        <w:adjustRightInd w:val="0"/>
        <w:snapToGrid w:val="0"/>
        <w:spacing w:line="500" w:lineRule="exact"/>
        <w:ind w:firstLine="482" w:firstLineChars="200"/>
        <w:rPr>
          <w:rFonts w:hint="eastAsia" w:ascii="宋体" w:hAnsi="宋体" w:eastAsia="宋体" w:cs="宋体"/>
          <w:b/>
          <w:color w:val="000000"/>
          <w:sz w:val="24"/>
        </w:rPr>
      </w:pPr>
      <w:r>
        <w:rPr>
          <w:rFonts w:hint="eastAsia" w:ascii="宋体" w:hAnsi="宋体" w:eastAsia="宋体" w:cs="宋体"/>
          <w:b/>
          <w:color w:val="000000"/>
          <w:sz w:val="24"/>
        </w:rPr>
        <w:t>5.解决合同纠纷方式</w:t>
      </w:r>
    </w:p>
    <w:p w14:paraId="4811D720">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首先通过双方协商解决，协商解决不成，则通过以下途径之一解决纠纷：</w:t>
      </w:r>
    </w:p>
    <w:p w14:paraId="096F7269">
      <w:pPr>
        <w:pageBreakBefore w:val="0"/>
        <w:kinsoku/>
        <w:wordWrap w:val="0"/>
        <w:overflowPunct w:val="0"/>
        <w:topLinePunct w:val="0"/>
        <w:bidi w:val="0"/>
        <w:adjustRightInd w:val="0"/>
        <w:snapToGrid w:val="0"/>
        <w:spacing w:line="500" w:lineRule="exact"/>
        <w:ind w:firstLine="960" w:firstLineChars="400"/>
        <w:rPr>
          <w:rFonts w:hint="eastAsia" w:ascii="宋体" w:hAnsi="宋体" w:eastAsia="宋体" w:cs="宋体"/>
          <w:color w:val="000000"/>
          <w:sz w:val="24"/>
        </w:rPr>
      </w:pPr>
      <w:r>
        <w:rPr>
          <w:rFonts w:hint="eastAsia" w:ascii="宋体" w:hAnsi="宋体" w:eastAsia="宋体" w:cs="宋体"/>
          <w:color w:val="000000"/>
          <w:sz w:val="24"/>
        </w:rPr>
        <w:t>□ 提请仲裁       □ 向人民法院提起诉讼</w:t>
      </w:r>
    </w:p>
    <w:p w14:paraId="773962CB">
      <w:pPr>
        <w:pageBreakBefore w:val="0"/>
        <w:kinsoku/>
        <w:wordWrap w:val="0"/>
        <w:overflowPunct w:val="0"/>
        <w:topLinePunct w:val="0"/>
        <w:bidi w:val="0"/>
        <w:adjustRightInd w:val="0"/>
        <w:snapToGrid w:val="0"/>
        <w:spacing w:line="500" w:lineRule="exact"/>
        <w:ind w:firstLine="482" w:firstLineChars="200"/>
        <w:rPr>
          <w:rFonts w:hint="eastAsia" w:ascii="宋体" w:hAnsi="宋体" w:eastAsia="宋体" w:cs="宋体"/>
          <w:b/>
          <w:color w:val="000000"/>
          <w:sz w:val="24"/>
        </w:rPr>
      </w:pPr>
      <w:r>
        <w:rPr>
          <w:rFonts w:hint="eastAsia" w:ascii="宋体" w:hAnsi="宋体" w:eastAsia="宋体" w:cs="宋体"/>
          <w:b/>
          <w:color w:val="000000"/>
          <w:sz w:val="24"/>
        </w:rPr>
        <w:t>6.组成合同的文件</w:t>
      </w:r>
    </w:p>
    <w:p w14:paraId="5FEE29B2">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合同由以下文件构成，如下述文件之间有任何抵触、矛盾或歧义，应按以下顺序解释：</w:t>
      </w:r>
    </w:p>
    <w:p w14:paraId="3CD5F1E1">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（1）在采购或合同履行过程中乙方作出的承诺以及双方协商达成的变更或补充协议</w:t>
      </w:r>
    </w:p>
    <w:p w14:paraId="3BE29053">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（2）本合同书</w:t>
      </w:r>
    </w:p>
    <w:p w14:paraId="2D40D6E8">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（3）成交通知书</w:t>
      </w:r>
    </w:p>
    <w:p w14:paraId="1EC42607">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（4）政府采购合同格式条款</w:t>
      </w:r>
    </w:p>
    <w:p w14:paraId="0E1AC730">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（5）响应文件</w:t>
      </w:r>
    </w:p>
    <w:p w14:paraId="03C316F0">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（6）谈判文件</w:t>
      </w:r>
    </w:p>
    <w:p w14:paraId="091243C3">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（7）标准、规范及有关技术文件</w:t>
      </w:r>
    </w:p>
    <w:p w14:paraId="530D8C03">
      <w:pPr>
        <w:pageBreakBefore w:val="0"/>
        <w:kinsoku/>
        <w:wordWrap w:val="0"/>
        <w:overflowPunct w:val="0"/>
        <w:topLinePunct w:val="0"/>
        <w:bidi w:val="0"/>
        <w:adjustRightInd w:val="0"/>
        <w:snapToGrid w:val="0"/>
        <w:spacing w:line="500" w:lineRule="exact"/>
        <w:ind w:firstLine="200"/>
        <w:rPr>
          <w:rFonts w:hint="eastAsia" w:ascii="宋体" w:hAnsi="宋体" w:eastAsia="宋体" w:cs="宋体"/>
          <w:color w:val="000000"/>
          <w:sz w:val="24"/>
        </w:rPr>
      </w:pPr>
    </w:p>
    <w:p w14:paraId="0C26DF31">
      <w:pPr>
        <w:pageBreakBefore w:val="0"/>
        <w:kinsoku/>
        <w:wordWrap w:val="0"/>
        <w:overflowPunct w:val="0"/>
        <w:topLinePunct w:val="0"/>
        <w:bidi w:val="0"/>
        <w:adjustRightInd w:val="0"/>
        <w:snapToGrid w:val="0"/>
        <w:spacing w:line="500" w:lineRule="exact"/>
        <w:rPr>
          <w:rFonts w:hint="eastAsia" w:ascii="宋体" w:hAnsi="宋体" w:eastAsia="宋体" w:cs="宋体"/>
          <w:color w:val="000000"/>
          <w:sz w:val="24"/>
        </w:rPr>
      </w:pPr>
      <w:r>
        <w:rPr>
          <w:rFonts w:hint="eastAsia" w:ascii="宋体" w:hAnsi="宋体" w:eastAsia="宋体" w:cs="宋体"/>
          <w:color w:val="000000"/>
          <w:sz w:val="24"/>
        </w:rPr>
        <w:t>合同订立时间：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6FDC58DB">
      <w:pPr>
        <w:pageBreakBefore w:val="0"/>
        <w:kinsoku/>
        <w:wordWrap w:val="0"/>
        <w:overflowPunct w:val="0"/>
        <w:topLinePunct w:val="0"/>
        <w:bidi w:val="0"/>
        <w:adjustRightInd w:val="0"/>
        <w:snapToGrid w:val="0"/>
        <w:spacing w:line="500" w:lineRule="exact"/>
        <w:rPr>
          <w:rFonts w:hint="eastAsia" w:ascii="宋体" w:hAnsi="宋体" w:eastAsia="宋体" w:cs="宋体"/>
          <w:color w:val="000000"/>
          <w:sz w:val="24"/>
        </w:rPr>
      </w:pPr>
      <w:r>
        <w:rPr>
          <w:rFonts w:hint="eastAsia" w:ascii="宋体" w:hAnsi="宋体" w:eastAsia="宋体" w:cs="宋体"/>
          <w:color w:val="000000"/>
          <w:sz w:val="24"/>
        </w:rPr>
        <w:t>合同订立地点：</w:t>
      </w:r>
      <w:r>
        <w:rPr>
          <w:rFonts w:hint="eastAsia" w:ascii="宋体" w:hAnsi="宋体" w:eastAsia="宋体" w:cs="宋体"/>
          <w:color w:val="000000"/>
          <w:sz w:val="24"/>
          <w:u w:val="single"/>
        </w:rPr>
        <w:t xml:space="preserve">                           </w:t>
      </w:r>
    </w:p>
    <w:p w14:paraId="361FBD97">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 xml:space="preserve">    </w:t>
      </w:r>
    </w:p>
    <w:p w14:paraId="511C8872">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甲      方：（公章）                乙      方：（公章）</w:t>
      </w:r>
    </w:p>
    <w:p w14:paraId="1643241C">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法定代表人：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法定代表人：</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FFFFFF"/>
          <w:sz w:val="24"/>
          <w:u w:val="single"/>
          <w:lang w:eastAsia="zh-CN"/>
        </w:rPr>
        <w:t>。</w:t>
      </w:r>
    </w:p>
    <w:p w14:paraId="6E6A1C0E">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委托代理人：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委托代理人：</w:t>
      </w:r>
      <w:r>
        <w:rPr>
          <w:rFonts w:hint="eastAsia" w:ascii="宋体" w:hAnsi="宋体" w:eastAsia="宋体" w:cs="宋体"/>
          <w:color w:val="000000"/>
          <w:sz w:val="24"/>
          <w:u w:val="single"/>
        </w:rPr>
        <w:t xml:space="preserve">           </w:t>
      </w:r>
      <w:r>
        <w:rPr>
          <w:rFonts w:hint="eastAsia" w:ascii="宋体" w:hAnsi="宋体" w:eastAsia="宋体" w:cs="宋体"/>
          <w:color w:val="FFFFFF"/>
          <w:sz w:val="24"/>
          <w:u w:val="single"/>
          <w:lang w:eastAsia="zh-CN"/>
        </w:rPr>
        <w:t>。</w:t>
      </w:r>
    </w:p>
    <w:p w14:paraId="4F87EFEA">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电      话：</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电      话：</w:t>
      </w:r>
      <w:r>
        <w:rPr>
          <w:rFonts w:hint="eastAsia" w:ascii="宋体" w:hAnsi="宋体" w:eastAsia="宋体" w:cs="宋体"/>
          <w:color w:val="000000"/>
          <w:sz w:val="24"/>
          <w:u w:val="single"/>
        </w:rPr>
        <w:t xml:space="preserve">           </w:t>
      </w:r>
      <w:r>
        <w:rPr>
          <w:rFonts w:hint="eastAsia" w:ascii="宋体" w:hAnsi="宋体" w:eastAsia="宋体" w:cs="宋体"/>
          <w:color w:val="FFFFFF"/>
          <w:sz w:val="24"/>
          <w:u w:val="single"/>
          <w:lang w:eastAsia="zh-CN"/>
        </w:rPr>
        <w:t>。</w:t>
      </w:r>
    </w:p>
    <w:p w14:paraId="39B44CD4">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传      真：</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传      真：</w:t>
      </w:r>
      <w:r>
        <w:rPr>
          <w:rFonts w:hint="eastAsia" w:ascii="宋体" w:hAnsi="宋体" w:eastAsia="宋体" w:cs="宋体"/>
          <w:color w:val="000000"/>
          <w:sz w:val="24"/>
          <w:u w:val="single"/>
        </w:rPr>
        <w:t xml:space="preserve">            </w:t>
      </w:r>
      <w:r>
        <w:rPr>
          <w:rFonts w:hint="eastAsia" w:ascii="宋体" w:hAnsi="宋体" w:eastAsia="宋体" w:cs="宋体"/>
          <w:color w:val="FFFFFF"/>
          <w:sz w:val="24"/>
          <w:u w:val="single"/>
          <w:lang w:eastAsia="zh-CN"/>
        </w:rPr>
        <w:t>。</w:t>
      </w:r>
    </w:p>
    <w:p w14:paraId="374F0530">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 xml:space="preserve">                                   开 户 银 行：</w:t>
      </w:r>
      <w:r>
        <w:rPr>
          <w:rFonts w:hint="eastAsia" w:ascii="宋体" w:hAnsi="宋体" w:eastAsia="宋体" w:cs="宋体"/>
          <w:color w:val="000000"/>
          <w:sz w:val="24"/>
          <w:u w:val="single"/>
        </w:rPr>
        <w:t xml:space="preserve">           </w:t>
      </w:r>
      <w:r>
        <w:rPr>
          <w:rFonts w:hint="eastAsia" w:ascii="宋体" w:hAnsi="宋体" w:eastAsia="宋体" w:cs="宋体"/>
          <w:color w:val="FFFFFF"/>
          <w:sz w:val="24"/>
          <w:u w:val="single"/>
          <w:lang w:eastAsia="zh-CN"/>
        </w:rPr>
        <w:t>。</w:t>
      </w:r>
    </w:p>
    <w:p w14:paraId="47E3B01D">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 xml:space="preserve">                                   帐       号：</w:t>
      </w:r>
      <w:r>
        <w:rPr>
          <w:rFonts w:hint="eastAsia" w:ascii="宋体" w:hAnsi="宋体" w:eastAsia="宋体" w:cs="宋体"/>
          <w:color w:val="000000"/>
          <w:sz w:val="24"/>
          <w:u w:val="single"/>
        </w:rPr>
        <w:t xml:space="preserve">           </w:t>
      </w:r>
      <w:r>
        <w:rPr>
          <w:rFonts w:hint="eastAsia" w:ascii="宋体" w:hAnsi="宋体" w:eastAsia="宋体" w:cs="宋体"/>
          <w:color w:val="FFFFFF"/>
          <w:sz w:val="24"/>
          <w:u w:val="single"/>
          <w:lang w:eastAsia="zh-CN"/>
        </w:rPr>
        <w:t>。</w:t>
      </w:r>
    </w:p>
    <w:p w14:paraId="6BB44462">
      <w:pPr>
        <w:pageBreakBefore w:val="0"/>
        <w:kinsoku/>
        <w:wordWrap w:val="0"/>
        <w:overflowPunct w:val="0"/>
        <w:topLinePunct w:val="0"/>
        <w:bidi w:val="0"/>
        <w:adjustRightInd w:val="0"/>
        <w:snapToGrid w:val="0"/>
        <w:spacing w:line="500" w:lineRule="exact"/>
        <w:rPr>
          <w:rFonts w:hint="eastAsia" w:ascii="宋体" w:hAnsi="宋体" w:eastAsia="宋体" w:cs="宋体"/>
          <w:color w:val="auto"/>
          <w:sz w:val="24"/>
          <w:u w:val="single"/>
        </w:rPr>
      </w:pPr>
    </w:p>
    <w:p w14:paraId="50AB8828">
      <w:pPr>
        <w:pageBreakBefore w:val="0"/>
        <w:kinsoku/>
        <w:wordWrap w:val="0"/>
        <w:overflowPunct w:val="0"/>
        <w:topLinePunct w:val="0"/>
        <w:bidi w:val="0"/>
        <w:snapToGrid w:val="0"/>
        <w:spacing w:line="500" w:lineRule="exact"/>
        <w:rPr>
          <w:rFonts w:hint="eastAsia" w:ascii="宋体" w:hAnsi="宋体" w:eastAsia="宋体" w:cs="宋体"/>
          <w:b/>
          <w:color w:val="auto"/>
          <w:sz w:val="24"/>
        </w:rPr>
      </w:pPr>
      <w:r>
        <w:rPr>
          <w:rFonts w:hint="eastAsia" w:ascii="宋体" w:hAnsi="宋体" w:eastAsia="宋体" w:cs="宋体"/>
          <w:b/>
          <w:bCs/>
          <w:color w:val="auto"/>
          <w:kern w:val="44"/>
          <w:sz w:val="24"/>
        </w:rPr>
        <w:t>注：经双方协商，可采用其他合同格式。</w:t>
      </w:r>
    </w:p>
    <w:p w14:paraId="1F92595B">
      <w:pPr>
        <w:pageBreakBefore w:val="0"/>
        <w:kinsoku/>
        <w:wordWrap w:val="0"/>
        <w:overflowPunct w:val="0"/>
        <w:topLinePunct w:val="0"/>
        <w:bidi w:val="0"/>
        <w:adjustRightInd w:val="0"/>
        <w:snapToGrid w:val="0"/>
        <w:spacing w:line="500" w:lineRule="exact"/>
        <w:ind w:firstLine="480" w:firstLineChars="200"/>
        <w:rPr>
          <w:rFonts w:hint="eastAsia" w:ascii="宋体" w:hAnsi="宋体" w:eastAsia="宋体" w:cs="宋体"/>
          <w:color w:val="auto"/>
          <w:sz w:val="24"/>
          <w:u w:val="single"/>
        </w:rPr>
      </w:pPr>
    </w:p>
    <w:p w14:paraId="19D00337">
      <w:pPr>
        <w:pageBreakBefore w:val="0"/>
        <w:kinsoku/>
        <w:wordWrap w:val="0"/>
        <w:overflowPunct w:val="0"/>
        <w:topLinePunct w:val="0"/>
        <w:bidi w:val="0"/>
        <w:adjustRightInd w:val="0"/>
        <w:snapToGrid w:val="0"/>
        <w:spacing w:line="500" w:lineRule="exact"/>
        <w:rPr>
          <w:rFonts w:hint="eastAsia" w:ascii="宋体" w:hAnsi="宋体" w:eastAsia="宋体" w:cs="宋体"/>
          <w:color w:val="auto"/>
          <w:sz w:val="24"/>
          <w:u w:val="single"/>
        </w:rPr>
        <w:sectPr>
          <w:footerReference r:id="rId6" w:type="default"/>
          <w:pgSz w:w="11906" w:h="16838"/>
          <w:pgMar w:top="1440" w:right="1080" w:bottom="1440" w:left="1080" w:header="851" w:footer="1304" w:gutter="0"/>
          <w:pgNumType w:fmt="decimal"/>
          <w:cols w:space="720" w:num="1"/>
          <w:docGrid w:linePitch="312" w:charSpace="0"/>
        </w:sectPr>
      </w:pPr>
    </w:p>
    <w:p w14:paraId="2EEA4FD3">
      <w:pPr>
        <w:pStyle w:val="2"/>
        <w:pageBreakBefore w:val="0"/>
        <w:kinsoku/>
        <w:wordWrap w:val="0"/>
        <w:overflowPunct w:val="0"/>
        <w:topLinePunct w:val="0"/>
        <w:bidi w:val="0"/>
        <w:rPr>
          <w:rFonts w:hint="eastAsia" w:ascii="宋体" w:hAnsi="宋体" w:eastAsia="宋体" w:cs="宋体"/>
          <w:color w:val="auto"/>
        </w:rPr>
      </w:pPr>
      <w:bookmarkStart w:id="32" w:name="_Toc29666"/>
      <w:bookmarkStart w:id="33" w:name="_Toc5771"/>
      <w:bookmarkStart w:id="34" w:name="_Toc11773"/>
      <w:bookmarkStart w:id="35" w:name="_Toc29358"/>
      <w:bookmarkStart w:id="36" w:name="_Toc24854_WPSOffice_Level1"/>
      <w:r>
        <w:rPr>
          <w:rFonts w:hint="eastAsia" w:ascii="宋体" w:hAnsi="宋体" w:eastAsia="宋体" w:cs="宋体"/>
          <w:color w:val="auto"/>
          <w:lang w:eastAsia="zh-CN"/>
        </w:rPr>
        <w:t>第五章 采购需求</w:t>
      </w:r>
      <w:bookmarkEnd w:id="32"/>
      <w:bookmarkEnd w:id="33"/>
      <w:bookmarkEnd w:id="34"/>
      <w:bookmarkEnd w:id="35"/>
    </w:p>
    <w:p w14:paraId="5871228E">
      <w:pPr>
        <w:pageBreakBefore w:val="0"/>
        <w:kinsoku/>
        <w:wordWrap w:val="0"/>
        <w:overflowPunct w:val="0"/>
        <w:topLinePunct w:val="0"/>
        <w:bidi w:val="0"/>
        <w:spacing w:line="560" w:lineRule="exact"/>
        <w:ind w:firstLine="361" w:firstLineChars="150"/>
        <w:jc w:val="left"/>
        <w:rPr>
          <w:rFonts w:hint="eastAsia" w:ascii="宋体" w:hAnsi="宋体" w:eastAsia="宋体" w:cs="宋体"/>
          <w:b/>
          <w:bCs/>
          <w:sz w:val="24"/>
          <w:szCs w:val="24"/>
          <w:lang w:val="en-US" w:eastAsia="zh-CN"/>
        </w:rPr>
      </w:pPr>
      <w:bookmarkStart w:id="37" w:name="_Toc7931"/>
      <w:bookmarkStart w:id="38" w:name="_Toc28312"/>
      <w:bookmarkStart w:id="39" w:name="_Toc11732"/>
      <w:r>
        <w:rPr>
          <w:rFonts w:hint="eastAsia" w:ascii="宋体" w:hAnsi="宋体" w:eastAsia="宋体" w:cs="宋体"/>
          <w:b/>
          <w:bCs/>
          <w:sz w:val="24"/>
          <w:szCs w:val="24"/>
          <w:lang w:val="en-US" w:eastAsia="zh-CN"/>
        </w:rPr>
        <w:t>一、项目基本情况</w:t>
      </w:r>
    </w:p>
    <w:p w14:paraId="4C89B187">
      <w:pPr>
        <w:pageBreakBefore w:val="0"/>
        <w:kinsoku/>
        <w:wordWrap w:val="0"/>
        <w:overflowPunct w:val="0"/>
        <w:topLinePunct w:val="0"/>
        <w:bidi w:val="0"/>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sz w:val="24"/>
          <w:szCs w:val="24"/>
          <w:u w:val="none"/>
          <w:lang w:val="en-US" w:eastAsia="zh-CN"/>
        </w:rPr>
        <w:t>1、项目名称：山西省高技能人才培训基地建设项目</w:t>
      </w:r>
    </w:p>
    <w:p w14:paraId="20F1566B">
      <w:pPr>
        <w:pageBreakBefore w:val="0"/>
        <w:kinsoku/>
        <w:wordWrap w:val="0"/>
        <w:overflowPunct w:val="0"/>
        <w:topLinePunct w:val="0"/>
        <w:bidi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2、预算金额（最高限价）：1947500‬元，其中一包：1602000元；二包：345500元</w:t>
      </w:r>
    </w:p>
    <w:p w14:paraId="272F8E2D">
      <w:pPr>
        <w:pageBreakBefore w:val="0"/>
        <w:kinsoku/>
        <w:wordWrap w:val="0"/>
        <w:overflowPunct w:val="0"/>
        <w:topLinePunct w:val="0"/>
        <w:bidi w:val="0"/>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3、招标方式：公开招标</w:t>
      </w:r>
    </w:p>
    <w:p w14:paraId="48F0D703">
      <w:pPr>
        <w:pageBreakBefore w:val="0"/>
        <w:kinsoku/>
        <w:wordWrap w:val="0"/>
        <w:overflowPunct w:val="0"/>
        <w:topLinePunct w:val="0"/>
        <w:bidi w:val="0"/>
        <w:spacing w:line="360" w:lineRule="auto"/>
        <w:ind w:firstLine="480" w:firstLineChars="200"/>
        <w:jc w:val="left"/>
        <w:rPr>
          <w:rFonts w:hint="eastAsia" w:ascii="宋体" w:hAnsi="宋体" w:eastAsia="宋体" w:cs="宋体"/>
          <w:b/>
          <w:bCs/>
          <w:sz w:val="24"/>
          <w:szCs w:val="24"/>
          <w:lang w:val="en-US"/>
        </w:rPr>
      </w:pPr>
      <w:r>
        <w:rPr>
          <w:rFonts w:hint="eastAsia" w:ascii="宋体" w:hAnsi="宋体" w:eastAsia="宋体" w:cs="宋体"/>
          <w:color w:val="auto"/>
          <w:sz w:val="24"/>
          <w:szCs w:val="24"/>
          <w:lang w:val="en-US" w:eastAsia="zh-CN"/>
        </w:rPr>
        <w:t>4、招标内容：本项目共计两包，其中：一包招标内容：新能源汽车检测与维修专业实训室建设、机电技术应用专业实训室建设等。</w:t>
      </w:r>
    </w:p>
    <w:p w14:paraId="5F4DEE11">
      <w:pPr>
        <w:pageBreakBefore w:val="0"/>
        <w:kinsoku/>
        <w:wordWrap w:val="0"/>
        <w:overflowPunct w:val="0"/>
        <w:topLinePunct w:val="0"/>
        <w:bidi w:val="0"/>
        <w:spacing w:line="560" w:lineRule="exact"/>
        <w:ind w:firstLine="360" w:firstLineChars="15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二包招标内容：机电技术应用专业内涵建设等。</w:t>
      </w:r>
    </w:p>
    <w:p w14:paraId="47C95AD1">
      <w:pPr>
        <w:pageBreakBefore w:val="0"/>
        <w:kinsoku/>
        <w:wordWrap w:val="0"/>
        <w:overflowPunct w:val="0"/>
        <w:topLinePunct w:val="0"/>
        <w:bidi w:val="0"/>
        <w:spacing w:line="560" w:lineRule="exact"/>
        <w:ind w:firstLine="361" w:firstLineChars="150"/>
        <w:jc w:val="left"/>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商务要求</w:t>
      </w:r>
    </w:p>
    <w:p w14:paraId="2D79A713">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1、合同履行期限：合同签订后120个日历天内；</w:t>
      </w:r>
    </w:p>
    <w:p w14:paraId="32EE86F6">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2、质量标准：满足采购人采购需求且符合国家及行业相关标准</w:t>
      </w:r>
      <w:r>
        <w:rPr>
          <w:rFonts w:hint="eastAsia" w:ascii="宋体" w:hAnsi="宋体" w:eastAsia="宋体" w:cs="宋体"/>
          <w:color w:val="auto"/>
          <w:sz w:val="24"/>
          <w:szCs w:val="24"/>
          <w:u w:val="none"/>
          <w:lang w:val="en-US" w:eastAsia="zh-CN"/>
        </w:rPr>
        <w:t>；</w:t>
      </w:r>
    </w:p>
    <w:p w14:paraId="00EA43E3">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3、质保期:1年</w:t>
      </w:r>
    </w:p>
    <w:p w14:paraId="2F111819">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4、项目实施地点：</w:t>
      </w:r>
      <w:r>
        <w:rPr>
          <w:rFonts w:hint="eastAsia" w:ascii="宋体" w:hAnsi="宋体" w:eastAsia="宋体" w:cs="宋体"/>
          <w:b w:val="0"/>
          <w:color w:val="auto"/>
          <w:kern w:val="2"/>
          <w:sz w:val="24"/>
          <w:szCs w:val="24"/>
          <w:highlight w:val="none"/>
          <w:lang w:val="en-US" w:eastAsia="zh-CN"/>
        </w:rPr>
        <w:t>山西新产业技师学院</w:t>
      </w:r>
      <w:r>
        <w:rPr>
          <w:rFonts w:hint="eastAsia" w:ascii="宋体" w:hAnsi="宋体" w:eastAsia="宋体" w:cs="宋体"/>
          <w:color w:val="auto"/>
          <w:sz w:val="24"/>
          <w:szCs w:val="24"/>
          <w:highlight w:val="none"/>
          <w:lang w:val="zh-CN" w:eastAsia="zh-CN"/>
        </w:rPr>
        <w:t>；</w:t>
      </w:r>
    </w:p>
    <w:p w14:paraId="47CD74AC">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u w:val="none"/>
          <w:lang w:val="en-US" w:eastAsia="zh-CN"/>
        </w:rPr>
        <w:t>5、付款进度和方式：签订合同双方约定；</w:t>
      </w:r>
    </w:p>
    <w:p w14:paraId="06F76E5C">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6、包装和运输：所有包装应便于运输、搬运、储存、配送、方便取用，外包装箱可视运输情况（如火车、汽车、飞机及轮船等具体条件）来制作合乎防震、防水、防潮等要求的包装结构，并且应加上必须有的运输安全标志。搬运电子元器件时，要注意防止撞击和跌落。</w:t>
      </w:r>
    </w:p>
    <w:p w14:paraId="77DDFF9D">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7、售后服务条款：</w:t>
      </w:r>
    </w:p>
    <w:p w14:paraId="4851CE04">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7.1所有系统及硬件设备由中标方免费安装调试；通过采购人组织的验收后，免费对使用人员进行培训、技术指导，并有培训计划、培训方式等；项目质保期内免费对系统及硬件设备进行定期维护，并注明维护范围和间隔时长；超出项目质保期后应以优惠价格向采购人提供相关服务及设备配件。</w:t>
      </w:r>
    </w:p>
    <w:p w14:paraId="6295FDE4">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7.2中标人应提供售后服务负责人姓名、职务、详细地址及售后服务电话等，在项目质保期内免费提供售后服务；</w:t>
      </w:r>
    </w:p>
    <w:p w14:paraId="3BE86DF7">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7.3维修响应速度：投标人应在1小时内响应，2小时内到达服务现场，并提供7×24小时售后服务。</w:t>
      </w:r>
    </w:p>
    <w:p w14:paraId="5E8C69B5">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8、招标人应当在合同约定的时间内完成本项目所有工作，并能通过招标人组织的验收，达到交付条件。</w:t>
      </w:r>
    </w:p>
    <w:p w14:paraId="3160F2A3">
      <w:pPr>
        <w:pageBreakBefore w:val="0"/>
        <w:kinsoku/>
        <w:wordWrap w:val="0"/>
        <w:overflowPunct w:val="0"/>
        <w:topLinePunct w:val="0"/>
        <w:bidi w:val="0"/>
        <w:spacing w:line="520" w:lineRule="exact"/>
        <w:ind w:firstLine="480" w:firstLineChars="200"/>
        <w:jc w:val="left"/>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9、中标方应当具备与本项目相适应的履约能力，投标主要产品应具备安全性、具备扩展能力、易操作、易维护，中标方应严格按照国家、行业、采购人的要求开展相关工作。</w:t>
      </w:r>
    </w:p>
    <w:p w14:paraId="054FEC16">
      <w:pPr>
        <w:pageBreakBefore w:val="0"/>
        <w:kinsoku/>
        <w:wordWrap w:val="0"/>
        <w:overflowPunct w:val="0"/>
        <w:topLinePunct w:val="0"/>
        <w:bidi w:val="0"/>
        <w:spacing w:line="520" w:lineRule="exact"/>
        <w:ind w:firstLine="482" w:firstLineChars="200"/>
        <w:jc w:val="left"/>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三、技术参数及采购数量要求</w:t>
      </w:r>
      <w:bookmarkEnd w:id="37"/>
      <w:bookmarkEnd w:id="38"/>
      <w:bookmarkEnd w:id="39"/>
      <w:bookmarkStart w:id="40" w:name="_Toc13652"/>
      <w:bookmarkStart w:id="41" w:name="_Toc24026"/>
      <w:bookmarkStart w:id="42" w:name="_Toc15258"/>
      <w:bookmarkStart w:id="43" w:name="_Toc829"/>
      <w:bookmarkStart w:id="44" w:name="_Toc23429"/>
    </w:p>
    <w:p w14:paraId="46A79099">
      <w:pPr>
        <w:pageBreakBefore w:val="0"/>
        <w:kinsoku/>
        <w:wordWrap w:val="0"/>
        <w:overflowPunct w:val="0"/>
        <w:topLinePunct w:val="0"/>
        <w:bidi w:val="0"/>
        <w:spacing w:line="520" w:lineRule="exact"/>
        <w:ind w:firstLine="480" w:firstLineChars="200"/>
        <w:jc w:val="left"/>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一包：</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1060"/>
        <w:gridCol w:w="524"/>
        <w:gridCol w:w="524"/>
        <w:gridCol w:w="7391"/>
      </w:tblGrid>
      <w:tr w14:paraId="40F3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19B042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序号</w:t>
            </w:r>
          </w:p>
        </w:tc>
        <w:tc>
          <w:tcPr>
            <w:tcW w:w="0" w:type="auto"/>
            <w:noWrap w:val="0"/>
            <w:vAlign w:val="center"/>
          </w:tcPr>
          <w:p w14:paraId="575DE9C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名称</w:t>
            </w:r>
          </w:p>
        </w:tc>
        <w:tc>
          <w:tcPr>
            <w:tcW w:w="0" w:type="auto"/>
            <w:noWrap w:val="0"/>
            <w:vAlign w:val="center"/>
          </w:tcPr>
          <w:p w14:paraId="3F4A813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数量</w:t>
            </w:r>
          </w:p>
        </w:tc>
        <w:tc>
          <w:tcPr>
            <w:tcW w:w="0" w:type="auto"/>
            <w:noWrap w:val="0"/>
            <w:vAlign w:val="center"/>
          </w:tcPr>
          <w:p w14:paraId="451DF7D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单位</w:t>
            </w:r>
          </w:p>
        </w:tc>
        <w:tc>
          <w:tcPr>
            <w:tcW w:w="0" w:type="auto"/>
            <w:noWrap w:val="0"/>
            <w:vAlign w:val="center"/>
          </w:tcPr>
          <w:p w14:paraId="016FF75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技术参数</w:t>
            </w:r>
          </w:p>
        </w:tc>
      </w:tr>
      <w:tr w14:paraId="0744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5D80BA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3C88B6E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智能网联汽车基础实训平台</w:t>
            </w:r>
          </w:p>
        </w:tc>
        <w:tc>
          <w:tcPr>
            <w:tcW w:w="0" w:type="auto"/>
            <w:noWrap w:val="0"/>
            <w:vAlign w:val="center"/>
          </w:tcPr>
          <w:p w14:paraId="6D9CF64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1ADB644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0" w:type="auto"/>
            <w:noWrap w:val="0"/>
            <w:vAlign w:val="center"/>
          </w:tcPr>
          <w:p w14:paraId="7957B5B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一、产品要求</w:t>
            </w:r>
          </w:p>
          <w:p w14:paraId="2B55CFF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平台需参照智能网联汽车实现汽车基础电子工作原理，提取相应功能板块，以嵌入式芯片作为主控，每个功能形成独立模块；需通过模块化教学，方便学生进行电子原理理解，各模块间的相互配合可以形成新功能，有利于培养学生创新意识及能力；同时学习嵌入式芯片的使用方式和基础的编程语言，为深入的软硬件开发打好基础；</w:t>
            </w:r>
          </w:p>
          <w:p w14:paraId="40772BB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2.需包含实验箱体1个、自动驾驶控制器1套、基础电子功能模块14个、配套软件、产品使用手册、实训指导书和PPT课件等；</w:t>
            </w:r>
          </w:p>
          <w:p w14:paraId="338AB31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二、基础电子功能模块需包含：</w:t>
            </w:r>
          </w:p>
          <w:p w14:paraId="799253C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1.嵌入式主控模块；</w:t>
            </w:r>
          </w:p>
          <w:p w14:paraId="4E22120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2.红绿灯LED模块；</w:t>
            </w:r>
          </w:p>
          <w:p w14:paraId="21C419A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3.按键模块；</w:t>
            </w:r>
          </w:p>
          <w:p w14:paraId="128809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4.数码管模块；</w:t>
            </w:r>
          </w:p>
          <w:p w14:paraId="7D9677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5.继电器模块；</w:t>
            </w:r>
          </w:p>
          <w:p w14:paraId="3B9ADE3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6.直流驱动电机模块；</w:t>
            </w:r>
          </w:p>
          <w:p w14:paraId="3791FB1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7.电压调速模块；</w:t>
            </w:r>
          </w:p>
          <w:p w14:paraId="6C5BBF0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8.H桥电机控制模块；</w:t>
            </w:r>
          </w:p>
          <w:p w14:paraId="72F459D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9.转向舵机模块；</w:t>
            </w:r>
          </w:p>
          <w:p w14:paraId="0AF7ADE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10.毫米波雷达模块；</w:t>
            </w:r>
          </w:p>
          <w:p w14:paraId="151C169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11.超声波雷达模块；</w:t>
            </w:r>
          </w:p>
          <w:p w14:paraId="1F0385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12.IMU模块；</w:t>
            </w:r>
          </w:p>
          <w:p w14:paraId="399B23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13.红外测距模块；</w:t>
            </w:r>
          </w:p>
          <w:p w14:paraId="79B3FEE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14.串口通信模块；</w:t>
            </w:r>
          </w:p>
        </w:tc>
      </w:tr>
      <w:tr w14:paraId="6257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943230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c>
          <w:tcPr>
            <w:tcW w:w="0" w:type="auto"/>
            <w:noWrap w:val="0"/>
            <w:vAlign w:val="center"/>
          </w:tcPr>
          <w:p w14:paraId="4D12D05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智能网联汽车传感器雷达装配调试平台</w:t>
            </w:r>
          </w:p>
        </w:tc>
        <w:tc>
          <w:tcPr>
            <w:tcW w:w="0" w:type="auto"/>
            <w:noWrap w:val="0"/>
            <w:vAlign w:val="center"/>
          </w:tcPr>
          <w:p w14:paraId="3BEAF42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12A7237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1D936C0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一、基本要求</w:t>
            </w:r>
          </w:p>
          <w:p w14:paraId="6537D94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智能网联汽车传感器雷达装配调试平台主要用于理论教学、实训及考核，台架通过部署毫米波雷达、超声波雷达、激光雷达、相机、组合导航实现智能传感器的原理介绍、结构展示、装配、故障诊断、数据检测及考核功能；主要包含毫米波雷达、超声波雷达、激光雷达、相机、组合导航等；</w:t>
            </w:r>
          </w:p>
          <w:p w14:paraId="2B19D8B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二、配置要求</w:t>
            </w:r>
          </w:p>
          <w:p w14:paraId="5390D8E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1.激光雷达</w:t>
            </w:r>
          </w:p>
          <w:p w14:paraId="2E68AC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1）水平视角：360度；</w:t>
            </w:r>
          </w:p>
          <w:p w14:paraId="3662AC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2）垂直视角≥30°；</w:t>
            </w:r>
          </w:p>
          <w:p w14:paraId="0329762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3）测距：≥50m；</w:t>
            </w:r>
          </w:p>
          <w:p w14:paraId="45086C5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4）测距精度：±10cm；</w:t>
            </w:r>
          </w:p>
          <w:p w14:paraId="0D12459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5）测距通道≥16线；</w:t>
            </w:r>
          </w:p>
          <w:p w14:paraId="1898A61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6）提供百兆的以太网数据输出，包含距离、旋转角度、反射率等信息；</w:t>
            </w:r>
          </w:p>
          <w:p w14:paraId="6F21751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7）工作电压：9～32V；</w:t>
            </w:r>
          </w:p>
          <w:p w14:paraId="3723594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2.毫米波雷达</w:t>
            </w:r>
          </w:p>
          <w:p w14:paraId="3AFF081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1）工作频率范围：76GHz-77GHz；</w:t>
            </w:r>
          </w:p>
          <w:p w14:paraId="12E4B1C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2）探测距离范围：0.2m～250m；</w:t>
            </w:r>
          </w:p>
          <w:p w14:paraId="6588A17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3）距离测量分辨率：远距±1.79m；近距±0.39m；</w:t>
            </w:r>
          </w:p>
          <w:p w14:paraId="765D188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4）距离测量精度：远距±0.40m；近距±0.10m；</w:t>
            </w:r>
          </w:p>
          <w:p w14:paraId="7EF7183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5）速度范围：-400km/h～+200km/h（去向目标～来向目标）；</w:t>
            </w:r>
          </w:p>
          <w:p w14:paraId="15EED6F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6）速度分辨率：远距≥0.37km/h，近距≤0.43km/h；</w:t>
            </w:r>
          </w:p>
          <w:p w14:paraId="74FD873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7）速度精度：±0.1km/h；</w:t>
            </w:r>
          </w:p>
          <w:p w14:paraId="448D853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8）探测目标类型：远离目标、靠近目标、静止目标、横穿静止目标、横穿目标；</w:t>
            </w:r>
          </w:p>
          <w:p w14:paraId="29A7BAC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9）提供CAN/CANFD数据输出，至少包含跟踪目标ID、距离、速度、RCS等信息；</w:t>
            </w:r>
          </w:p>
          <w:p w14:paraId="5C60102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10）工作电压：9～16V；</w:t>
            </w:r>
          </w:p>
          <w:p w14:paraId="33447E5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3.超声波雷达</w:t>
            </w:r>
          </w:p>
          <w:p w14:paraId="0BD0024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1）测距范围：130mm～5000mm，盲区≤13cm；</w:t>
            </w:r>
          </w:p>
          <w:p w14:paraId="0A6AE94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2）波束角10～60度可调；</w:t>
            </w:r>
          </w:p>
          <w:p w14:paraId="5CA7905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3）处理板和探头工作温度-40～85度；</w:t>
            </w:r>
          </w:p>
          <w:p w14:paraId="42112EC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4）精度：≥5mm（近距离）探测距离的0.5%（远距离）；</w:t>
            </w:r>
          </w:p>
          <w:p w14:paraId="155B8A3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5）工作电源：+12V～24V；</w:t>
            </w:r>
          </w:p>
          <w:p w14:paraId="3C58CF6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4.摄像头</w:t>
            </w:r>
          </w:p>
          <w:p w14:paraId="085A0BA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1）靶面尺寸规格：≥1/2.8；</w:t>
            </w:r>
          </w:p>
          <w:p w14:paraId="7BC1E97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2）USB3.0接口；</w:t>
            </w:r>
          </w:p>
          <w:p w14:paraId="15FD4D9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3）最高有效像素为200万，分辨率≥1920*1080；</w:t>
            </w:r>
          </w:p>
          <w:p w14:paraId="1459497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4）输出图像格式MJPEG/YUV2（YUVY）；</w:t>
            </w:r>
          </w:p>
          <w:p w14:paraId="5384040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5）支持最高帧率1920*1080p50帧/YUV/MJPEG；</w:t>
            </w:r>
          </w:p>
          <w:p w14:paraId="632C037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6）探测目标类型车辆、行人、交通标志、红绿灯等；</w:t>
            </w:r>
          </w:p>
          <w:p w14:paraId="0B4D226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5.组合导航</w:t>
            </w:r>
          </w:p>
          <w:p w14:paraId="436FA8D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1）具有GNSS和IMU组合导航定位；</w:t>
            </w:r>
          </w:p>
          <w:p w14:paraId="757B11D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2）IMU测量维度：加速度3维，角速度3维，磁场3维；</w:t>
            </w:r>
          </w:p>
          <w:p w14:paraId="24C4D49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3）量程：加速度：±2/4/8/16g（可选），角速度：±250/500/1000/2000°/s（可选），角度X、Z轴±180°，Y轴±90°；</w:t>
            </w:r>
          </w:p>
          <w:p w14:paraId="534742D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4）稳定性：加速度：≥0.01g，角速度≥0.05°/s；</w:t>
            </w:r>
          </w:p>
          <w:p w14:paraId="6D0301A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5）姿态测量稳定度：≥0.01°；</w:t>
            </w:r>
          </w:p>
          <w:p w14:paraId="283ABEB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6）收星频点：BDS B1I/B2I/B3I/B1C/B2a/B2b；GPS L1CA/L1C/L2C/L2P/L5；GLONASS L1/L2；Galileo E1/E5a/E5b；QZS L1/L2/L5；SBAS L1；</w:t>
            </w:r>
          </w:p>
          <w:p w14:paraId="791F27A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7）单点定位精度：平面≤1.5m(RMS)，高程≤3.0m(RMS)；</w:t>
            </w:r>
          </w:p>
          <w:p w14:paraId="1B559F9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8)RTK精度：平面≤8.0mm+1ppm(RMS）；高程≤15mm+1ppm（RMS）；</w:t>
            </w:r>
          </w:p>
          <w:p w14:paraId="6EDC947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9）支持RS-232接口；</w:t>
            </w:r>
          </w:p>
          <w:p w14:paraId="23A92A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10）包含组合导航主机、2个卫星天线及连接线等；</w:t>
            </w:r>
          </w:p>
          <w:p w14:paraId="15A22A7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6.配备数据处理编程实训装置；</w:t>
            </w:r>
          </w:p>
          <w:p w14:paraId="60E60CC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三、设备功能要求</w:t>
            </w:r>
          </w:p>
          <w:p w14:paraId="4D1DBED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1.激光雷达部分</w:t>
            </w:r>
          </w:p>
          <w:p w14:paraId="7E001D9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1）通过上位机软件设置激光雷达参数，包括以太网、时间、电机参数等；接收激光雷达数据流，可视化显示点云；</w:t>
            </w:r>
          </w:p>
          <w:p w14:paraId="40DB776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2）可以通过软件设置激光雷达的外部参数x，y，z的值和俯仰角，航向角，翻滚角的值进行标定；</w:t>
            </w:r>
          </w:p>
          <w:p w14:paraId="6831193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3）通过激光雷达感知算法控件，通过调节探测范围、滤波阈值、分割参数等参数，改变点云识别状态并对障碍物进行标识，实现对激光雷达识别算法的理解；可以测出障碍物与试验台自身的真实距离；</w:t>
            </w:r>
          </w:p>
          <w:p w14:paraId="66CD9AF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4）设置安全区域，安全区域内障碍物将被标记识别；</w:t>
            </w:r>
          </w:p>
          <w:p w14:paraId="30F6710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5）多种数据源输入，可调用激光雷达实时数据，录制的数据包在仿真实训台输出；</w:t>
            </w:r>
          </w:p>
          <w:p w14:paraId="784D464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6）提供Linux环境下激光雷达配置软件；</w:t>
            </w:r>
          </w:p>
          <w:p w14:paraId="1FFCF2F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2.摄像头部分：</w:t>
            </w:r>
          </w:p>
          <w:p w14:paraId="2353CA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1）通过软件进行摄像头的内参标定，生成标定文件；可加载不同的标定文件，观察摄像头的畸变矫正效果；</w:t>
            </w:r>
          </w:p>
          <w:p w14:paraId="1921A86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2）提供目标识别算法和车道线识别算法；通过加载不同识别算法，界面显示不同的识别功能，进行不同项目的功能实训；</w:t>
            </w:r>
          </w:p>
          <w:p w14:paraId="41C40F6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3）多种数据源输入，可调用摄像头实时数据、录制的数据包、视频图像、仿真实训台输出图像；</w:t>
            </w:r>
          </w:p>
          <w:p w14:paraId="3D56A6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3.毫米波部分</w:t>
            </w:r>
          </w:p>
          <w:p w14:paraId="7D16FCE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1）配套毫米波雷达测调试系统（需提供相关软件著作权证书），系统提供人机友好交流界面，可实时更改雷达参数设置，观测调试效果；</w:t>
            </w:r>
          </w:p>
          <w:p w14:paraId="6A009A3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2）可准确识别静态与动态障碍物，显示距离、速度、位置等数据；</w:t>
            </w:r>
          </w:p>
          <w:p w14:paraId="794EA1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3）可以设置毫米波雷达在x、y上的坐标值，实现外部参数的标定，显示标定后的毫米波检测图像，修改x、y坐标后可以看到障碍物相对于坐标原点的变化；</w:t>
            </w:r>
          </w:p>
          <w:p w14:paraId="5695AEC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4）检测结果可通过ROI区域设置，实现需求区域障碍物检测过滤；</w:t>
            </w:r>
          </w:p>
          <w:p w14:paraId="7A9797B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4.超声波雷达部分</w:t>
            </w:r>
          </w:p>
          <w:p w14:paraId="04A50FA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通过发送不同指令，超声波模块可返回不同探测模式的数据，可演示不同探测模式下的探测精度和探测范围；</w:t>
            </w:r>
          </w:p>
          <w:p w14:paraId="458829C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5.组合惯导部分</w:t>
            </w:r>
          </w:p>
          <w:p w14:paraId="5AEBDDC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1）进行组合导航标定，包括初始对准、导航模式配置、坐标轴配置、端口输出数据配置等；接收组合导航数据信息；可以实时读取GNSS卫星数据及惯导姿态数据，可对定位误差设置、解析和校准定位精度；</w:t>
            </w:r>
          </w:p>
          <w:p w14:paraId="2EF645F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2）设备具备RTK差分定位功能，可进行RTK差分定位系统原理教学实训；具备双RTK天线，进行相关定向实训；</w:t>
            </w:r>
          </w:p>
          <w:p w14:paraId="643939F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6.感知融合</w:t>
            </w:r>
          </w:p>
          <w:p w14:paraId="0B75AF5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设备具备感知融合功能，通过激光雷达和摄像头的联合标定，实现感知融合结果输出，并在界面上显示；</w:t>
            </w:r>
          </w:p>
          <w:p w14:paraId="76A35F2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7.设备搭载工业级PoE以太网接口，可通过成熟以太网衍生协议，快速对接院校已部署的智能交通虚拟仿真平台实现联动；联动状态下可实现以下功能：</w:t>
            </w:r>
          </w:p>
          <w:p w14:paraId="78A201F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将智能交通虚拟仿真平台数据作为传感器台架算法软件的数据源，对智能交通虚拟仿真平台行驶环境数据进行处理，便于更直观地观察各种算法的输出结果，进行传感器相关教学；</w:t>
            </w:r>
          </w:p>
          <w:p w14:paraId="64D9257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四、配套自动驾驶开发实训平台（需提供具有CNAS认证的第三方检测机构出具的检测报告的扫描件或复印件并加盖公章）</w:t>
            </w:r>
          </w:p>
          <w:p w14:paraId="70ECF95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1.尺寸：≥300*200*250mm；</w:t>
            </w:r>
          </w:p>
          <w:p w14:paraId="341FB6C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2.通过对平台系统的编程，可以控制平台的运动；</w:t>
            </w:r>
          </w:p>
          <w:p w14:paraId="1168F48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3.平台可实现精确的自主定位、SLAM建图、路线规划和自主避障等丰富功能；</w:t>
            </w:r>
          </w:p>
          <w:p w14:paraId="759A626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4.至少配备C++语言驱动程序和Python语言驱动程序，可自行选择；通过驱动程序的指令输入，可以控制平台的运动；</w:t>
            </w:r>
          </w:p>
          <w:p w14:paraId="17BE8AF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5.需包含工控一体机，CPU≥Quad-core ARM57@1.43Ghz，内存≥4GB 64Bit LPDDR4 25.6GB/s；</w:t>
            </w:r>
          </w:p>
          <w:p w14:paraId="0B24B98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需配备激光雷达，可以实现高频高精度的距离测量，测距的同时，机械结构支持360度旋转，不断获取角度信息，从而实现了360度扫描测距；测距频率高于3000Hz；扫描频率高于6Hz；测距范围0.12～8m（室内环境，80%反射率物体）；扫描角度360°；俯仰角0.25°-1.75°；</w:t>
            </w:r>
          </w:p>
          <w:p w14:paraId="13B86A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7.深度相机：深度距离为0.3～3m及以上；平均功耗&lt;2W；深度图分辨率≥320*200@30FPS；</w:t>
            </w:r>
          </w:p>
          <w:p w14:paraId="373133D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8.平台可同时实现阿克曼、四轮差速、履带和麦轮四种模态的快速切换；</w:t>
            </w:r>
          </w:p>
          <w:p w14:paraId="5E3368B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9.平台拥有鸥翼门两个，可展开，包含一个TYPE-C接口和两个USB2.0接口；</w:t>
            </w:r>
          </w:p>
        </w:tc>
      </w:tr>
      <w:tr w14:paraId="19F7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304E59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w:t>
            </w:r>
          </w:p>
        </w:tc>
        <w:tc>
          <w:tcPr>
            <w:tcW w:w="0" w:type="auto"/>
            <w:noWrap w:val="0"/>
            <w:vAlign w:val="center"/>
          </w:tcPr>
          <w:p w14:paraId="74ED55E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智能网联汽车线控底盘操作检测平台</w:t>
            </w:r>
          </w:p>
        </w:tc>
        <w:tc>
          <w:tcPr>
            <w:tcW w:w="0" w:type="auto"/>
            <w:noWrap w:val="0"/>
            <w:vAlign w:val="center"/>
          </w:tcPr>
          <w:p w14:paraId="49FFC57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10E00DF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24809A6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一、基本要求</w:t>
            </w:r>
          </w:p>
          <w:p w14:paraId="1ABCA98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智能网联汽车线控底盘操作检测平台是一款用于智能网联汽车线控底盘技术教学与实训的专用教学设备，能够满足院校开展线控底盘原理认知、部件检测、故障诊断与调试等相关教学活动的需求；主要由转向电机系统、制动控制系统、加速控制系统等组成；采用的线控协议为量产应用方案，可深入进行线控技术学习和实训；</w:t>
            </w:r>
          </w:p>
          <w:p w14:paraId="6DEEA8D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二、配置组成要求</w:t>
            </w:r>
          </w:p>
          <w:p w14:paraId="1182267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1.总体要求</w:t>
            </w:r>
          </w:p>
          <w:p w14:paraId="357FBC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（1）具有线控油门、线控刹车、线控转向、线控挡位、线控声光五大子系统；</w:t>
            </w:r>
          </w:p>
          <w:p w14:paraId="138C4F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（2）设备尺寸≥2000mm*1240mm*1640mm；</w:t>
            </w:r>
          </w:p>
          <w:p w14:paraId="581C30C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2.线控油门</w:t>
            </w:r>
          </w:p>
          <w:p w14:paraId="22771A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（1）实现纵向驱动功能的线控控制，并提供相应的CAN控制接口油门踏板开度；</w:t>
            </w:r>
          </w:p>
          <w:p w14:paraId="64EA62D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（2）延迟时间（从指令发送到加速度开始上升的时间）≤500ms；</w:t>
            </w:r>
          </w:p>
          <w:p w14:paraId="68A1BC5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（3）响应时间（从指令发送到加速度达到最大值的时间）≤800ms；</w:t>
            </w:r>
          </w:p>
          <w:p w14:paraId="31E3710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（4）线控油门能够单独使能和被接管；可以设置通过油门踏板触发整车被接管；</w:t>
            </w:r>
          </w:p>
          <w:p w14:paraId="5D8D9A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（5）反馈线控油门状态、油门踏板位置实际值、油门踏板位置指令值；</w:t>
            </w:r>
          </w:p>
          <w:p w14:paraId="7F73339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3.线控刹车</w:t>
            </w:r>
          </w:p>
          <w:p w14:paraId="40E45B6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（1）采用车规电子液压刹车系统；</w:t>
            </w:r>
          </w:p>
          <w:p w14:paraId="194DF4F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（2）推杆各方向摆角最大为4.5°；</w:t>
            </w:r>
          </w:p>
          <w:p w14:paraId="729AF4F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（3）制动主缸：缸径≥20.64mm，总行程≥38mm，前腔行程≥19mm，后腔行程≥19mm；释放压力≥20N，释放时间≤0.2s；</w:t>
            </w:r>
          </w:p>
          <w:p w14:paraId="1A86463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（4）清洁度：制动主缸内部杂质≤10mg；</w:t>
            </w:r>
          </w:p>
          <w:p w14:paraId="6838B27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（5）工作介质：DOT4制动液；工作温度：-40°C-85°C；</w:t>
            </w:r>
          </w:p>
          <w:p w14:paraId="1271933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（6）制动主缸出油口螺纹拧紧力矩：18±2Nm，破坏力矩≥33Nm；</w:t>
            </w:r>
          </w:p>
          <w:p w14:paraId="6581D8C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（7）实现纵向行车制动功能的线控控制，并提供相应CAN控制接口制动踏板开度；</w:t>
            </w:r>
          </w:p>
          <w:p w14:paraId="688565E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（8）延迟时间（从指令发送到减速度开始上升的时间）在500ms内；</w:t>
            </w:r>
          </w:p>
          <w:p w14:paraId="156A0A2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（9）响应时间（从指令发送到减速度达到最大值的时间）在800ms内；</w:t>
            </w:r>
          </w:p>
          <w:p w14:paraId="1E146A9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（10）线控刹车能够单独使能和被接管；可以设置通过刹车踏板触发整车被接管；</w:t>
            </w:r>
          </w:p>
          <w:p w14:paraId="32406B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（11）反馈线控刹车状态、刹车踏板位置实际值、刹车踏板位置指令值；制动灯根据制动踏板控制指令自动点亮；</w:t>
            </w:r>
          </w:p>
          <w:p w14:paraId="7900F41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4.线控转向</w:t>
            </w:r>
          </w:p>
          <w:p w14:paraId="15C7D86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（1）采用车规电子转向系统；</w:t>
            </w:r>
          </w:p>
          <w:p w14:paraId="7E6B78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（2）额定输出扭矩：44.8Nm；</w:t>
            </w:r>
          </w:p>
          <w:p w14:paraId="398AEF4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（3）额定电流：60A；</w:t>
            </w:r>
          </w:p>
          <w:p w14:paraId="3F841FA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（4）额定电压：12V；</w:t>
            </w:r>
          </w:p>
          <w:p w14:paraId="7047184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（5）额定功率：≥400W；</w:t>
            </w:r>
          </w:p>
          <w:p w14:paraId="3A52C0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（6）实现转向功能的线控控制，并提供相应的线控CAN控制接口方向盘转角；</w:t>
            </w:r>
          </w:p>
          <w:p w14:paraId="189C968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（7）方向盘转角范围可调；</w:t>
            </w:r>
          </w:p>
          <w:p w14:paraId="2A1D36D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（8）最大转向速率可调，≥360deg/s；</w:t>
            </w:r>
          </w:p>
          <w:p w14:paraId="5B5936B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（9）延迟时间（从指令发送到方向盘转角开始变化的时间）在500ms内；</w:t>
            </w:r>
          </w:p>
          <w:p w14:paraId="1F22A31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（10）线控转向能够单独使能和被接管；可以设置通过转向盘触发整车被接管；</w:t>
            </w:r>
          </w:p>
          <w:p w14:paraId="7D86B2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（11）反馈线控转向状态、方向盘转角实际值、方向盘转角指令值；</w:t>
            </w:r>
          </w:p>
          <w:p w14:paraId="2E69351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5.线控挡位</w:t>
            </w:r>
          </w:p>
          <w:p w14:paraId="36A305E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（1）实现挡位切换的线控功能，即在车辆静止状态下可以通过CAN接口使挡位在R、N、D间切换；</w:t>
            </w:r>
          </w:p>
          <w:p w14:paraId="0B49C04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安全性要求：出于安全性考虑，原车挡杆（或旋钮）位置必须处于N挡位置才允许线控挡位控制，即必须将挡杆置于N挡才能进入线控挡位控制；进入线控挡位控制后，将挡杆从N挡拨到D或R则自动退出线控挡位控制，切换到手动驾驶模式并退出线控；</w:t>
            </w:r>
          </w:p>
          <w:p w14:paraId="32FFE72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（3）线控挡位能够单独使能和被接管；可以设置通过挡杆退出N挡触发整车被接管（前提是线控挡位已使能）；</w:t>
            </w:r>
          </w:p>
          <w:p w14:paraId="619421B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（4）响应时间（从发送指令到完成动作）在2s内；</w:t>
            </w:r>
          </w:p>
          <w:p w14:paraId="13794F7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（5）反馈线控挡位状态、挡杆位置实际值、挡杆位置指令值；</w:t>
            </w:r>
          </w:p>
          <w:p w14:paraId="1444683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6.线控声光</w:t>
            </w:r>
          </w:p>
          <w:p w14:paraId="1B6097D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（1）实现左右转向灯、大灯、双闪灯、喇叭的开关控制，并提供相应的CAN控制接口；</w:t>
            </w:r>
          </w:p>
          <w:p w14:paraId="69F0CC7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（2）线控声光能够单独使能；</w:t>
            </w:r>
          </w:p>
          <w:p w14:paraId="77F4CC6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7.状态反馈</w:t>
            </w:r>
          </w:p>
          <w:p w14:paraId="329958A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提供线控油门、线控刹车、线控转向、线控挡位、线控驻车相关的反馈信号；</w:t>
            </w:r>
          </w:p>
          <w:p w14:paraId="030D3AA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8.线控模式</w:t>
            </w:r>
          </w:p>
          <w:p w14:paraId="2A3BDD9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线控系统工作模式包含手动模式和自动模式。手动模式下，车辆完全由驾驶员控制；自动模式下，车辆各线控子系统中的一个或多个由智能驾驶上位机控制，其余仍由驾驶员控制。通过整车线控使能标志位控制整车在手动模式和自动模式之间切换；</w:t>
            </w:r>
          </w:p>
          <w:p w14:paraId="5E4C4FD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（2）需能够反馈整车线控状态；</w:t>
            </w:r>
          </w:p>
          <w:p w14:paraId="04F02B9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（3）系统上电默认手动驾驶模式，在出现严重故障情况下自动切换到常规驾驶模式；</w:t>
            </w:r>
          </w:p>
          <w:p w14:paraId="5B26801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9.线控接管</w:t>
            </w:r>
          </w:p>
          <w:p w14:paraId="6E53B0C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系统可以设置并实现通过油门、刹车、转向、挡位中的任何一种或几种实现从线控模式接管；（需提供功能截图）</w:t>
            </w:r>
          </w:p>
          <w:p w14:paraId="1FFEE21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10.交付物</w:t>
            </w:r>
          </w:p>
          <w:p w14:paraId="225514F0">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（1）CAN数据库文件（Vector CANdb++创建，*.dbc格式）；</w:t>
            </w:r>
          </w:p>
          <w:p w14:paraId="456AB42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（2）用户手册，包括硬件接口和信号的说明、注意事项等；</w:t>
            </w:r>
          </w:p>
          <w:p w14:paraId="1AC9376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三、设备功能</w:t>
            </w:r>
          </w:p>
          <w:p w14:paraId="44DCAA9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1.线控底盘实训台架可完成智能网联汽车底盘线控执行系统装配、调试、故障诊断等实训；装调台架由主流车系线控转向系统、线控制动系统、线控驱动、车架、前悬架等组成；</w:t>
            </w:r>
          </w:p>
          <w:p w14:paraId="566DA8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2.在装调台架上完成智能网联汽车底盘线控执行系统装配，识别线控驱动、线控制动、线控转向等系统各部件的型号和硬件接口；连接、检查线控驱动、线控制动、线控转向等系统电气线路；</w:t>
            </w:r>
          </w:p>
          <w:p w14:paraId="63DDD3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3.线控底盘控制器采用车规VCU，实现高性能的线控，在控制精度、控制误差、响应时间、反馈精度等指标均达到领先水平；</w:t>
            </w:r>
          </w:p>
          <w:p w14:paraId="73CB0D1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4.具备常见的安全功能</w:t>
            </w:r>
          </w:p>
          <w:p w14:paraId="6637452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1）通过加速踏板、制动踏板和方向盘均可以实现人工接管，退出自动驾驶模式；</w:t>
            </w:r>
          </w:p>
          <w:p w14:paraId="6F2B5B8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2）具备系统掉电情况下自动切换到常规驾驶模式的功能；</w:t>
            </w:r>
          </w:p>
          <w:p w14:paraId="7F944AF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3）对非预期的上位机换挡指令进行限制，以保证行驶和车辆安全；</w:t>
            </w:r>
          </w:p>
          <w:p w14:paraId="660D274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4）高速转向的软件限制策略；</w:t>
            </w:r>
          </w:p>
          <w:p w14:paraId="280CE95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5.线控底盘CAN通信机制需要有多重安全保证手段，采用冗余的控制校验方式保证指令正确；</w:t>
            </w:r>
          </w:p>
          <w:p w14:paraId="44209C1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6.配套底盘线控系统调试软件（需提供相关软件著作权证书）</w:t>
            </w:r>
          </w:p>
          <w:p w14:paraId="0BCD2F2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1）实训软件以UI形式显示底盘的运行状态，包括底盘工作模式、线控挡位、电机转速、制动压力、方向盘转角、转向灯状态、电池电量、电池电压等信息；</w:t>
            </w:r>
          </w:p>
          <w:p w14:paraId="1DCEF33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界面控制功能，将控制指令以按键形式呈现；点击按键，软件将生成CAN指令，控制底盘执行；控制内容包含启动自动驾驶、退出自动驾驶、挡位设置、方向盘转角设置、最大转角设置、转角速度设置、油门控制、刹车控制、喇叭控制等；</w:t>
            </w:r>
          </w:p>
          <w:p w14:paraId="10FB877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3）指令控制功能，通过在界面中输入指令，控制底盘的工作状态，打印CAN总线上所有的CAN数据，并有详细数据记录，记录信息包含系统时间、时间戳、传输方向、ID、长度、数据等；</w:t>
            </w:r>
          </w:p>
          <w:p w14:paraId="2F9F379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4）调试模式功能，可用于线控CAN协议数据排查；选择线控DBC文件，系统自动生成报文解析，包括报文名称、报文ID、报文原始数据、报文数据解析，显示DBC中标注的报文含义；</w:t>
            </w:r>
          </w:p>
          <w:p w14:paraId="7945841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5）曲线分析功能，以曲线形式展现数据在不同时间的数值，可选择不同的数据名称进行展现；</w:t>
            </w:r>
          </w:p>
          <w:p w14:paraId="32027BC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7.设备搭载工业级PoE以太网接口，可通过成熟以太网衍生协议，快速对接院校已部署的智能交通虚拟仿真平台联动；联动状态下可实现以下功能：</w:t>
            </w:r>
          </w:p>
          <w:p w14:paraId="743534F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1）自动驾驶状态下，智能网联汽车线控底盘实训台可由智能交通虚拟仿真平台中的自动驾驶系统控制，执行驱动、转向、制动等动作，同时与仿真车动作同步，可直观地观察线控底盘的行驶状态；</w:t>
            </w:r>
          </w:p>
          <w:p w14:paraId="45C9CEA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2）智能网联汽车线控底盘实训台可随时切换到人工驾驶模式，在人工驾驶模式下，智能交通虚拟仿真平台中的仿真车可由智能网联汽车线控底盘实训台控制；</w:t>
            </w:r>
          </w:p>
          <w:p w14:paraId="7103FBF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3）对照实车功能，人工操作智能网联汽车线控底盘实训台可使自动驾驶系统进入自动驾驶状态，接管智能网联汽车线控底盘实训台和仿真软件中的仿真车；</w:t>
            </w:r>
          </w:p>
        </w:tc>
      </w:tr>
      <w:tr w14:paraId="6AAA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5E4BDA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w:t>
            </w:r>
          </w:p>
        </w:tc>
        <w:tc>
          <w:tcPr>
            <w:tcW w:w="0" w:type="auto"/>
            <w:noWrap w:val="0"/>
            <w:vAlign w:val="center"/>
          </w:tcPr>
          <w:p w14:paraId="22AC889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1.5T 6档湿式双离合整车实训台</w:t>
            </w:r>
          </w:p>
        </w:tc>
        <w:tc>
          <w:tcPr>
            <w:tcW w:w="0" w:type="auto"/>
            <w:noWrap w:val="0"/>
            <w:vAlign w:val="center"/>
          </w:tcPr>
          <w:p w14:paraId="06436F8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478C7E9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0" w:type="auto"/>
            <w:noWrap w:val="0"/>
            <w:vAlign w:val="center"/>
          </w:tcPr>
          <w:p w14:paraId="1C8389B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1.5T 6挡湿式双离合整车实训台采用完整车辆为载体，包含汽车驱动系统、底盘系统、电气系统等；车辆可正常工作运行，支持进行汽车维护、汽车检修、汽车拆装、汽车故障诊断等多种综合实训；</w:t>
            </w:r>
          </w:p>
          <w:p w14:paraId="4E3F61C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1.需能够正常启动、行驶、制动；</w:t>
            </w:r>
          </w:p>
          <w:p w14:paraId="1DF57B3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2.车身尺寸：4765*1837*1500mm；</w:t>
            </w:r>
          </w:p>
          <w:p w14:paraId="63451D7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3.排量：约1.5L左右；</w:t>
            </w:r>
          </w:p>
          <w:p w14:paraId="4CB6316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4.进气方式：涡轮增压；</w:t>
            </w:r>
          </w:p>
          <w:p w14:paraId="3A05423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6.变速箱类型：湿式双离合变速箱（DCT）；</w:t>
            </w:r>
          </w:p>
        </w:tc>
      </w:tr>
      <w:tr w14:paraId="0A2E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A422CA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w:t>
            </w:r>
          </w:p>
        </w:tc>
        <w:tc>
          <w:tcPr>
            <w:tcW w:w="0" w:type="auto"/>
            <w:noWrap w:val="0"/>
            <w:vAlign w:val="center"/>
          </w:tcPr>
          <w:p w14:paraId="508AE04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新能源汽车双模组动力电池均衡实训装置</w:t>
            </w:r>
          </w:p>
        </w:tc>
        <w:tc>
          <w:tcPr>
            <w:tcW w:w="0" w:type="auto"/>
            <w:noWrap w:val="0"/>
            <w:vAlign w:val="center"/>
          </w:tcPr>
          <w:p w14:paraId="5E0B2A6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3010D93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0" w:type="auto"/>
            <w:noWrap w:val="0"/>
            <w:vAlign w:val="center"/>
          </w:tcPr>
          <w:p w14:paraId="7DC417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1.液晶触摸显示屏：≥7寸；</w:t>
            </w:r>
          </w:p>
          <w:p w14:paraId="7DB073E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2.电源输入：AC90-264V，频率范围为40－60Hz；</w:t>
            </w:r>
          </w:p>
          <w:p w14:paraId="466E66D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3.充放电电压范围：1.8—4.2V；</w:t>
            </w:r>
          </w:p>
          <w:p w14:paraId="3E9999F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4.充、放电数据查询：柱状图、数据表等；</w:t>
            </w:r>
          </w:p>
          <w:p w14:paraId="5A52B87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5.充放电电流范围：0.1—5A MAX；</w:t>
            </w:r>
          </w:p>
          <w:p w14:paraId="54F9CC2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6.充电控制：恒流充电+恒压充电；</w:t>
            </w:r>
          </w:p>
          <w:p w14:paraId="3304A56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7.电池温度检测精度：±2℃；</w:t>
            </w:r>
          </w:p>
          <w:p w14:paraId="23DB7DC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8.单设备可支持模组数：最大2组，每组最多12节电池；</w:t>
            </w:r>
          </w:p>
          <w:p w14:paraId="7AAABE0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9.充放电功率：最大600W；</w:t>
            </w:r>
          </w:p>
          <w:p w14:paraId="031E987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10.PC机数据通讯：TCP/IP，USB-Device；</w:t>
            </w:r>
          </w:p>
          <w:p w14:paraId="5A37170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11.无线通信：至少包括Wi-Fi和BT（Wi-Fi天线外置）；</w:t>
            </w:r>
          </w:p>
          <w:p w14:paraId="24AD3B7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12.数据转存：U盘（USB-Host）；</w:t>
            </w:r>
          </w:p>
          <w:p w14:paraId="6718014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13.数据报表：数据上传到pc后可由配套软件生成数据报表；</w:t>
            </w:r>
          </w:p>
          <w:p w14:paraId="2F69646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14.保护功能：输入过流保护，过压保护；输出过流保护，过温保护；</w:t>
            </w:r>
          </w:p>
          <w:p w14:paraId="19B65FC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需提供具有CNAS认证的检测机构出具的检测报告的扫描件或复印件并加盖公章。</w:t>
            </w:r>
          </w:p>
        </w:tc>
      </w:tr>
      <w:tr w14:paraId="6717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6085E37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6</w:t>
            </w:r>
          </w:p>
        </w:tc>
        <w:tc>
          <w:tcPr>
            <w:tcW w:w="0" w:type="auto"/>
            <w:noWrap w:val="0"/>
            <w:vAlign w:val="center"/>
          </w:tcPr>
          <w:p w14:paraId="543A7B5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新能源汽车高压电控系统实训系统</w:t>
            </w:r>
          </w:p>
        </w:tc>
        <w:tc>
          <w:tcPr>
            <w:tcW w:w="0" w:type="auto"/>
            <w:noWrap w:val="0"/>
            <w:vAlign w:val="center"/>
          </w:tcPr>
          <w:p w14:paraId="7BF2C1F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6867E3A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3B9E6AD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1.总体要求</w:t>
            </w:r>
          </w:p>
          <w:p w14:paraId="7426081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新能源汽车高压电控系统实训系统是一款以国内主流新能源汽车为参考蓝本的仿真教学软件；主要包括新能源动力电池的结构展示、动力电池原理、电池管理系统原理和模拟实训四个部分；内容展示了新能源汽车动力电池及电池管理系统的结构和各个系统的组成，动力电池及电池管理系统的基本原理和相关背景，动力电池及电池管理系统常见故障的诊断和维修流程的模拟实训，也包括动力电池的拆卸安装步骤、安全防护措施等；</w:t>
            </w:r>
          </w:p>
          <w:p w14:paraId="2C28BD0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软件需支持在桌面式VR相关设备上运行，带来全新的真实的交互操作体验；让学生仿佛置身于真实的环境和操作场景中；有助于激发学生的学习兴趣，使他们更加深入地理解和掌握知识，为未来的职业生涯奠定坚实的基础；</w:t>
            </w:r>
          </w:p>
          <w:p w14:paraId="617C993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2.内容要求</w:t>
            </w:r>
          </w:p>
          <w:p w14:paraId="39A038A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（1）软件分电池结构展示、动力电池原理、电池管理系统原理和模拟实训四个模块；点击图标进入相应模块；</w:t>
            </w:r>
          </w:p>
          <w:p w14:paraId="3358F62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结构展示模块中，具有爆炸展示功能图标，点击则爆炸展示动力电池结构，同时图标变为还原图标；界面中间文字框提示当前部件名称；界面右边具有动力电池及电池管理系统零部件清单，点击可选中零部件，并且其他零部件变为透明；双击清单零部件名称可弹出零部件详细介绍；界面右下按钮具有系统菜单，点击弹出三个功能菜单，分别为退出软件、返回上级、返回主页；</w:t>
            </w:r>
          </w:p>
          <w:p w14:paraId="7DDB079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动力电池原理模块中，动力电池原理主要分为动力电池参数、动力电池分类、动力电池成组原理、磷酸铁锂电池工作原理四部分，点击左侧标题可切换相应内容；每部分由PPT组成，PPT嵌入重要的原理模型动画，点击带有VR标识的模型图片，可进入VR场景演示；点击右上角全屏标识，可进入全屏模式，再次点击，退出全屏模式；PPT页面左右有箭头，点击可切换上下页，也可以点击左侧标题栏中的缩略图选择所需的PPT；</w:t>
            </w:r>
          </w:p>
          <w:p w14:paraId="05B316B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（4）电池管理原理模块中，电池管理原理包含电池管理系统原理部分，其他功能与动力电池原理模块类似；</w:t>
            </w:r>
          </w:p>
          <w:p w14:paraId="1FD0FF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（5）模拟实训模块中，模拟实训界面主要包含模拟故障实训、动力电池拆装、充电流程实训、实训考核等四部分内容；</w:t>
            </w:r>
          </w:p>
        </w:tc>
      </w:tr>
      <w:tr w14:paraId="6D19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D90DAA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7</w:t>
            </w:r>
          </w:p>
        </w:tc>
        <w:tc>
          <w:tcPr>
            <w:tcW w:w="0" w:type="auto"/>
            <w:noWrap w:val="0"/>
            <w:vAlign w:val="center"/>
          </w:tcPr>
          <w:p w14:paraId="71A6BFA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新能源汽车动力总成VR实训系统</w:t>
            </w:r>
          </w:p>
        </w:tc>
        <w:tc>
          <w:tcPr>
            <w:tcW w:w="0" w:type="auto"/>
            <w:noWrap w:val="0"/>
            <w:vAlign w:val="center"/>
          </w:tcPr>
          <w:p w14:paraId="00B9565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2B08CB8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7E1518C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1.基本要求</w:t>
            </w:r>
          </w:p>
          <w:p w14:paraId="4936B30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新能源汽车动力总成VR实训系统（需提供相关软件著作权证书）是一款利用虚拟现实（VR）技术来提供交互式学习体验的教学系统；以国产主流新能源汽车动力总成为对象，1:1真实建模；把驱动电机的结构、原理进行类似真实的展示，用户还可以从各个不同的角度进行观察，极大地提高学生学习的兴趣；</w:t>
            </w:r>
          </w:p>
          <w:p w14:paraId="37FAAF7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在软件的操作过程中，用户可以自由地对零部件进行360°旋转、拖动、缩放等操作，以便从不同角度、不同距离灵活观察新能源汽车动力系统及零部件的细节；所有模型均支持放大缩小功能，满足用户细致入微的学习需求；</w:t>
            </w:r>
          </w:p>
          <w:p w14:paraId="18116B5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软件需支持在桌面式VR相关设备上运行，带来全新的真实的交互操作体验；让学生仿佛置身于真实的环境和操作场景中；有助于激发学生的学习兴趣，使他们更加深入地理解和掌握知识，为未来的职业生涯奠定坚实的基础；</w:t>
            </w:r>
          </w:p>
          <w:p w14:paraId="7CD5845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2.内容要求</w:t>
            </w:r>
          </w:p>
          <w:p w14:paraId="783B0C4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（1）涵盖驱动电机和动力电池两大系统；</w:t>
            </w:r>
          </w:p>
          <w:p w14:paraId="60651BF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（2）驱动电机模块（需提供完整功能截图）</w:t>
            </w:r>
          </w:p>
          <w:p w14:paraId="766F236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1）电机驱动系统部分，需包含整体布置和整体结构；</w:t>
            </w:r>
          </w:p>
          <w:p w14:paraId="1495A7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2）电磁基础知识部分，需包含磁力、铁磁材料、磁效应、磁场强度、电磁感应和安培力；</w:t>
            </w:r>
          </w:p>
          <w:p w14:paraId="0F760F4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3）直流电动机部分，需包含总体结构、工作原理和励磁方式；</w:t>
            </w:r>
          </w:p>
          <w:p w14:paraId="2EE9408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4）交流感应电动机部分，需包含总体结构、旋转磁场和工作原理；</w:t>
            </w:r>
          </w:p>
          <w:p w14:paraId="5671302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5）永磁同步电机部分，需包含总体结构、旋转变压器和工作原理；</w:t>
            </w:r>
          </w:p>
          <w:p w14:paraId="0FA16A9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6）开关磁阻电机部分，需包含总体结构和工作原理；</w:t>
            </w:r>
          </w:p>
          <w:p w14:paraId="7ACDA4F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7）电机控制器部分，需包含总体结构和工作原理；</w:t>
            </w:r>
          </w:p>
          <w:p w14:paraId="3F066F7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（3）动力电池模块</w:t>
            </w:r>
          </w:p>
          <w:p w14:paraId="6016860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1）结构认知部分，需包含整体介绍、整体结构、蓄电池组和高压维修开关；</w:t>
            </w:r>
          </w:p>
          <w:p w14:paraId="14D8229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2）动力电池术语部分，需包含电压、容量、能量、内阻、放电制度和荷电状态；</w:t>
            </w:r>
          </w:p>
          <w:p w14:paraId="6BD726F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3）锂离子电池部分，需包含整体结构、正极结构、正极材料、负极、安全阀、工作原理；</w:t>
            </w:r>
          </w:p>
          <w:p w14:paraId="0BB0721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4）其他储能装置部分，需包含铅酸蓄电池结构、铅酸蓄电池原理、镍氢蓄电池结构、镍氢蓄电池原理、超级电容结构、超级电容原理、燃料电池结构和燃料电池原理；</w:t>
            </w:r>
          </w:p>
          <w:p w14:paraId="7755762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5）蓄电池管理系统部分，需包含结构功能、电流传感器和高压预充电阻；</w:t>
            </w:r>
          </w:p>
          <w:p w14:paraId="5187393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3.界面功能要求</w:t>
            </w:r>
          </w:p>
          <w:p w14:paraId="28618FC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左侧为驱动电机的结构展示列表，点击一级菜单，下拉展开二级菜单；点击右上角“主页”图标，可以返回首页；右侧文本框内显示展出模型的文字描述；右下角为该结构的第三级菜单；部分模型提供爆炸效果图和3D动画演示，所有模型都支持360°旋转和拖拽；</w:t>
            </w:r>
          </w:p>
          <w:p w14:paraId="5983874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（2）在模型爆炸效果中，鼠标移入部件，会显示该部件的名称标签，并且在左上角出现该部件的文字描述；点击“还原”按钮，模型回到初始化状态；</w:t>
            </w:r>
          </w:p>
          <w:p w14:paraId="5FE04EA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（3）点击“互动学习”按钮，进入针对该模型的练习；用户根据题目提示答题，点击“提交”按钮可以查看答题是否正确，若错误，则提供正确答案；</w:t>
            </w:r>
          </w:p>
        </w:tc>
      </w:tr>
      <w:tr w14:paraId="406A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noWrap w:val="0"/>
            <w:vAlign w:val="center"/>
          </w:tcPr>
          <w:p w14:paraId="4E14D6A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8</w:t>
            </w:r>
          </w:p>
        </w:tc>
        <w:tc>
          <w:tcPr>
            <w:tcW w:w="0" w:type="auto"/>
            <w:shd w:val="clear" w:color="auto" w:fill="auto"/>
            <w:noWrap w:val="0"/>
            <w:vAlign w:val="center"/>
          </w:tcPr>
          <w:p w14:paraId="614E09C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高压万用表</w:t>
            </w:r>
          </w:p>
        </w:tc>
        <w:tc>
          <w:tcPr>
            <w:tcW w:w="0" w:type="auto"/>
            <w:shd w:val="clear" w:color="auto" w:fill="auto"/>
            <w:noWrap w:val="0"/>
            <w:vAlign w:val="center"/>
          </w:tcPr>
          <w:p w14:paraId="75DE23C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w:t>
            </w:r>
          </w:p>
        </w:tc>
        <w:tc>
          <w:tcPr>
            <w:tcW w:w="0" w:type="auto"/>
            <w:shd w:val="clear" w:color="auto" w:fill="auto"/>
            <w:noWrap w:val="0"/>
            <w:vAlign w:val="center"/>
          </w:tcPr>
          <w:p w14:paraId="3C6B20B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0" w:type="auto"/>
            <w:shd w:val="clear" w:color="auto" w:fill="FFFFFF"/>
            <w:noWrap w:val="0"/>
            <w:vAlign w:val="top"/>
          </w:tcPr>
          <w:p w14:paraId="5E2CC97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1.显示读数：最大5999；</w:t>
            </w:r>
          </w:p>
          <w:p w14:paraId="387B0E2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2.具备自动量程功能；</w:t>
            </w:r>
          </w:p>
          <w:p w14:paraId="3ACA7D2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3.直流电压量程±基本精度：6V±（0.5%+3）、60V±（0.5%+3）、600V±（0.5%+3）、1000V±（0.8%+3）；（需提供具有CNAS认证的检测机构出具的校准证书的扫描件或复印件并加盖公章）</w:t>
            </w:r>
          </w:p>
          <w:p w14:paraId="5CA5DD0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4.交流电压量程±基本精度：6V±（0.5%+3）、60V±（0.5%+3）、600V±（0.5%+3）、700V±（1.2%+3）；</w:t>
            </w:r>
          </w:p>
          <w:p w14:paraId="1817749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5.直流电流量程±基本精度：20A±（2%+5）；</w:t>
            </w:r>
          </w:p>
          <w:p w14:paraId="4E5CFA6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6.交流电流量程±基本精度：20A±（2%+5）；</w:t>
            </w:r>
          </w:p>
          <w:p w14:paraId="1602195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7.电阻量程±基本精度：600Ω±（0.8%+3）、6kΩ±（0.8%+2）、60kΩ±（0.8%+2）、600kΩ±（0.8%+2）、6MΩ±（0.8%+2）、60MΩ±（1%+5）；</w:t>
            </w:r>
          </w:p>
          <w:p w14:paraId="55F1224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8.电容量程±基本精度：6nF±（5%+3）、60nF±（5%+3）、600nF±（3%+3）、6uF±（3%+3）、60uF±（3%+3）、600uF±（3%+3）、6mF±（5%+3）、60mF±（5%+3）、100mF±（5%+3）；</w:t>
            </w:r>
          </w:p>
          <w:p w14:paraId="3DFB066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9.频率量程±基本精度：6Hz～10MHz±（0.5%+3）；</w:t>
            </w:r>
          </w:p>
          <w:p w14:paraId="2024FEF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10.占空比量程±基本精度：0～100.0%±（1.2%+2）；</w:t>
            </w:r>
          </w:p>
          <w:p w14:paraId="2DE1079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11.闭合角量程±基本精度：0-180.0°±（1.2%+2）、0-90.0°±（1.2%+2）、0-60.0°±（1.2%+2）、0-45.0°±（1.2%+2）；</w:t>
            </w:r>
          </w:p>
          <w:p w14:paraId="45A6B30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12.转速量程±基本精度：500～15000转/分±（1.2%+2）；</w:t>
            </w:r>
          </w:p>
          <w:p w14:paraId="0088246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13.具备液晶显示屏幕；</w:t>
            </w:r>
          </w:p>
        </w:tc>
      </w:tr>
      <w:tr w14:paraId="7EAD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noWrap w:val="0"/>
            <w:vAlign w:val="center"/>
          </w:tcPr>
          <w:p w14:paraId="6144100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9</w:t>
            </w:r>
          </w:p>
        </w:tc>
        <w:tc>
          <w:tcPr>
            <w:tcW w:w="0" w:type="auto"/>
            <w:shd w:val="clear" w:color="auto" w:fill="auto"/>
            <w:noWrap w:val="0"/>
            <w:vAlign w:val="center"/>
          </w:tcPr>
          <w:p w14:paraId="2B4AA0F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钳流表</w:t>
            </w:r>
          </w:p>
        </w:tc>
        <w:tc>
          <w:tcPr>
            <w:tcW w:w="0" w:type="auto"/>
            <w:shd w:val="clear" w:color="auto" w:fill="auto"/>
            <w:noWrap w:val="0"/>
            <w:vAlign w:val="center"/>
          </w:tcPr>
          <w:p w14:paraId="50E0A90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shd w:val="clear" w:color="auto" w:fill="auto"/>
            <w:noWrap w:val="0"/>
            <w:vAlign w:val="center"/>
          </w:tcPr>
          <w:p w14:paraId="23E654A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0" w:type="auto"/>
            <w:shd w:val="clear" w:color="auto" w:fill="FFFFFF"/>
            <w:noWrap w:val="0"/>
            <w:vAlign w:val="top"/>
          </w:tcPr>
          <w:p w14:paraId="5348639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1.钳流表可用来测量直流电压和交流电压、直流电流和交流电流、电阻、电容等参数；</w:t>
            </w:r>
          </w:p>
          <w:p w14:paraId="2AE07C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2.测量电流范围：600uA～1000A；</w:t>
            </w:r>
          </w:p>
          <w:p w14:paraId="595366F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3.测量电压范围：600mV～1000V；</w:t>
            </w:r>
          </w:p>
          <w:p w14:paraId="40A799B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4.测量电阻范围：600Ω/6KΩ/60KΩ/600KΩ/6MΩ/60MΩ；</w:t>
            </w:r>
          </w:p>
          <w:p w14:paraId="3913174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5.测量电容范围：60nF/600nF/6uF/60uF/600uF/6000uF；</w:t>
            </w:r>
          </w:p>
          <w:p w14:paraId="67CACF6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6.测量频率范围：10Hz/100Hz/1kHz/10kHz/100kHz/1MHz/20MHz；</w:t>
            </w:r>
          </w:p>
          <w:p w14:paraId="5980698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7.测量温度范围：-20～1000°C；</w:t>
            </w:r>
          </w:p>
        </w:tc>
      </w:tr>
      <w:tr w14:paraId="5029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42AFF3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10</w:t>
            </w:r>
          </w:p>
        </w:tc>
        <w:tc>
          <w:tcPr>
            <w:tcW w:w="0" w:type="auto"/>
            <w:noWrap w:val="0"/>
            <w:vAlign w:val="center"/>
          </w:tcPr>
          <w:p w14:paraId="467A627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绝缘接地电阻测试装置</w:t>
            </w:r>
          </w:p>
        </w:tc>
        <w:tc>
          <w:tcPr>
            <w:tcW w:w="0" w:type="auto"/>
            <w:noWrap w:val="0"/>
            <w:vAlign w:val="center"/>
          </w:tcPr>
          <w:p w14:paraId="4E17D66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61588B3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0" w:type="auto"/>
            <w:noWrap w:val="0"/>
            <w:vAlign w:val="top"/>
          </w:tcPr>
          <w:p w14:paraId="387E47B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1.该装置是用来测试电网接地线、家庭接线系统、电气应用等方面，也可进行地电压测量；</w:t>
            </w:r>
          </w:p>
          <w:p w14:paraId="4E524F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2.接地电压测量范围：0～200V；</w:t>
            </w:r>
          </w:p>
          <w:p w14:paraId="6629D17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3.接地电阻测量范围：0～19.99Ω、20～199.9Ω、200～1999Ω；</w:t>
            </w:r>
          </w:p>
          <w:p w14:paraId="0C79D0A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4.响应时间：测量接地电阻：≤5秒；</w:t>
            </w:r>
          </w:p>
          <w:p w14:paraId="528C2E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5.测量接地电压：≤2秒；</w:t>
            </w:r>
          </w:p>
          <w:p w14:paraId="5845659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6.耐压：（电线对外壳）1500V AC；1分钟无跳火；</w:t>
            </w:r>
          </w:p>
          <w:p w14:paraId="3506678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7.过载保护：地电阻档：200V AC（10秒）；地电压档：300V AC（30秒）；10分钟无操作自动关机；</w:t>
            </w:r>
          </w:p>
          <w:p w14:paraId="149A69C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8.接地电阻测量时间设定范围：10秒钟-10分钟；</w:t>
            </w:r>
          </w:p>
          <w:p w14:paraId="732E97F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9.供电电源：9V DC；</w:t>
            </w:r>
          </w:p>
        </w:tc>
      </w:tr>
      <w:tr w14:paraId="20D6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3442E9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11</w:t>
            </w:r>
          </w:p>
        </w:tc>
        <w:tc>
          <w:tcPr>
            <w:tcW w:w="0" w:type="auto"/>
            <w:noWrap w:val="0"/>
            <w:vAlign w:val="center"/>
          </w:tcPr>
          <w:p w14:paraId="15CE099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汽车故障诊断设备</w:t>
            </w:r>
          </w:p>
        </w:tc>
        <w:tc>
          <w:tcPr>
            <w:tcW w:w="0" w:type="auto"/>
            <w:noWrap w:val="0"/>
            <w:vAlign w:val="center"/>
          </w:tcPr>
          <w:p w14:paraId="70C2620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44DC29D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2F528A5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1.需支持上万种车型故障诊断，能够诊断燃油车、新能源车、油电混动车，支持无线、蓝牙连接，接口为OBD；</w:t>
            </w:r>
          </w:p>
          <w:p w14:paraId="2F32616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2.尺寸≥310*210*30mm，系统≥安卓10.0，八核处理器；后摄像头≥1300万像素；</w:t>
            </w:r>
          </w:p>
          <w:p w14:paraId="3E4B0C4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3.需支持原厂级全系统诊断，支持版本信息读取、读码、清码、数据流读取、动作测试；</w:t>
            </w:r>
          </w:p>
          <w:p w14:paraId="6A50E8E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4.具有专业拓扑图，完整展示各ECU通讯网络，快速解决通讯问题；</w:t>
            </w:r>
          </w:p>
          <w:p w14:paraId="3463D05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5.需支持奔驰、宝马、大众、奥迪、捷豹、路虎、现代起亚、日产车型在线编程功能；</w:t>
            </w:r>
          </w:p>
          <w:p w14:paraId="51C40AE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6.需支持40+常用维修保养功能，快修快保，一键无忧；</w:t>
            </w:r>
          </w:p>
        </w:tc>
      </w:tr>
      <w:tr w14:paraId="3C5F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DC7BC7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12</w:t>
            </w:r>
          </w:p>
        </w:tc>
        <w:tc>
          <w:tcPr>
            <w:tcW w:w="0" w:type="auto"/>
            <w:noWrap w:val="0"/>
            <w:vAlign w:val="center"/>
          </w:tcPr>
          <w:p w14:paraId="10F8F02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汽车钣金实训台</w:t>
            </w:r>
          </w:p>
        </w:tc>
        <w:tc>
          <w:tcPr>
            <w:tcW w:w="0" w:type="auto"/>
            <w:noWrap w:val="0"/>
            <w:vAlign w:val="center"/>
          </w:tcPr>
          <w:p w14:paraId="12C3A4B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5754DA5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0" w:type="auto"/>
            <w:noWrap w:val="0"/>
            <w:vAlign w:val="center"/>
          </w:tcPr>
          <w:p w14:paraId="20FF498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一、基本要求</w:t>
            </w:r>
          </w:p>
          <w:p w14:paraId="2293D95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汽车钣金实训台可以同时供多个学生进行实训学习；可以同时进行钢制车身模拟焊接、车身无痕修复、钢板焊接、门板修复、手工制作、板件分离、钻孔分离、钢板切割、钢板打磨、板件更换、钣喷一体门板制作、钣喷一体门板循环实训等钣金基础技能实训；</w:t>
            </w:r>
          </w:p>
          <w:p w14:paraId="0CC700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二、配置功能要求</w:t>
            </w:r>
          </w:p>
          <w:p w14:paraId="334CB23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门板修复实训工位：要求配套两套车身修复实训装置，两套钣金实训专用门板夹具及固定螺杆，具备损伤门板的定位和夹持功能；门板修复实训工位要求配备门板损伤机和手动折弯机；实训台可以满足两个学生同时进行门板加工制作和门板修复实训；</w:t>
            </w:r>
          </w:p>
          <w:p w14:paraId="7DAB3B4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2.钢板连接工位：配备两套金属连接实训装置，支架要求具有在不同位置实施实训操作的功能，配有两个隔离光线的实训操作箱；</w:t>
            </w:r>
          </w:p>
          <w:p w14:paraId="0B9C536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手工制作和板件更换的工位：手工制作工位要求满足钣金展开、放样、下料、折边、弯曲、放边、收边、制筋等手工成型技术的实训；板件更换工位要求满足学生通过焊接等操作成型仿车身结构件，对自己制作的仿车身结构件进行分离和更换的操作练习；</w:t>
            </w:r>
          </w:p>
          <w:p w14:paraId="2A2FE6A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4.配备抽排系统，用于将有害气体经焊接抽排机净化后排放（需提供具有CNAS认证的检测机构出具的检测报告的扫描件或复印件并加盖公章）。</w:t>
            </w:r>
          </w:p>
          <w:p w14:paraId="719F12C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需包含汽车门板修复教学资源，该资源内容需为真实操作人员在汽车钣金实训台上的操作讲解，且内容需包含：穿戴防护用品、损伤门板的制作、门板修复损伤评估、损伤门板修复之敲击修整、损伤门板修复之缩火作业、损伤门板精修、门板修复完工检查；（需提供资源截图）</w:t>
            </w:r>
          </w:p>
          <w:p w14:paraId="4245537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需包含钢板连接教学资源，该资源内容需为真实操作人员在汽车钣金实训台上的操作讲解，且内容需包含：佩戴防护用品、焊接材料的分解、焊接底板制作、焊接面板制作、定位固定、塞焊、三块板连续对接焊、搭接焊、钢板焊接完工检查；（需提供资源截图）</w:t>
            </w:r>
          </w:p>
          <w:p w14:paraId="7112A2D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需包含手工制作盆形件教学资源，该资源内容需为真实操作人员在汽车钣金实训台上的操作讲解，且内容需包含：佩戴实训防护用品、根据实物和盆形件制作图展开放样、制筋线的敲击、制筋线敲击延展、正方形制筋修整、折弯线的敲击、手工折弯、折弯边修整、盆形件制作完工检查；（需提供资源截图）</w:t>
            </w:r>
          </w:p>
          <w:p w14:paraId="1D405B4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三、产品技术要求</w:t>
            </w:r>
          </w:p>
          <w:p w14:paraId="57FA9C9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1.外形尺寸：≥1800×1200×1800mm（长×宽×高）；</w:t>
            </w:r>
          </w:p>
          <w:p w14:paraId="2C3455B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2.输入电源：AC380V±10%（三相四线）50Hz；额定输入电流：60A；额定功率：10kW；</w:t>
            </w:r>
          </w:p>
          <w:p w14:paraId="2679C91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3.实训台工作台面板采用不锈钢材质制作，实训台的各部件可以分解拆装；</w:t>
            </w:r>
          </w:p>
          <w:p w14:paraId="1BC5B57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4.额定质量约：300kg；</w:t>
            </w:r>
          </w:p>
          <w:p w14:paraId="07F9D6C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5.配置清单，需不少于如下内容：</w:t>
            </w:r>
          </w:p>
          <w:tbl>
            <w:tblPr>
              <w:tblStyle w:val="26"/>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289"/>
              <w:gridCol w:w="3287"/>
              <w:gridCol w:w="1276"/>
              <w:gridCol w:w="1300"/>
            </w:tblGrid>
            <w:tr w14:paraId="7D2379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901" w:type="pct"/>
                  <w:tcBorders>
                    <w:top w:val="single" w:color="auto" w:sz="8" w:space="0"/>
                    <w:bottom w:val="single" w:color="auto" w:sz="6" w:space="0"/>
                  </w:tcBorders>
                  <w:noWrap w:val="0"/>
                  <w:vAlign w:val="center"/>
                </w:tcPr>
                <w:p w14:paraId="222C4CE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序号</w:t>
                  </w:r>
                </w:p>
              </w:tc>
              <w:tc>
                <w:tcPr>
                  <w:tcW w:w="2297" w:type="pct"/>
                  <w:tcBorders>
                    <w:top w:val="single" w:color="auto" w:sz="8" w:space="0"/>
                    <w:bottom w:val="single" w:color="auto" w:sz="6" w:space="0"/>
                  </w:tcBorders>
                  <w:noWrap w:val="0"/>
                  <w:vAlign w:val="center"/>
                </w:tcPr>
                <w:p w14:paraId="3DE325E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工具名称</w:t>
                  </w:r>
                </w:p>
              </w:tc>
              <w:tc>
                <w:tcPr>
                  <w:tcW w:w="892" w:type="pct"/>
                  <w:tcBorders>
                    <w:top w:val="single" w:color="auto" w:sz="8" w:space="0"/>
                    <w:bottom w:val="single" w:color="auto" w:sz="6" w:space="0"/>
                  </w:tcBorders>
                  <w:noWrap w:val="0"/>
                  <w:vAlign w:val="center"/>
                </w:tcPr>
                <w:p w14:paraId="7B9EF5A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单位</w:t>
                  </w:r>
                </w:p>
              </w:tc>
              <w:tc>
                <w:tcPr>
                  <w:tcW w:w="908" w:type="pct"/>
                  <w:tcBorders>
                    <w:top w:val="single" w:color="auto" w:sz="8" w:space="0"/>
                    <w:bottom w:val="single" w:color="auto" w:sz="6" w:space="0"/>
                  </w:tcBorders>
                  <w:noWrap w:val="0"/>
                  <w:vAlign w:val="center"/>
                </w:tcPr>
                <w:p w14:paraId="431E394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数量</w:t>
                  </w:r>
                </w:p>
              </w:tc>
            </w:tr>
            <w:tr w14:paraId="3E1B3E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97" w:hRule="atLeast"/>
                <w:jc w:val="center"/>
              </w:trPr>
              <w:tc>
                <w:tcPr>
                  <w:tcW w:w="901" w:type="pct"/>
                  <w:tcBorders>
                    <w:top w:val="single" w:color="auto" w:sz="6" w:space="0"/>
                  </w:tcBorders>
                  <w:noWrap w:val="0"/>
                  <w:vAlign w:val="center"/>
                </w:tcPr>
                <w:p w14:paraId="2EB296C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2297" w:type="pct"/>
                  <w:tcBorders>
                    <w:top w:val="single" w:color="auto" w:sz="6" w:space="0"/>
                  </w:tcBorders>
                  <w:noWrap w:val="0"/>
                  <w:vAlign w:val="center"/>
                </w:tcPr>
                <w:p w14:paraId="7F1D6DF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钣金工作台</w:t>
                  </w:r>
                </w:p>
              </w:tc>
              <w:tc>
                <w:tcPr>
                  <w:tcW w:w="892" w:type="pct"/>
                  <w:tcBorders>
                    <w:top w:val="single" w:color="auto" w:sz="6" w:space="0"/>
                  </w:tcBorders>
                  <w:noWrap w:val="0"/>
                  <w:vAlign w:val="center"/>
                </w:tcPr>
                <w:p w14:paraId="4944211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tcBorders>
                    <w:top w:val="single" w:color="auto" w:sz="6" w:space="0"/>
                  </w:tcBorders>
                  <w:noWrap w:val="0"/>
                  <w:vAlign w:val="center"/>
                </w:tcPr>
                <w:p w14:paraId="4C29298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5058D18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46" w:hRule="atLeast"/>
                <w:jc w:val="center"/>
              </w:trPr>
              <w:tc>
                <w:tcPr>
                  <w:tcW w:w="901" w:type="pct"/>
                  <w:noWrap w:val="0"/>
                  <w:vAlign w:val="center"/>
                </w:tcPr>
                <w:p w14:paraId="5E6D4E7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c>
                <w:tcPr>
                  <w:tcW w:w="2297" w:type="pct"/>
                  <w:noWrap w:val="0"/>
                  <w:vAlign w:val="center"/>
                </w:tcPr>
                <w:p w14:paraId="138E855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保护装置</w:t>
                  </w:r>
                </w:p>
              </w:tc>
              <w:tc>
                <w:tcPr>
                  <w:tcW w:w="892" w:type="pct"/>
                  <w:noWrap w:val="0"/>
                  <w:vAlign w:val="center"/>
                </w:tcPr>
                <w:p w14:paraId="4442799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1717625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2F1903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901" w:type="pct"/>
                  <w:noWrap w:val="0"/>
                  <w:vAlign w:val="center"/>
                </w:tcPr>
                <w:p w14:paraId="403F77F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w:t>
                  </w:r>
                </w:p>
              </w:tc>
              <w:tc>
                <w:tcPr>
                  <w:tcW w:w="2297" w:type="pct"/>
                  <w:noWrap w:val="0"/>
                  <w:vAlign w:val="center"/>
                </w:tcPr>
                <w:p w14:paraId="1C8B7C8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螺旋形气管</w:t>
                  </w:r>
                </w:p>
              </w:tc>
              <w:tc>
                <w:tcPr>
                  <w:tcW w:w="892" w:type="pct"/>
                  <w:noWrap w:val="0"/>
                  <w:vAlign w:val="center"/>
                </w:tcPr>
                <w:p w14:paraId="27CFCD8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条</w:t>
                  </w:r>
                </w:p>
              </w:tc>
              <w:tc>
                <w:tcPr>
                  <w:tcW w:w="908" w:type="pct"/>
                  <w:noWrap w:val="0"/>
                  <w:vAlign w:val="center"/>
                </w:tcPr>
                <w:p w14:paraId="1322BE7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5258A5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901" w:type="pct"/>
                  <w:noWrap w:val="0"/>
                  <w:vAlign w:val="center"/>
                </w:tcPr>
                <w:p w14:paraId="6873B5C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w:t>
                  </w:r>
                </w:p>
              </w:tc>
              <w:tc>
                <w:tcPr>
                  <w:tcW w:w="2297" w:type="pct"/>
                  <w:noWrap w:val="0"/>
                  <w:vAlign w:val="center"/>
                </w:tcPr>
                <w:p w14:paraId="5B7C376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气路接头组合</w:t>
                  </w:r>
                </w:p>
              </w:tc>
              <w:tc>
                <w:tcPr>
                  <w:tcW w:w="892" w:type="pct"/>
                  <w:noWrap w:val="0"/>
                  <w:vAlign w:val="center"/>
                </w:tcPr>
                <w:p w14:paraId="00D0D92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2E823C3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6</w:t>
                  </w:r>
                </w:p>
              </w:tc>
            </w:tr>
            <w:tr w14:paraId="26406B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901" w:type="pct"/>
                  <w:noWrap w:val="0"/>
                  <w:vAlign w:val="center"/>
                </w:tcPr>
                <w:p w14:paraId="3899527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w:t>
                  </w:r>
                </w:p>
              </w:tc>
              <w:tc>
                <w:tcPr>
                  <w:tcW w:w="2297" w:type="pct"/>
                  <w:noWrap w:val="0"/>
                  <w:vAlign w:val="center"/>
                </w:tcPr>
                <w:p w14:paraId="1920415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手动折弯机</w:t>
                  </w:r>
                </w:p>
              </w:tc>
              <w:tc>
                <w:tcPr>
                  <w:tcW w:w="892" w:type="pct"/>
                  <w:noWrap w:val="0"/>
                  <w:vAlign w:val="center"/>
                </w:tcPr>
                <w:p w14:paraId="1472DDC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55B69D0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3C454F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901" w:type="pct"/>
                  <w:noWrap w:val="0"/>
                  <w:vAlign w:val="center"/>
                </w:tcPr>
                <w:p w14:paraId="4970F1E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6</w:t>
                  </w:r>
                </w:p>
              </w:tc>
              <w:tc>
                <w:tcPr>
                  <w:tcW w:w="2297" w:type="pct"/>
                  <w:noWrap w:val="0"/>
                  <w:vAlign w:val="center"/>
                </w:tcPr>
                <w:p w14:paraId="1ED5D70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损伤制作装置</w:t>
                  </w:r>
                </w:p>
              </w:tc>
              <w:tc>
                <w:tcPr>
                  <w:tcW w:w="892" w:type="pct"/>
                  <w:noWrap w:val="0"/>
                  <w:vAlign w:val="center"/>
                </w:tcPr>
                <w:p w14:paraId="07B67E1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1503999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435636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31" w:hRule="atLeast"/>
                <w:jc w:val="center"/>
              </w:trPr>
              <w:tc>
                <w:tcPr>
                  <w:tcW w:w="901" w:type="pct"/>
                  <w:noWrap w:val="0"/>
                  <w:vAlign w:val="center"/>
                </w:tcPr>
                <w:p w14:paraId="37181FE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7</w:t>
                  </w:r>
                </w:p>
              </w:tc>
              <w:tc>
                <w:tcPr>
                  <w:tcW w:w="2297" w:type="pct"/>
                  <w:noWrap w:val="0"/>
                  <w:vAlign w:val="center"/>
                </w:tcPr>
                <w:p w14:paraId="02F684E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门板夹具固定架</w:t>
                  </w:r>
                </w:p>
              </w:tc>
              <w:tc>
                <w:tcPr>
                  <w:tcW w:w="892" w:type="pct"/>
                  <w:noWrap w:val="0"/>
                  <w:vAlign w:val="center"/>
                </w:tcPr>
                <w:p w14:paraId="416E230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71F545E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39D1134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31" w:hRule="atLeast"/>
                <w:jc w:val="center"/>
              </w:trPr>
              <w:tc>
                <w:tcPr>
                  <w:tcW w:w="901" w:type="pct"/>
                  <w:noWrap w:val="0"/>
                  <w:vAlign w:val="center"/>
                </w:tcPr>
                <w:p w14:paraId="42709DD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8</w:t>
                  </w:r>
                </w:p>
              </w:tc>
              <w:tc>
                <w:tcPr>
                  <w:tcW w:w="2297" w:type="pct"/>
                  <w:noWrap w:val="0"/>
                  <w:vAlign w:val="center"/>
                </w:tcPr>
                <w:p w14:paraId="352BAC1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门板夹持装具</w:t>
                  </w:r>
                </w:p>
              </w:tc>
              <w:tc>
                <w:tcPr>
                  <w:tcW w:w="892" w:type="pct"/>
                  <w:noWrap w:val="0"/>
                  <w:vAlign w:val="center"/>
                </w:tcPr>
                <w:p w14:paraId="200A47A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58A8FCE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3C7949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21" w:hRule="atLeast"/>
                <w:jc w:val="center"/>
              </w:trPr>
              <w:tc>
                <w:tcPr>
                  <w:tcW w:w="901" w:type="pct"/>
                  <w:noWrap w:val="0"/>
                  <w:vAlign w:val="center"/>
                </w:tcPr>
                <w:p w14:paraId="7555E92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9</w:t>
                  </w:r>
                </w:p>
              </w:tc>
              <w:tc>
                <w:tcPr>
                  <w:tcW w:w="2297" w:type="pct"/>
                  <w:noWrap w:val="0"/>
                  <w:vAlign w:val="center"/>
                </w:tcPr>
                <w:p w14:paraId="04EFCA6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台虎钳</w:t>
                  </w:r>
                </w:p>
              </w:tc>
              <w:tc>
                <w:tcPr>
                  <w:tcW w:w="892" w:type="pct"/>
                  <w:noWrap w:val="0"/>
                  <w:vAlign w:val="center"/>
                </w:tcPr>
                <w:p w14:paraId="4F518B3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28BEBDE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6B126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901" w:type="pct"/>
                  <w:noWrap w:val="0"/>
                  <w:vAlign w:val="center"/>
                </w:tcPr>
                <w:p w14:paraId="69C0338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10</w:t>
                  </w:r>
                </w:p>
              </w:tc>
              <w:tc>
                <w:tcPr>
                  <w:tcW w:w="2297" w:type="pct"/>
                  <w:noWrap w:val="0"/>
                  <w:vAlign w:val="center"/>
                </w:tcPr>
                <w:p w14:paraId="4FE3096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作业箱</w:t>
                  </w:r>
                </w:p>
              </w:tc>
              <w:tc>
                <w:tcPr>
                  <w:tcW w:w="892" w:type="pct"/>
                  <w:noWrap w:val="0"/>
                  <w:vAlign w:val="center"/>
                </w:tcPr>
                <w:p w14:paraId="48BF6B8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78E0BB9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1D6519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901" w:type="pct"/>
                  <w:noWrap w:val="0"/>
                  <w:vAlign w:val="center"/>
                </w:tcPr>
                <w:p w14:paraId="711C136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11</w:t>
                  </w:r>
                </w:p>
              </w:tc>
              <w:tc>
                <w:tcPr>
                  <w:tcW w:w="2297" w:type="pct"/>
                  <w:noWrap w:val="0"/>
                  <w:vAlign w:val="center"/>
                </w:tcPr>
                <w:p w14:paraId="26AB1B4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金属连接实训装置</w:t>
                  </w:r>
                </w:p>
              </w:tc>
              <w:tc>
                <w:tcPr>
                  <w:tcW w:w="892" w:type="pct"/>
                  <w:noWrap w:val="0"/>
                  <w:vAlign w:val="center"/>
                </w:tcPr>
                <w:p w14:paraId="5D1908C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383F612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3F61FE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0" w:hRule="atLeast"/>
                <w:jc w:val="center"/>
              </w:trPr>
              <w:tc>
                <w:tcPr>
                  <w:tcW w:w="901" w:type="pct"/>
                  <w:noWrap w:val="0"/>
                  <w:vAlign w:val="center"/>
                </w:tcPr>
                <w:p w14:paraId="3AE6720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12</w:t>
                  </w:r>
                </w:p>
              </w:tc>
              <w:tc>
                <w:tcPr>
                  <w:tcW w:w="2297" w:type="pct"/>
                  <w:noWrap w:val="0"/>
                  <w:vAlign w:val="center"/>
                </w:tcPr>
                <w:p w14:paraId="4AE7913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减压表</w:t>
                  </w:r>
                </w:p>
              </w:tc>
              <w:tc>
                <w:tcPr>
                  <w:tcW w:w="892" w:type="pct"/>
                  <w:noWrap w:val="0"/>
                  <w:vAlign w:val="center"/>
                </w:tcPr>
                <w:p w14:paraId="66D12CF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2A96BFF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6A7493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901" w:type="pct"/>
                  <w:noWrap w:val="0"/>
                  <w:vAlign w:val="center"/>
                </w:tcPr>
                <w:p w14:paraId="423D20E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13</w:t>
                  </w:r>
                </w:p>
              </w:tc>
              <w:tc>
                <w:tcPr>
                  <w:tcW w:w="2297" w:type="pct"/>
                  <w:noWrap w:val="0"/>
                  <w:vAlign w:val="center"/>
                </w:tcPr>
                <w:p w14:paraId="289D5A7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气瓶保护支架</w:t>
                  </w:r>
                </w:p>
              </w:tc>
              <w:tc>
                <w:tcPr>
                  <w:tcW w:w="892" w:type="pct"/>
                  <w:noWrap w:val="0"/>
                  <w:vAlign w:val="center"/>
                </w:tcPr>
                <w:p w14:paraId="365630A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726AD96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25F2C7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901" w:type="pct"/>
                  <w:noWrap w:val="0"/>
                  <w:vAlign w:val="center"/>
                </w:tcPr>
                <w:p w14:paraId="5A8AE64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14</w:t>
                  </w:r>
                </w:p>
              </w:tc>
              <w:tc>
                <w:tcPr>
                  <w:tcW w:w="2297" w:type="pct"/>
                  <w:noWrap w:val="0"/>
                  <w:vAlign w:val="center"/>
                </w:tcPr>
                <w:p w14:paraId="6590F81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车身修复实训装置</w:t>
                  </w:r>
                </w:p>
              </w:tc>
              <w:tc>
                <w:tcPr>
                  <w:tcW w:w="892" w:type="pct"/>
                  <w:noWrap w:val="0"/>
                  <w:vAlign w:val="center"/>
                </w:tcPr>
                <w:p w14:paraId="60BD880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4EC9652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16E7E1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07" w:hRule="atLeast"/>
                <w:jc w:val="center"/>
              </w:trPr>
              <w:tc>
                <w:tcPr>
                  <w:tcW w:w="901" w:type="pct"/>
                  <w:noWrap w:val="0"/>
                  <w:vAlign w:val="center"/>
                </w:tcPr>
                <w:p w14:paraId="5C668CC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15</w:t>
                  </w:r>
                </w:p>
              </w:tc>
              <w:tc>
                <w:tcPr>
                  <w:tcW w:w="2297" w:type="pct"/>
                  <w:noWrap w:val="0"/>
                  <w:vAlign w:val="center"/>
                </w:tcPr>
                <w:p w14:paraId="49330C8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钣金修复锤</w:t>
                  </w:r>
                </w:p>
              </w:tc>
              <w:tc>
                <w:tcPr>
                  <w:tcW w:w="892" w:type="pct"/>
                  <w:noWrap w:val="0"/>
                  <w:vAlign w:val="center"/>
                </w:tcPr>
                <w:p w14:paraId="4596AA3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BC9596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BFADA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901" w:type="pct"/>
                  <w:noWrap w:val="0"/>
                  <w:vAlign w:val="center"/>
                </w:tcPr>
                <w:p w14:paraId="1A58EB0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16</w:t>
                  </w:r>
                </w:p>
              </w:tc>
              <w:tc>
                <w:tcPr>
                  <w:tcW w:w="2297" w:type="pct"/>
                  <w:noWrap w:val="0"/>
                  <w:vAlign w:val="center"/>
                </w:tcPr>
                <w:p w14:paraId="6E0D7FE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钣金拉伸小锤</w:t>
                  </w:r>
                </w:p>
              </w:tc>
              <w:tc>
                <w:tcPr>
                  <w:tcW w:w="892" w:type="pct"/>
                  <w:noWrap w:val="0"/>
                  <w:vAlign w:val="center"/>
                </w:tcPr>
                <w:p w14:paraId="1E8A187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66CDC99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3AA71D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901" w:type="pct"/>
                  <w:noWrap w:val="0"/>
                  <w:vAlign w:val="center"/>
                </w:tcPr>
                <w:p w14:paraId="4AC08F3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17</w:t>
                  </w:r>
                </w:p>
              </w:tc>
              <w:tc>
                <w:tcPr>
                  <w:tcW w:w="2297" w:type="pct"/>
                  <w:noWrap w:val="0"/>
                  <w:vAlign w:val="center"/>
                </w:tcPr>
                <w:p w14:paraId="0C7C236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损伤制作锤</w:t>
                  </w:r>
                </w:p>
              </w:tc>
              <w:tc>
                <w:tcPr>
                  <w:tcW w:w="892" w:type="pct"/>
                  <w:noWrap w:val="0"/>
                  <w:vAlign w:val="center"/>
                </w:tcPr>
                <w:p w14:paraId="5A1339C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50469C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124EAB4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901" w:type="pct"/>
                  <w:noWrap w:val="0"/>
                  <w:vAlign w:val="center"/>
                </w:tcPr>
                <w:p w14:paraId="65C681B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18</w:t>
                  </w:r>
                </w:p>
              </w:tc>
              <w:tc>
                <w:tcPr>
                  <w:tcW w:w="2297" w:type="pct"/>
                  <w:noWrap w:val="0"/>
                  <w:vAlign w:val="center"/>
                </w:tcPr>
                <w:p w14:paraId="3E47B6B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手工制作钳工锤</w:t>
                  </w:r>
                </w:p>
              </w:tc>
              <w:tc>
                <w:tcPr>
                  <w:tcW w:w="892" w:type="pct"/>
                  <w:noWrap w:val="0"/>
                  <w:vAlign w:val="center"/>
                </w:tcPr>
                <w:p w14:paraId="5F1595F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2CFCF83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07EEDF1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901" w:type="pct"/>
                  <w:noWrap w:val="0"/>
                  <w:vAlign w:val="center"/>
                </w:tcPr>
                <w:p w14:paraId="7E9B587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19</w:t>
                  </w:r>
                </w:p>
              </w:tc>
              <w:tc>
                <w:tcPr>
                  <w:tcW w:w="2297" w:type="pct"/>
                  <w:noWrap w:val="0"/>
                  <w:vAlign w:val="center"/>
                </w:tcPr>
                <w:p w14:paraId="17DB821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钢直尺300mm</w:t>
                  </w:r>
                </w:p>
              </w:tc>
              <w:tc>
                <w:tcPr>
                  <w:tcW w:w="892" w:type="pct"/>
                  <w:noWrap w:val="0"/>
                  <w:vAlign w:val="center"/>
                </w:tcPr>
                <w:p w14:paraId="0DEE6F8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5CAFD3E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66357B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1" w:hRule="atLeast"/>
                <w:jc w:val="center"/>
              </w:trPr>
              <w:tc>
                <w:tcPr>
                  <w:tcW w:w="901" w:type="pct"/>
                  <w:noWrap w:val="0"/>
                  <w:vAlign w:val="center"/>
                </w:tcPr>
                <w:p w14:paraId="1D9DFF3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20</w:t>
                  </w:r>
                </w:p>
              </w:tc>
              <w:tc>
                <w:tcPr>
                  <w:tcW w:w="2297" w:type="pct"/>
                  <w:noWrap w:val="0"/>
                  <w:vAlign w:val="center"/>
                </w:tcPr>
                <w:p w14:paraId="7670781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气动砂带机</w:t>
                  </w:r>
                </w:p>
              </w:tc>
              <w:tc>
                <w:tcPr>
                  <w:tcW w:w="892" w:type="pct"/>
                  <w:noWrap w:val="0"/>
                  <w:vAlign w:val="center"/>
                </w:tcPr>
                <w:p w14:paraId="6077C18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41C9378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C9B21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0" w:hRule="atLeast"/>
                <w:jc w:val="center"/>
              </w:trPr>
              <w:tc>
                <w:tcPr>
                  <w:tcW w:w="901" w:type="pct"/>
                  <w:noWrap w:val="0"/>
                  <w:vAlign w:val="center"/>
                </w:tcPr>
                <w:p w14:paraId="1282A31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21</w:t>
                  </w:r>
                </w:p>
              </w:tc>
              <w:tc>
                <w:tcPr>
                  <w:tcW w:w="2297" w:type="pct"/>
                  <w:noWrap w:val="0"/>
                  <w:vAlign w:val="center"/>
                </w:tcPr>
                <w:p w14:paraId="1C67083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吹尘枪</w:t>
                  </w:r>
                </w:p>
              </w:tc>
              <w:tc>
                <w:tcPr>
                  <w:tcW w:w="892" w:type="pct"/>
                  <w:noWrap w:val="0"/>
                  <w:vAlign w:val="center"/>
                </w:tcPr>
                <w:p w14:paraId="2638263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54C4CC2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w:t>
                  </w:r>
                </w:p>
              </w:tc>
            </w:tr>
            <w:tr w14:paraId="2EF9A3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901" w:type="pct"/>
                  <w:noWrap w:val="0"/>
                  <w:vAlign w:val="center"/>
                </w:tcPr>
                <w:p w14:paraId="07A9F19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22</w:t>
                  </w:r>
                </w:p>
              </w:tc>
              <w:tc>
                <w:tcPr>
                  <w:tcW w:w="2297" w:type="pct"/>
                  <w:noWrap w:val="0"/>
                  <w:vAlign w:val="center"/>
                </w:tcPr>
                <w:p w14:paraId="5FB85C9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铁皮大力钳8寸</w:t>
                  </w:r>
                </w:p>
              </w:tc>
              <w:tc>
                <w:tcPr>
                  <w:tcW w:w="892" w:type="pct"/>
                  <w:noWrap w:val="0"/>
                  <w:vAlign w:val="center"/>
                </w:tcPr>
                <w:p w14:paraId="4156ADD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21FC1F2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w:t>
                  </w:r>
                </w:p>
              </w:tc>
            </w:tr>
            <w:tr w14:paraId="183029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2" w:hRule="atLeast"/>
                <w:jc w:val="center"/>
              </w:trPr>
              <w:tc>
                <w:tcPr>
                  <w:tcW w:w="901" w:type="pct"/>
                  <w:noWrap w:val="0"/>
                  <w:vAlign w:val="center"/>
                </w:tcPr>
                <w:p w14:paraId="0602FBB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23</w:t>
                  </w:r>
                </w:p>
              </w:tc>
              <w:tc>
                <w:tcPr>
                  <w:tcW w:w="2297" w:type="pct"/>
                  <w:noWrap w:val="0"/>
                  <w:vAlign w:val="center"/>
                </w:tcPr>
                <w:p w14:paraId="31E5679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C型大力钳11寸</w:t>
                  </w:r>
                </w:p>
              </w:tc>
              <w:tc>
                <w:tcPr>
                  <w:tcW w:w="892" w:type="pct"/>
                  <w:noWrap w:val="0"/>
                  <w:vAlign w:val="center"/>
                </w:tcPr>
                <w:p w14:paraId="328D21A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5CC021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094810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74" w:hRule="atLeast"/>
                <w:jc w:val="center"/>
              </w:trPr>
              <w:tc>
                <w:tcPr>
                  <w:tcW w:w="901" w:type="pct"/>
                  <w:noWrap w:val="0"/>
                  <w:vAlign w:val="center"/>
                </w:tcPr>
                <w:p w14:paraId="126D1D1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24</w:t>
                  </w:r>
                </w:p>
              </w:tc>
              <w:tc>
                <w:tcPr>
                  <w:tcW w:w="2297" w:type="pct"/>
                  <w:noWrap w:val="0"/>
                  <w:vAlign w:val="center"/>
                </w:tcPr>
                <w:p w14:paraId="6AE89A7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斜嘴钳6″</w:t>
                  </w:r>
                </w:p>
              </w:tc>
              <w:tc>
                <w:tcPr>
                  <w:tcW w:w="892" w:type="pct"/>
                  <w:noWrap w:val="0"/>
                  <w:vAlign w:val="center"/>
                </w:tcPr>
                <w:p w14:paraId="69162AC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30172C0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46390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901" w:type="pct"/>
                  <w:noWrap w:val="0"/>
                  <w:vAlign w:val="center"/>
                </w:tcPr>
                <w:p w14:paraId="790DD40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25</w:t>
                  </w:r>
                </w:p>
              </w:tc>
              <w:tc>
                <w:tcPr>
                  <w:tcW w:w="2297" w:type="pct"/>
                  <w:noWrap w:val="0"/>
                  <w:vAlign w:val="center"/>
                </w:tcPr>
                <w:p w14:paraId="55CA75C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单动打磨实训设备</w:t>
                  </w:r>
                </w:p>
              </w:tc>
              <w:tc>
                <w:tcPr>
                  <w:tcW w:w="892" w:type="pct"/>
                  <w:noWrap w:val="0"/>
                  <w:vAlign w:val="center"/>
                </w:tcPr>
                <w:p w14:paraId="5DC2966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9049B1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138D36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8" w:hRule="atLeast"/>
                <w:jc w:val="center"/>
              </w:trPr>
              <w:tc>
                <w:tcPr>
                  <w:tcW w:w="901" w:type="pct"/>
                  <w:noWrap w:val="0"/>
                  <w:vAlign w:val="center"/>
                </w:tcPr>
                <w:p w14:paraId="48E8AC3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26</w:t>
                  </w:r>
                </w:p>
              </w:tc>
              <w:tc>
                <w:tcPr>
                  <w:tcW w:w="2297" w:type="pct"/>
                  <w:noWrap w:val="0"/>
                  <w:vAlign w:val="center"/>
                </w:tcPr>
                <w:p w14:paraId="663D96B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切割打磨实训设备</w:t>
                  </w:r>
                </w:p>
              </w:tc>
              <w:tc>
                <w:tcPr>
                  <w:tcW w:w="892" w:type="pct"/>
                  <w:noWrap w:val="0"/>
                  <w:vAlign w:val="center"/>
                </w:tcPr>
                <w:p w14:paraId="0EB8746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3DD4DFB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0CED53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0DBBE82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27</w:t>
                  </w:r>
                </w:p>
              </w:tc>
              <w:tc>
                <w:tcPr>
                  <w:tcW w:w="2297" w:type="pct"/>
                  <w:noWrap w:val="0"/>
                  <w:vAlign w:val="center"/>
                </w:tcPr>
                <w:p w14:paraId="736E4D8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气动锯</w:t>
                  </w:r>
                </w:p>
              </w:tc>
              <w:tc>
                <w:tcPr>
                  <w:tcW w:w="892" w:type="pct"/>
                  <w:noWrap w:val="0"/>
                  <w:vAlign w:val="center"/>
                </w:tcPr>
                <w:p w14:paraId="35145A9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908" w:type="pct"/>
                  <w:noWrap w:val="0"/>
                  <w:vAlign w:val="center"/>
                </w:tcPr>
                <w:p w14:paraId="45AD920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1EE5C4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901" w:type="pct"/>
                  <w:noWrap w:val="0"/>
                  <w:vAlign w:val="center"/>
                </w:tcPr>
                <w:p w14:paraId="6D58D88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28</w:t>
                  </w:r>
                </w:p>
              </w:tc>
              <w:tc>
                <w:tcPr>
                  <w:tcW w:w="2297" w:type="pct"/>
                  <w:noWrap w:val="0"/>
                  <w:vAlign w:val="center"/>
                </w:tcPr>
                <w:p w14:paraId="5124DA6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正逆转气钻</w:t>
                  </w:r>
                </w:p>
              </w:tc>
              <w:tc>
                <w:tcPr>
                  <w:tcW w:w="892" w:type="pct"/>
                  <w:noWrap w:val="0"/>
                  <w:vAlign w:val="center"/>
                </w:tcPr>
                <w:p w14:paraId="60C1117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2638E91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5A38B4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8" w:hRule="atLeast"/>
                <w:jc w:val="center"/>
              </w:trPr>
              <w:tc>
                <w:tcPr>
                  <w:tcW w:w="901" w:type="pct"/>
                  <w:noWrap w:val="0"/>
                  <w:vAlign w:val="center"/>
                </w:tcPr>
                <w:p w14:paraId="6F5542F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29</w:t>
                  </w:r>
                </w:p>
              </w:tc>
              <w:tc>
                <w:tcPr>
                  <w:tcW w:w="2297" w:type="pct"/>
                  <w:noWrap w:val="0"/>
                  <w:vAlign w:val="center"/>
                </w:tcPr>
                <w:p w14:paraId="742F665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合金头划针</w:t>
                  </w:r>
                </w:p>
              </w:tc>
              <w:tc>
                <w:tcPr>
                  <w:tcW w:w="892" w:type="pct"/>
                  <w:noWrap w:val="0"/>
                  <w:vAlign w:val="center"/>
                </w:tcPr>
                <w:p w14:paraId="5A7AB90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支</w:t>
                  </w:r>
                </w:p>
              </w:tc>
              <w:tc>
                <w:tcPr>
                  <w:tcW w:w="908" w:type="pct"/>
                  <w:noWrap w:val="0"/>
                  <w:vAlign w:val="center"/>
                </w:tcPr>
                <w:p w14:paraId="37AE170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2EC5C26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7D59385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30</w:t>
                  </w:r>
                </w:p>
              </w:tc>
              <w:tc>
                <w:tcPr>
                  <w:tcW w:w="2297" w:type="pct"/>
                  <w:noWrap w:val="0"/>
                  <w:vAlign w:val="center"/>
                </w:tcPr>
                <w:p w14:paraId="4DD24DE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半圆锉</w:t>
                  </w:r>
                </w:p>
              </w:tc>
              <w:tc>
                <w:tcPr>
                  <w:tcW w:w="892" w:type="pct"/>
                  <w:noWrap w:val="0"/>
                  <w:vAlign w:val="center"/>
                </w:tcPr>
                <w:p w14:paraId="152D3BD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2E7A281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3708BD8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38C4508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31</w:t>
                  </w:r>
                </w:p>
              </w:tc>
              <w:tc>
                <w:tcPr>
                  <w:tcW w:w="2297" w:type="pct"/>
                  <w:noWrap w:val="0"/>
                  <w:vAlign w:val="center"/>
                </w:tcPr>
                <w:p w14:paraId="1FEC446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圆锉</w:t>
                  </w:r>
                </w:p>
              </w:tc>
              <w:tc>
                <w:tcPr>
                  <w:tcW w:w="892" w:type="pct"/>
                  <w:noWrap w:val="0"/>
                  <w:vAlign w:val="center"/>
                </w:tcPr>
                <w:p w14:paraId="7F20456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0B35EF3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5EE5FF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0" w:hRule="atLeast"/>
                <w:jc w:val="center"/>
              </w:trPr>
              <w:tc>
                <w:tcPr>
                  <w:tcW w:w="901" w:type="pct"/>
                  <w:noWrap w:val="0"/>
                  <w:vAlign w:val="center"/>
                </w:tcPr>
                <w:p w14:paraId="74307BD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32</w:t>
                  </w:r>
                </w:p>
              </w:tc>
              <w:tc>
                <w:tcPr>
                  <w:tcW w:w="2297" w:type="pct"/>
                  <w:noWrap w:val="0"/>
                  <w:vAlign w:val="center"/>
                </w:tcPr>
                <w:p w14:paraId="6D9A794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线錾子</w:t>
                  </w:r>
                </w:p>
              </w:tc>
              <w:tc>
                <w:tcPr>
                  <w:tcW w:w="892" w:type="pct"/>
                  <w:noWrap w:val="0"/>
                  <w:vAlign w:val="center"/>
                </w:tcPr>
                <w:p w14:paraId="1572533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04033B6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2F3585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901" w:type="pct"/>
                  <w:noWrap w:val="0"/>
                  <w:vAlign w:val="center"/>
                </w:tcPr>
                <w:p w14:paraId="507F6AB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33</w:t>
                  </w:r>
                </w:p>
              </w:tc>
              <w:tc>
                <w:tcPr>
                  <w:tcW w:w="2297" w:type="pct"/>
                  <w:noWrap w:val="0"/>
                  <w:vAlign w:val="center"/>
                </w:tcPr>
                <w:p w14:paraId="7CE7B97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錾子</w:t>
                  </w:r>
                </w:p>
              </w:tc>
              <w:tc>
                <w:tcPr>
                  <w:tcW w:w="892" w:type="pct"/>
                  <w:noWrap w:val="0"/>
                  <w:vAlign w:val="center"/>
                </w:tcPr>
                <w:p w14:paraId="089BCFF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761ACE3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0A62ECD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901" w:type="pct"/>
                  <w:noWrap w:val="0"/>
                  <w:vAlign w:val="center"/>
                </w:tcPr>
                <w:p w14:paraId="165A99C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34</w:t>
                  </w:r>
                </w:p>
              </w:tc>
              <w:tc>
                <w:tcPr>
                  <w:tcW w:w="2297" w:type="pct"/>
                  <w:noWrap w:val="0"/>
                  <w:vAlign w:val="center"/>
                </w:tcPr>
                <w:p w14:paraId="34072E4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铁皮剪</w:t>
                  </w:r>
                </w:p>
              </w:tc>
              <w:tc>
                <w:tcPr>
                  <w:tcW w:w="892" w:type="pct"/>
                  <w:noWrap w:val="0"/>
                  <w:vAlign w:val="center"/>
                </w:tcPr>
                <w:p w14:paraId="07B0A94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2A8D3B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503919C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59D47A7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35</w:t>
                  </w:r>
                </w:p>
              </w:tc>
              <w:tc>
                <w:tcPr>
                  <w:tcW w:w="2297" w:type="pct"/>
                  <w:noWrap w:val="0"/>
                  <w:vAlign w:val="center"/>
                </w:tcPr>
                <w:p w14:paraId="3C5C2CE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直角钢板尺</w:t>
                  </w:r>
                </w:p>
              </w:tc>
              <w:tc>
                <w:tcPr>
                  <w:tcW w:w="892" w:type="pct"/>
                  <w:noWrap w:val="0"/>
                  <w:vAlign w:val="center"/>
                </w:tcPr>
                <w:p w14:paraId="2C9B2DD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5CC0506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4DEEEF8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6" w:hRule="atLeast"/>
                <w:jc w:val="center"/>
              </w:trPr>
              <w:tc>
                <w:tcPr>
                  <w:tcW w:w="901" w:type="pct"/>
                  <w:noWrap w:val="0"/>
                  <w:vAlign w:val="center"/>
                </w:tcPr>
                <w:p w14:paraId="03C47DD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36</w:t>
                  </w:r>
                </w:p>
              </w:tc>
              <w:tc>
                <w:tcPr>
                  <w:tcW w:w="2297" w:type="pct"/>
                  <w:noWrap w:val="0"/>
                  <w:vAlign w:val="center"/>
                </w:tcPr>
                <w:p w14:paraId="503B42F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活动扳手</w:t>
                  </w:r>
                </w:p>
              </w:tc>
              <w:tc>
                <w:tcPr>
                  <w:tcW w:w="892" w:type="pct"/>
                  <w:noWrap w:val="0"/>
                  <w:vAlign w:val="center"/>
                </w:tcPr>
                <w:p w14:paraId="3209E00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74F5901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2656491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8" w:hRule="atLeast"/>
                <w:jc w:val="center"/>
              </w:trPr>
              <w:tc>
                <w:tcPr>
                  <w:tcW w:w="901" w:type="pct"/>
                  <w:noWrap w:val="0"/>
                  <w:vAlign w:val="center"/>
                </w:tcPr>
                <w:p w14:paraId="2B76C11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37</w:t>
                  </w:r>
                </w:p>
              </w:tc>
              <w:tc>
                <w:tcPr>
                  <w:tcW w:w="2297" w:type="pct"/>
                  <w:noWrap w:val="0"/>
                  <w:vAlign w:val="center"/>
                </w:tcPr>
                <w:p w14:paraId="4AEE4A7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直角弧形垫铁</w:t>
                  </w:r>
                </w:p>
              </w:tc>
              <w:tc>
                <w:tcPr>
                  <w:tcW w:w="892" w:type="pct"/>
                  <w:noWrap w:val="0"/>
                  <w:vAlign w:val="center"/>
                </w:tcPr>
                <w:p w14:paraId="105840C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块</w:t>
                  </w:r>
                </w:p>
              </w:tc>
              <w:tc>
                <w:tcPr>
                  <w:tcW w:w="908" w:type="pct"/>
                  <w:noWrap w:val="0"/>
                  <w:vAlign w:val="center"/>
                </w:tcPr>
                <w:p w14:paraId="20DF638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667AB3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5" w:hRule="atLeast"/>
                <w:jc w:val="center"/>
              </w:trPr>
              <w:tc>
                <w:tcPr>
                  <w:tcW w:w="901" w:type="pct"/>
                  <w:noWrap w:val="0"/>
                  <w:vAlign w:val="center"/>
                </w:tcPr>
                <w:p w14:paraId="1A7BE87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38</w:t>
                  </w:r>
                </w:p>
              </w:tc>
              <w:tc>
                <w:tcPr>
                  <w:tcW w:w="2297" w:type="pct"/>
                  <w:noWrap w:val="0"/>
                  <w:vAlign w:val="center"/>
                </w:tcPr>
                <w:p w14:paraId="1E0422D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修复工具盒</w:t>
                  </w:r>
                </w:p>
              </w:tc>
              <w:tc>
                <w:tcPr>
                  <w:tcW w:w="892" w:type="pct"/>
                  <w:noWrap w:val="0"/>
                  <w:vAlign w:val="center"/>
                </w:tcPr>
                <w:p w14:paraId="2FC1A36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5357B6A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71346D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8" w:hRule="atLeast"/>
                <w:jc w:val="center"/>
              </w:trPr>
              <w:tc>
                <w:tcPr>
                  <w:tcW w:w="901" w:type="pct"/>
                  <w:noWrap w:val="0"/>
                  <w:vAlign w:val="center"/>
                </w:tcPr>
                <w:p w14:paraId="132B0C6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39</w:t>
                  </w:r>
                </w:p>
              </w:tc>
              <w:tc>
                <w:tcPr>
                  <w:tcW w:w="2297" w:type="pct"/>
                  <w:noWrap w:val="0"/>
                  <w:vAlign w:val="center"/>
                </w:tcPr>
                <w:p w14:paraId="7C161EF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自动感光面罩</w:t>
                  </w:r>
                </w:p>
              </w:tc>
              <w:tc>
                <w:tcPr>
                  <w:tcW w:w="892" w:type="pct"/>
                  <w:noWrap w:val="0"/>
                  <w:vAlign w:val="center"/>
                </w:tcPr>
                <w:p w14:paraId="0DEB4BE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50A87CB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2FA1B9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710282C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40</w:t>
                  </w:r>
                </w:p>
              </w:tc>
              <w:tc>
                <w:tcPr>
                  <w:tcW w:w="2297" w:type="pct"/>
                  <w:noWrap w:val="0"/>
                  <w:vAlign w:val="center"/>
                </w:tcPr>
                <w:p w14:paraId="39B1246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手套</w:t>
                  </w:r>
                </w:p>
              </w:tc>
              <w:tc>
                <w:tcPr>
                  <w:tcW w:w="892" w:type="pct"/>
                  <w:noWrap w:val="0"/>
                  <w:vAlign w:val="center"/>
                </w:tcPr>
                <w:p w14:paraId="297DA86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副</w:t>
                  </w:r>
                </w:p>
              </w:tc>
              <w:tc>
                <w:tcPr>
                  <w:tcW w:w="908" w:type="pct"/>
                  <w:noWrap w:val="0"/>
                  <w:vAlign w:val="center"/>
                </w:tcPr>
                <w:p w14:paraId="03BC3B8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20</w:t>
                  </w:r>
                </w:p>
              </w:tc>
            </w:tr>
            <w:tr w14:paraId="135DB7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47194E1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41</w:t>
                  </w:r>
                </w:p>
              </w:tc>
              <w:tc>
                <w:tcPr>
                  <w:tcW w:w="2297" w:type="pct"/>
                  <w:noWrap w:val="0"/>
                  <w:vAlign w:val="center"/>
                </w:tcPr>
                <w:p w14:paraId="1B5FE42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门板横向卡板</w:t>
                  </w:r>
                </w:p>
              </w:tc>
              <w:tc>
                <w:tcPr>
                  <w:tcW w:w="892" w:type="pct"/>
                  <w:noWrap w:val="0"/>
                  <w:vAlign w:val="center"/>
                </w:tcPr>
                <w:p w14:paraId="5F700EF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67C8C32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2AF8A64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0011D52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42</w:t>
                  </w:r>
                </w:p>
              </w:tc>
              <w:tc>
                <w:tcPr>
                  <w:tcW w:w="2297" w:type="pct"/>
                  <w:noWrap w:val="0"/>
                  <w:vAlign w:val="center"/>
                </w:tcPr>
                <w:p w14:paraId="777165A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门板竖向卡板</w:t>
                  </w:r>
                </w:p>
              </w:tc>
              <w:tc>
                <w:tcPr>
                  <w:tcW w:w="892" w:type="pct"/>
                  <w:noWrap w:val="0"/>
                  <w:vAlign w:val="center"/>
                </w:tcPr>
                <w:p w14:paraId="4E18470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0310326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37106B0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901" w:type="pct"/>
                  <w:noWrap w:val="0"/>
                  <w:vAlign w:val="center"/>
                </w:tcPr>
                <w:p w14:paraId="2518E79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43</w:t>
                  </w:r>
                </w:p>
              </w:tc>
              <w:tc>
                <w:tcPr>
                  <w:tcW w:w="2297" w:type="pct"/>
                  <w:noWrap w:val="0"/>
                  <w:vAlign w:val="center"/>
                </w:tcPr>
                <w:p w14:paraId="18E4ADC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划线圆规</w:t>
                  </w:r>
                </w:p>
              </w:tc>
              <w:tc>
                <w:tcPr>
                  <w:tcW w:w="892" w:type="pct"/>
                  <w:noWrap w:val="0"/>
                  <w:vAlign w:val="center"/>
                </w:tcPr>
                <w:p w14:paraId="3EDF250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把</w:t>
                  </w:r>
                </w:p>
              </w:tc>
              <w:tc>
                <w:tcPr>
                  <w:tcW w:w="908" w:type="pct"/>
                  <w:noWrap w:val="0"/>
                  <w:vAlign w:val="center"/>
                </w:tcPr>
                <w:p w14:paraId="4393D97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68BA407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4B9B533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44</w:t>
                  </w:r>
                </w:p>
              </w:tc>
              <w:tc>
                <w:tcPr>
                  <w:tcW w:w="2297" w:type="pct"/>
                  <w:noWrap w:val="0"/>
                  <w:vAlign w:val="center"/>
                </w:tcPr>
                <w:p w14:paraId="4C308A3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带式砂带</w:t>
                  </w:r>
                </w:p>
              </w:tc>
              <w:tc>
                <w:tcPr>
                  <w:tcW w:w="892" w:type="pct"/>
                  <w:noWrap w:val="0"/>
                  <w:vAlign w:val="center"/>
                </w:tcPr>
                <w:p w14:paraId="7BCE117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条</w:t>
                  </w:r>
                </w:p>
              </w:tc>
              <w:tc>
                <w:tcPr>
                  <w:tcW w:w="908" w:type="pct"/>
                  <w:noWrap w:val="0"/>
                  <w:vAlign w:val="center"/>
                </w:tcPr>
                <w:p w14:paraId="2A7594C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w:t>
                  </w:r>
                </w:p>
              </w:tc>
            </w:tr>
            <w:tr w14:paraId="4DF061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2F4933F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45</w:t>
                  </w:r>
                </w:p>
              </w:tc>
              <w:tc>
                <w:tcPr>
                  <w:tcW w:w="2297" w:type="pct"/>
                  <w:noWrap w:val="0"/>
                  <w:vAlign w:val="center"/>
                </w:tcPr>
                <w:p w14:paraId="73200FE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圆盘砂布</w:t>
                  </w:r>
                </w:p>
              </w:tc>
              <w:tc>
                <w:tcPr>
                  <w:tcW w:w="892" w:type="pct"/>
                  <w:noWrap w:val="0"/>
                  <w:vAlign w:val="center"/>
                </w:tcPr>
                <w:p w14:paraId="5A2CB78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张</w:t>
                  </w:r>
                </w:p>
              </w:tc>
              <w:tc>
                <w:tcPr>
                  <w:tcW w:w="908" w:type="pct"/>
                  <w:noWrap w:val="0"/>
                  <w:vAlign w:val="center"/>
                </w:tcPr>
                <w:p w14:paraId="17FC8D5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w:t>
                  </w:r>
                </w:p>
              </w:tc>
            </w:tr>
            <w:tr w14:paraId="488899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1F06942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46</w:t>
                  </w:r>
                </w:p>
              </w:tc>
              <w:tc>
                <w:tcPr>
                  <w:tcW w:w="2297" w:type="pct"/>
                  <w:noWrap w:val="0"/>
                  <w:vAlign w:val="center"/>
                </w:tcPr>
                <w:p w14:paraId="4CDE767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防护眼镜</w:t>
                  </w:r>
                </w:p>
              </w:tc>
              <w:tc>
                <w:tcPr>
                  <w:tcW w:w="892" w:type="pct"/>
                  <w:noWrap w:val="0"/>
                  <w:vAlign w:val="center"/>
                </w:tcPr>
                <w:p w14:paraId="485D599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副</w:t>
                  </w:r>
                </w:p>
              </w:tc>
              <w:tc>
                <w:tcPr>
                  <w:tcW w:w="908" w:type="pct"/>
                  <w:noWrap w:val="0"/>
                  <w:vAlign w:val="center"/>
                </w:tcPr>
                <w:p w14:paraId="0BF1619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10</w:t>
                  </w:r>
                </w:p>
              </w:tc>
            </w:tr>
            <w:tr w14:paraId="51DA766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7E9EC8C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47</w:t>
                  </w:r>
                </w:p>
              </w:tc>
              <w:tc>
                <w:tcPr>
                  <w:tcW w:w="2297" w:type="pct"/>
                  <w:noWrap w:val="0"/>
                  <w:vAlign w:val="center"/>
                </w:tcPr>
                <w:p w14:paraId="20FFB7D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风管套管</w:t>
                  </w:r>
                </w:p>
              </w:tc>
              <w:tc>
                <w:tcPr>
                  <w:tcW w:w="892" w:type="pct"/>
                  <w:noWrap w:val="0"/>
                  <w:vAlign w:val="center"/>
                </w:tcPr>
                <w:p w14:paraId="4A45E17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3ABF35E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r>
            <w:tr w14:paraId="4CACBF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04A3615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48</w:t>
                  </w:r>
                </w:p>
              </w:tc>
              <w:tc>
                <w:tcPr>
                  <w:tcW w:w="2297" w:type="pct"/>
                  <w:noWrap w:val="0"/>
                  <w:vAlign w:val="center"/>
                </w:tcPr>
                <w:p w14:paraId="7F92652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高度调节架</w:t>
                  </w:r>
                </w:p>
              </w:tc>
              <w:tc>
                <w:tcPr>
                  <w:tcW w:w="892" w:type="pct"/>
                  <w:noWrap w:val="0"/>
                  <w:vAlign w:val="center"/>
                </w:tcPr>
                <w:p w14:paraId="0484B51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5078056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6ED8ED1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2908D16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49</w:t>
                  </w:r>
                </w:p>
              </w:tc>
              <w:tc>
                <w:tcPr>
                  <w:tcW w:w="2297" w:type="pct"/>
                  <w:noWrap w:val="0"/>
                  <w:vAlign w:val="center"/>
                </w:tcPr>
                <w:p w14:paraId="4C3E935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手工制作平台</w:t>
                  </w:r>
                </w:p>
              </w:tc>
              <w:tc>
                <w:tcPr>
                  <w:tcW w:w="892" w:type="pct"/>
                  <w:noWrap w:val="0"/>
                  <w:vAlign w:val="center"/>
                </w:tcPr>
                <w:p w14:paraId="71EBA23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个</w:t>
                  </w:r>
                </w:p>
              </w:tc>
              <w:tc>
                <w:tcPr>
                  <w:tcW w:w="908" w:type="pct"/>
                  <w:noWrap w:val="0"/>
                  <w:vAlign w:val="center"/>
                </w:tcPr>
                <w:p w14:paraId="7FED4FD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1A53DF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7950A3E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50</w:t>
                  </w:r>
                </w:p>
              </w:tc>
              <w:tc>
                <w:tcPr>
                  <w:tcW w:w="2297" w:type="pct"/>
                  <w:noWrap w:val="0"/>
                  <w:vAlign w:val="center"/>
                </w:tcPr>
                <w:p w14:paraId="2CDB64D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损伤记号笔</w:t>
                  </w:r>
                </w:p>
              </w:tc>
              <w:tc>
                <w:tcPr>
                  <w:tcW w:w="892" w:type="pct"/>
                  <w:noWrap w:val="0"/>
                  <w:vAlign w:val="center"/>
                </w:tcPr>
                <w:p w14:paraId="77C162F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支</w:t>
                  </w:r>
                </w:p>
              </w:tc>
              <w:tc>
                <w:tcPr>
                  <w:tcW w:w="908" w:type="pct"/>
                  <w:noWrap w:val="0"/>
                  <w:vAlign w:val="center"/>
                </w:tcPr>
                <w:p w14:paraId="3A178AA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6A5770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7298392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51</w:t>
                  </w:r>
                </w:p>
              </w:tc>
              <w:tc>
                <w:tcPr>
                  <w:tcW w:w="2297" w:type="pct"/>
                  <w:noWrap w:val="0"/>
                  <w:vAlign w:val="center"/>
                </w:tcPr>
                <w:p w14:paraId="5205A01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砂轮片</w:t>
                  </w:r>
                </w:p>
              </w:tc>
              <w:tc>
                <w:tcPr>
                  <w:tcW w:w="892" w:type="pct"/>
                  <w:noWrap w:val="0"/>
                  <w:vAlign w:val="center"/>
                </w:tcPr>
                <w:p w14:paraId="433BB9B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片</w:t>
                  </w:r>
                </w:p>
              </w:tc>
              <w:tc>
                <w:tcPr>
                  <w:tcW w:w="908" w:type="pct"/>
                  <w:noWrap w:val="0"/>
                  <w:vAlign w:val="center"/>
                </w:tcPr>
                <w:p w14:paraId="502D93DF">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20</w:t>
                  </w:r>
                </w:p>
              </w:tc>
            </w:tr>
            <w:tr w14:paraId="44E6F6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0953022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52</w:t>
                  </w:r>
                </w:p>
              </w:tc>
              <w:tc>
                <w:tcPr>
                  <w:tcW w:w="2297" w:type="pct"/>
                  <w:noWrap w:val="0"/>
                  <w:vAlign w:val="center"/>
                </w:tcPr>
                <w:p w14:paraId="455B6BD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磨光片</w:t>
                  </w:r>
                </w:p>
              </w:tc>
              <w:tc>
                <w:tcPr>
                  <w:tcW w:w="892" w:type="pct"/>
                  <w:noWrap w:val="0"/>
                  <w:vAlign w:val="center"/>
                </w:tcPr>
                <w:p w14:paraId="1590EDF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片</w:t>
                  </w:r>
                </w:p>
              </w:tc>
              <w:tc>
                <w:tcPr>
                  <w:tcW w:w="908" w:type="pct"/>
                  <w:noWrap w:val="0"/>
                  <w:vAlign w:val="center"/>
                </w:tcPr>
                <w:p w14:paraId="1466680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20</w:t>
                  </w:r>
                </w:p>
              </w:tc>
            </w:tr>
            <w:tr w14:paraId="1FC7E9F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0ECDAD7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53</w:t>
                  </w:r>
                </w:p>
              </w:tc>
              <w:tc>
                <w:tcPr>
                  <w:tcW w:w="2297" w:type="pct"/>
                  <w:noWrap w:val="0"/>
                  <w:vAlign w:val="center"/>
                </w:tcPr>
                <w:p w14:paraId="239436C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耳塞</w:t>
                  </w:r>
                </w:p>
              </w:tc>
              <w:tc>
                <w:tcPr>
                  <w:tcW w:w="892" w:type="pct"/>
                  <w:noWrap w:val="0"/>
                  <w:vAlign w:val="center"/>
                </w:tcPr>
                <w:p w14:paraId="3F8D55A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副</w:t>
                  </w:r>
                </w:p>
              </w:tc>
              <w:tc>
                <w:tcPr>
                  <w:tcW w:w="908" w:type="pct"/>
                  <w:noWrap w:val="0"/>
                  <w:vAlign w:val="center"/>
                </w:tcPr>
                <w:p w14:paraId="3B522AD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r w14:paraId="0A96D3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901" w:type="pct"/>
                  <w:noWrap w:val="0"/>
                  <w:vAlign w:val="center"/>
                </w:tcPr>
                <w:p w14:paraId="55B46C3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54</w:t>
                  </w:r>
                </w:p>
              </w:tc>
              <w:tc>
                <w:tcPr>
                  <w:tcW w:w="2297" w:type="pct"/>
                  <w:noWrap w:val="0"/>
                  <w:vAlign w:val="center"/>
                </w:tcPr>
                <w:p w14:paraId="37D3D18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无痕修复套装（三件套）</w:t>
                  </w:r>
                </w:p>
              </w:tc>
              <w:tc>
                <w:tcPr>
                  <w:tcW w:w="892" w:type="pct"/>
                  <w:noWrap w:val="0"/>
                  <w:vAlign w:val="center"/>
                </w:tcPr>
                <w:p w14:paraId="2CA0680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w:t>
                  </w:r>
                </w:p>
              </w:tc>
              <w:tc>
                <w:tcPr>
                  <w:tcW w:w="908" w:type="pct"/>
                  <w:noWrap w:val="0"/>
                  <w:vAlign w:val="center"/>
                </w:tcPr>
                <w:p w14:paraId="195CD21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r>
          </w:tbl>
          <w:p w14:paraId="1FC2E59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四、配套钣喷中心教学资源（需提供相关软件著作权证书），主要包含以下内容：</w:t>
            </w:r>
          </w:p>
          <w:p w14:paraId="61762DD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1.钣金维修模块：</w:t>
            </w:r>
          </w:p>
          <w:p w14:paraId="77C9BCB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（1）初级模块</w:t>
            </w:r>
          </w:p>
          <w:p w14:paraId="2CB0BDD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1）钣金必备基础知识</w:t>
            </w:r>
          </w:p>
          <w:p w14:paraId="3E8E86F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2）钣金制作的基本工艺</w:t>
            </w:r>
          </w:p>
          <w:p w14:paraId="75E1547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3）钣金工常用工具简介</w:t>
            </w:r>
          </w:p>
          <w:p w14:paraId="524BC66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4）钣金焊接工艺及设备</w:t>
            </w:r>
          </w:p>
          <w:p w14:paraId="720D05C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5）钣金件焊接工艺</w:t>
            </w:r>
          </w:p>
          <w:p w14:paraId="4680D7D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（2）高级模块</w:t>
            </w:r>
          </w:p>
          <w:p w14:paraId="3DDBEA9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1）项目一任务一车身损伤的目测评估</w:t>
            </w:r>
          </w:p>
          <w:p w14:paraId="74FDC36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2）项目一任务二车身尺寸的测量</w:t>
            </w:r>
          </w:p>
          <w:p w14:paraId="28433D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3）项目二任务一车身矫正设备的使用</w:t>
            </w:r>
          </w:p>
          <w:p w14:paraId="27F5A83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4）项目二任务二车身矫正</w:t>
            </w:r>
          </w:p>
          <w:p w14:paraId="55B1626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5）项目三任务一车身钢制板件的修复</w:t>
            </w:r>
          </w:p>
          <w:p w14:paraId="63AEB94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6）项目三任务二车身铝制板件的修复</w:t>
            </w:r>
          </w:p>
          <w:p w14:paraId="0A14C99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7）项目三任务三车身塑料件的修复</w:t>
            </w:r>
          </w:p>
          <w:p w14:paraId="2BFF64C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8）项目四任务一车身焊接技术概述</w:t>
            </w:r>
          </w:p>
          <w:p w14:paraId="6B157B2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9）项目四任务二惰性气体保护焊</w:t>
            </w:r>
          </w:p>
          <w:p w14:paraId="769CAEC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10）项目四任务三电阻点焊</w:t>
            </w:r>
          </w:p>
          <w:p w14:paraId="39FFF60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11）项目四任务四车身外部板件的更换</w:t>
            </w:r>
          </w:p>
          <w:p w14:paraId="0F48BB8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12）项目四任务五结构性板件的更换</w:t>
            </w:r>
          </w:p>
          <w:p w14:paraId="186E434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13）项目五任务一车门及其附件的维修</w:t>
            </w:r>
          </w:p>
          <w:p w14:paraId="0CAAEA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14）项目五任务二车身玻璃的维修</w:t>
            </w:r>
          </w:p>
          <w:p w14:paraId="41BFBC4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15）项目五任务三乘坐室部件的维修</w:t>
            </w:r>
          </w:p>
          <w:p w14:paraId="7FA008D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2.焊接模块</w:t>
            </w:r>
          </w:p>
          <w:p w14:paraId="1D19130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（1）初级模块</w:t>
            </w:r>
          </w:p>
          <w:p w14:paraId="1BA3D52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1）盆形件展开放样</w:t>
            </w:r>
          </w:p>
          <w:p w14:paraId="25F9B19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2）正方形筋线制作</w:t>
            </w:r>
          </w:p>
          <w:p w14:paraId="167E93B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3）盆形件四边手工直线折弯</w:t>
            </w:r>
          </w:p>
          <w:p w14:paraId="463D86B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4）盆形件制作工具检查</w:t>
            </w:r>
          </w:p>
          <w:p w14:paraId="6400B8A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5）实训5S管理</w:t>
            </w:r>
          </w:p>
          <w:p w14:paraId="794E213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6）手工制作</w:t>
            </w:r>
          </w:p>
          <w:p w14:paraId="6A602BD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7）缺陷点评</w:t>
            </w:r>
          </w:p>
          <w:p w14:paraId="0F4B8A1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（2）中级模块</w:t>
            </w:r>
          </w:p>
          <w:p w14:paraId="7F78EBE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1）焊接准备</w:t>
            </w:r>
          </w:p>
          <w:p w14:paraId="592303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2）焊接面板制作</w:t>
            </w:r>
          </w:p>
          <w:p w14:paraId="612B301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3）焊接底板制作</w:t>
            </w:r>
          </w:p>
          <w:p w14:paraId="2301E80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4）完工检查</w:t>
            </w:r>
          </w:p>
          <w:p w14:paraId="7E3133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5）实训5S管理</w:t>
            </w:r>
          </w:p>
          <w:p w14:paraId="2E88316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6）组合焊接</w:t>
            </w:r>
          </w:p>
          <w:p w14:paraId="48D7A7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（3）高级模块</w:t>
            </w:r>
          </w:p>
          <w:p w14:paraId="54C8246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1）损伤门板制作</w:t>
            </w:r>
          </w:p>
          <w:p w14:paraId="69B9C2F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2）损伤门板粗修</w:t>
            </w:r>
          </w:p>
          <w:p w14:paraId="42CD175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3）损伤评估</w:t>
            </w:r>
          </w:p>
          <w:p w14:paraId="12A079E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4）完工检查</w:t>
            </w:r>
          </w:p>
          <w:p w14:paraId="5D995B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5）损伤门板精修</w:t>
            </w:r>
          </w:p>
          <w:p w14:paraId="28CD7D4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6）缺陷点评</w:t>
            </w:r>
          </w:p>
          <w:p w14:paraId="1B67FF5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7）门板修复</w:t>
            </w:r>
          </w:p>
          <w:p w14:paraId="0F18D57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3.美容模块</w:t>
            </w:r>
          </w:p>
          <w:p w14:paraId="4DD9128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1）模块一认识汽车美容</w:t>
            </w:r>
          </w:p>
          <w:p w14:paraId="2CB5D74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2）模块二汽车车表清洗护理</w:t>
            </w:r>
          </w:p>
          <w:p w14:paraId="07A6979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3）模块三汽车内饰美容</w:t>
            </w:r>
          </w:p>
          <w:p w14:paraId="47D266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4）模块四汽车打蜡护理</w:t>
            </w:r>
          </w:p>
          <w:p w14:paraId="21356E8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5）模块五汽车漆面处理</w:t>
            </w:r>
          </w:p>
          <w:p w14:paraId="3EB2FA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6）模块六汽车外装饰</w:t>
            </w:r>
          </w:p>
          <w:p w14:paraId="42917E0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7）模块七汽车内装饰</w:t>
            </w:r>
          </w:p>
          <w:p w14:paraId="0C1B710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4.涂装模块</w:t>
            </w:r>
          </w:p>
          <w:p w14:paraId="06F785A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（1）初级模块</w:t>
            </w:r>
          </w:p>
          <w:p w14:paraId="3B08153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1）项目一安全与防护</w:t>
            </w:r>
          </w:p>
          <w:p w14:paraId="15FADA6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2）项目二设备与材料的认识</w:t>
            </w:r>
          </w:p>
          <w:p w14:paraId="5705FF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3）项目三涂装前的表面预处理</w:t>
            </w:r>
          </w:p>
          <w:p w14:paraId="3AC16E2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4）项目四车身底漆的涂装</w:t>
            </w:r>
          </w:p>
          <w:p w14:paraId="1FB9CD0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5）项目五腻子的刮涂与打磨</w:t>
            </w:r>
          </w:p>
          <w:p w14:paraId="674CB12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6）项目六车身中涂漆层的涂装</w:t>
            </w:r>
          </w:p>
          <w:p w14:paraId="74C5060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7）项目七车身面漆的调色与喷涂</w:t>
            </w:r>
          </w:p>
          <w:p w14:paraId="0253AE0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8）项目八补漆维修案例</w:t>
            </w:r>
          </w:p>
          <w:p w14:paraId="5824D7B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（2）高级模块</w:t>
            </w:r>
          </w:p>
          <w:p w14:paraId="15B556F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1）项目一车用涂装材料</w:t>
            </w:r>
          </w:p>
          <w:p w14:paraId="71775BC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2）项目二喷涂方法及设备的使用</w:t>
            </w:r>
          </w:p>
          <w:p w14:paraId="102286F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3）项目三喷涂前的表面处理</w:t>
            </w:r>
          </w:p>
          <w:p w14:paraId="3DEE0BA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4）项目四汽车车身涂装修理</w:t>
            </w:r>
          </w:p>
          <w:p w14:paraId="48BEB89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5）项目五常见涂料的缺陷及防治</w:t>
            </w:r>
          </w:p>
          <w:p w14:paraId="5904C65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6）项目六涂装安全技术</w:t>
            </w:r>
          </w:p>
        </w:tc>
      </w:tr>
      <w:tr w14:paraId="374C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1F7708E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13</w:t>
            </w:r>
          </w:p>
        </w:tc>
        <w:tc>
          <w:tcPr>
            <w:tcW w:w="0" w:type="auto"/>
            <w:noWrap w:val="0"/>
            <w:vAlign w:val="center"/>
          </w:tcPr>
          <w:p w14:paraId="2E96F7A2">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PLC控制实训教学装置</w:t>
            </w:r>
          </w:p>
        </w:tc>
        <w:tc>
          <w:tcPr>
            <w:tcW w:w="0" w:type="auto"/>
            <w:noWrap w:val="0"/>
            <w:vAlign w:val="center"/>
          </w:tcPr>
          <w:p w14:paraId="591C5C2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0" w:type="auto"/>
            <w:noWrap w:val="0"/>
            <w:vAlign w:val="center"/>
          </w:tcPr>
          <w:p w14:paraId="5C65F4DB">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台</w:t>
            </w:r>
          </w:p>
        </w:tc>
        <w:tc>
          <w:tcPr>
            <w:tcW w:w="0" w:type="auto"/>
            <w:noWrap w:val="0"/>
            <w:vAlign w:val="center"/>
          </w:tcPr>
          <w:p w14:paraId="50094BD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一、基本要求</w:t>
            </w:r>
          </w:p>
          <w:p w14:paraId="5C8E5C3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PLC控制实训教学装置是一款专为职业教育、高等院校电气自动化、机电一体化、工业自动化等相关专业开发的实践教学设备，能够满足PLC基础编程、逻辑控制、工业场景模拟等多种实训教学需求。</w:t>
            </w:r>
          </w:p>
          <w:p w14:paraId="430DEE2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二、总体功能要求</w:t>
            </w:r>
          </w:p>
          <w:p w14:paraId="27AADA6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1.本套系统含教师主站和学生从站实训装置，每套实训装置均由控制屏、实训桌、PLC主机组件、通信模块、变频器、实训模块等组成。</w:t>
            </w:r>
          </w:p>
          <w:p w14:paraId="18D1CF7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2.采用挂件结构，具有开关量、模拟量、变频调速、控制对象、总线通信等单元，能完成逻辑、模拟、过程、运动等的控制实训教学。</w:t>
            </w:r>
          </w:p>
          <w:p w14:paraId="5C04312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3.装置设有电压型和电流型保护模块，各电源输出均有监测及短路保护等功能，各测量仪表均有可靠的保护功能，使用安全可靠，同时控制屏还设有定时器兼报警记录仪，记录实训考核时间及误操作次数；</w:t>
            </w:r>
          </w:p>
          <w:p w14:paraId="5C331AE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三、技术要求</w:t>
            </w:r>
          </w:p>
          <w:p w14:paraId="746233E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1.输入电源：三相四线（或三相五线）～380V±10%  50Hz；</w:t>
            </w:r>
          </w:p>
          <w:p w14:paraId="3DF50CB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2.具有安全保护装置；</w:t>
            </w:r>
          </w:p>
          <w:p w14:paraId="329E791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四、配置及功能要求</w:t>
            </w:r>
          </w:p>
          <w:p w14:paraId="0BD6B11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（一）交流电源控制单元</w:t>
            </w:r>
          </w:p>
          <w:p w14:paraId="3BC9FA5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1.三相四线380V交流电源经空气开关后给装置供电，设有带灯保险丝保护，控制屏的供电由启停开关控制、同时具有漏电告警指示及告警复位；</w:t>
            </w:r>
          </w:p>
          <w:p w14:paraId="42F7A06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2.提供三相四线380V、单相220V电源各一组，由启停开关控制输出，并设有保险丝保护；</w:t>
            </w:r>
          </w:p>
          <w:p w14:paraId="51E7E79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（二）定时器兼报警记录仪</w:t>
            </w:r>
          </w:p>
          <w:p w14:paraId="499505B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1.定时器兼报警记录仪，平时作时钟使用，具有设定时间、定时报警、切断电源等功能；还可自动记录由于接线或操作错误所造成的漏电告警次数；</w:t>
            </w:r>
          </w:p>
          <w:p w14:paraId="2144798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2.具备服务管理器，平时作为时钟使用，具有设定时间、定时报警、切断电源等功能；还可以自动记录由于接线或操作错误所造成的漏电报警、电源短路的总次数，为学生实训技能的考核提供一个统一的标准；</w:t>
            </w:r>
          </w:p>
          <w:p w14:paraId="34590B4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（三）直流电源、直流电压/电流表、逻辑电平输出及指示等</w:t>
            </w:r>
          </w:p>
          <w:p w14:paraId="2B48C9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直流电压：0～10V可调输出；直流电流：0～20mA可调输出；同时设有逻辑电平输出（点动、自锁）、逻辑电平指示、直流24V，信号转换座若干；</w:t>
            </w:r>
          </w:p>
          <w:p w14:paraId="652D72B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（四）主机实训挂箱组件</w:t>
            </w:r>
          </w:p>
          <w:p w14:paraId="2185F42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采用市面常见PLC主机，集成数字量I/O（14路数字量输入/10路数字量输出），集成模拟量2路输入；</w:t>
            </w:r>
          </w:p>
          <w:p w14:paraId="53DC8D2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（五）变频器挂箱</w:t>
            </w:r>
          </w:p>
          <w:p w14:paraId="70CC52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配置V20变频器，功率≥0.37kW，带有RS485通信接口及操作面板，具有线性V/F控制、平方V/F控制；具备过电压、欠电压保护；变频器、电机过热保护；接地故障保护，短路保护等保护功能。变频器所有端子均已引至面板上，系统完全开放，操作者可搭建不同变频调速控制系统，布线设计、线路走向，实现控制功能，更能锻炼操作者的动手能力；</w:t>
            </w:r>
          </w:p>
          <w:p w14:paraId="2914FB8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（六）旋转驱动实训模块</w:t>
            </w:r>
          </w:p>
          <w:p w14:paraId="299BC56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三相380V/180W；转速：≥1400r/min；</w:t>
            </w:r>
          </w:p>
          <w:p w14:paraId="7AB40F94">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rPr>
              <w:t>（七）</w:t>
            </w:r>
            <w:r>
              <w:rPr>
                <w:rFonts w:hint="eastAsia" w:ascii="宋体" w:hAnsi="宋体" w:eastAsia="宋体" w:cs="宋体"/>
                <w:sz w:val="22"/>
                <w:szCs w:val="22"/>
                <w:shd w:val="clear" w:color="auto" w:fill="FFFFFF"/>
              </w:rPr>
              <w:t>PLC-1模块</w:t>
            </w:r>
          </w:p>
          <w:p w14:paraId="13E2D20B">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需支持电机控制、多种液体自动混合控制、自动冲压系统控制、自动售货机控制；</w:t>
            </w:r>
          </w:p>
          <w:p w14:paraId="335112CE">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rPr>
              <w:t>（八）</w:t>
            </w:r>
            <w:r>
              <w:rPr>
                <w:rFonts w:hint="eastAsia" w:ascii="宋体" w:hAnsi="宋体" w:eastAsia="宋体" w:cs="宋体"/>
                <w:sz w:val="22"/>
                <w:szCs w:val="22"/>
                <w:shd w:val="clear" w:color="auto" w:fill="FFFFFF"/>
              </w:rPr>
              <w:t>PLC-2模块</w:t>
            </w:r>
          </w:p>
          <w:p w14:paraId="3D09E5A4">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需支持自动送料装车系统控制、天塔之光控制、交通信号灯自控和手控控制、水塔水位自动控制；</w:t>
            </w:r>
          </w:p>
          <w:p w14:paraId="7205AFEE">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rPr>
              <w:t>（九）</w:t>
            </w:r>
            <w:r>
              <w:rPr>
                <w:rFonts w:hint="eastAsia" w:ascii="宋体" w:hAnsi="宋体" w:eastAsia="宋体" w:cs="宋体"/>
                <w:sz w:val="22"/>
                <w:szCs w:val="22"/>
                <w:shd w:val="clear" w:color="auto" w:fill="FFFFFF"/>
              </w:rPr>
              <w:t>PLC-3模块</w:t>
            </w:r>
          </w:p>
          <w:p w14:paraId="2CA0D605">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需支持电镀系统控制、电梯控制模型、自动洗衣机控制、五相步进电动机控制；</w:t>
            </w:r>
          </w:p>
          <w:p w14:paraId="387136B9">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rPr>
              <w:t>（十）</w:t>
            </w:r>
            <w:r>
              <w:rPr>
                <w:rFonts w:hint="eastAsia" w:ascii="宋体" w:hAnsi="宋体" w:eastAsia="宋体" w:cs="宋体"/>
                <w:sz w:val="22"/>
                <w:szCs w:val="22"/>
                <w:shd w:val="clear" w:color="auto" w:fill="FFFFFF"/>
              </w:rPr>
              <w:t>PLC-4模块</w:t>
            </w:r>
          </w:p>
          <w:p w14:paraId="03F22ED9">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需支持机械手控制、邮件分拣机控制、装配流水线控制、自控轧钢机控制。</w:t>
            </w:r>
          </w:p>
          <w:p w14:paraId="5C97E83F">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rPr>
              <w:t>（十一）</w:t>
            </w:r>
            <w:r>
              <w:rPr>
                <w:rFonts w:hint="eastAsia" w:ascii="宋体" w:hAnsi="宋体" w:eastAsia="宋体" w:cs="宋体"/>
                <w:sz w:val="22"/>
                <w:szCs w:val="22"/>
                <w:shd w:val="clear" w:color="auto" w:fill="FFFFFF"/>
              </w:rPr>
              <w:t>PLC-5模块</w:t>
            </w:r>
          </w:p>
          <w:p w14:paraId="318D72DD">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需支持自控成型机控制、加工中心刀具库控制、抢答器控制、音乐喷泉控制；</w:t>
            </w:r>
          </w:p>
          <w:p w14:paraId="27BC9CF9">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（十二）伺服模块</w:t>
            </w:r>
          </w:p>
          <w:p w14:paraId="6FDEFD39">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采用V90 200W小型伺服驱动器、200W配套电机，电缆等，200—240V单相/三相供电，IP20防护，定位精准；</w:t>
            </w:r>
          </w:p>
          <w:p w14:paraId="2C007C0F">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（十三）实训桌</w:t>
            </w:r>
          </w:p>
          <w:p w14:paraId="21D245D6">
            <w:pPr>
              <w:pageBreakBefore w:val="0"/>
              <w:kinsoku/>
              <w:wordWrap w:val="0"/>
              <w:overflowPunct w:val="0"/>
              <w:topLinePunct w:val="0"/>
              <w:bidi w:val="0"/>
              <w:rPr>
                <w:rFonts w:hint="eastAsia" w:ascii="宋体" w:hAnsi="宋体" w:eastAsia="宋体" w:cs="宋体"/>
                <w:sz w:val="22"/>
                <w:szCs w:val="22"/>
                <w:shd w:val="clear" w:color="auto" w:fill="FFFFFF"/>
              </w:rPr>
            </w:pPr>
            <w:r>
              <w:rPr>
                <w:rFonts w:hint="eastAsia" w:ascii="宋体" w:hAnsi="宋体" w:eastAsia="宋体" w:cs="宋体"/>
                <w:bCs/>
              </w:rPr>
              <w:t>实训桌为铁质双层亚光密纹喷塑结构，桌面为防火、防水、耐磨高密度板；设有带锁抽屉，用于放置工具及资料，下方设有储存柜，用于放置模块和实验导线，造型美观大方；</w:t>
            </w:r>
          </w:p>
        </w:tc>
      </w:tr>
      <w:tr w14:paraId="24AB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814C07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14</w:t>
            </w:r>
          </w:p>
        </w:tc>
        <w:tc>
          <w:tcPr>
            <w:tcW w:w="0" w:type="auto"/>
            <w:noWrap w:val="0"/>
            <w:vAlign w:val="center"/>
          </w:tcPr>
          <w:p w14:paraId="50E0615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精密桌面五轴智能制造实训教学设备</w:t>
            </w:r>
          </w:p>
        </w:tc>
        <w:tc>
          <w:tcPr>
            <w:tcW w:w="524" w:type="dxa"/>
            <w:noWrap w:val="0"/>
            <w:vAlign w:val="center"/>
          </w:tcPr>
          <w:p w14:paraId="2668798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w:t>
            </w:r>
          </w:p>
        </w:tc>
        <w:tc>
          <w:tcPr>
            <w:tcW w:w="524" w:type="dxa"/>
            <w:noWrap w:val="0"/>
            <w:vAlign w:val="center"/>
          </w:tcPr>
          <w:p w14:paraId="13D3E3C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台</w:t>
            </w:r>
          </w:p>
        </w:tc>
        <w:tc>
          <w:tcPr>
            <w:tcW w:w="0" w:type="auto"/>
            <w:noWrap w:val="0"/>
            <w:vAlign w:val="center"/>
          </w:tcPr>
          <w:p w14:paraId="2B7E0EF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一、机械结构</w:t>
            </w:r>
          </w:p>
          <w:p w14:paraId="687317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1.机床床身结构：卧式；（需提供证明材料，证明材料需为机床3D爆炸展示图）</w:t>
            </w:r>
          </w:p>
          <w:p w14:paraId="3F673C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 设备总重：≤140kg；</w:t>
            </w:r>
          </w:p>
          <w:p w14:paraId="2C59F2C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3.设备尺寸（长*宽*高）：≤800mm×620mm×600mm；</w:t>
            </w:r>
          </w:p>
          <w:p w14:paraId="547DD74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 安全防护：机床处于加工状态中，如打开安全防护门，机床立即停止运行；</w:t>
            </w:r>
          </w:p>
          <w:p w14:paraId="3C5E173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5.冷却形式：气冷（主轴中心出气）；</w:t>
            </w:r>
          </w:p>
          <w:p w14:paraId="753123B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二、参数配置</w:t>
            </w:r>
          </w:p>
          <w:p w14:paraId="763BF59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1.整机额定功率：2.2kW；</w:t>
            </w:r>
          </w:p>
          <w:p w14:paraId="60B168C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2.主轴驱动器：工作电压 220V， 额定电流≥11.6A；</w:t>
            </w:r>
          </w:p>
          <w:p w14:paraId="0B50252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3.主轴电机：额定转速≥ 18000RPM，额定转矩≥0.5Nm；</w:t>
            </w:r>
          </w:p>
          <w:p w14:paraId="7190E76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4.X/Y/Z/A轴伺服电机：额定转矩≥0.64Nm，额定转速≥3000RPM；</w:t>
            </w:r>
          </w:p>
          <w:p w14:paraId="652D15F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5.C轴力矩电机：额定转矩≥7.5Nm，额定转速≥133RPM；</w:t>
            </w:r>
          </w:p>
          <w:p w14:paraId="1F8E0C8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6.轴行程：X轴≥150mm、Y轴≥200mm、Z轴≥120mm；</w:t>
            </w:r>
          </w:p>
          <w:p w14:paraId="27A0A8E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7.A轴行程：-30°至110°，摆动角度140°；</w:t>
            </w:r>
          </w:p>
          <w:p w14:paraId="34116C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8.C轴行程：360°，支持连续旋转；</w:t>
            </w:r>
          </w:p>
          <w:p w14:paraId="7DECA5C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9.X/Y/Z轴定位精度：±0.01mm；</w:t>
            </w:r>
          </w:p>
          <w:p w14:paraId="1F59654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10.A/C轴定位精度：±120（弧秒）；</w:t>
            </w:r>
          </w:p>
          <w:p w14:paraId="12BA5FF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11.X/Y/Z轴重复定位精度：±0.008mm；</w:t>
            </w:r>
          </w:p>
          <w:p w14:paraId="2585E1D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12.A/C轴重复定位精度：±40（弧秒）；</w:t>
            </w:r>
          </w:p>
          <w:p w14:paraId="1EC57B7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13.X/Y/Z轴快速移动：≥4000mm/min；</w:t>
            </w:r>
          </w:p>
          <w:p w14:paraId="21CCDAD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14.A/C轴快速移动：A轴≥ 15r/min; C轴≥15r/min；</w:t>
            </w:r>
          </w:p>
          <w:p w14:paraId="0CAA6D5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15.工作台尺寸：≥95mm；</w:t>
            </w:r>
          </w:p>
          <w:p w14:paraId="730AF27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16.工作台承重：≥9kg；</w:t>
            </w:r>
          </w:p>
          <w:p w14:paraId="1E62C1D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17.加工工件最大尺寸：≥95mm×95mm×95mm；</w:t>
            </w:r>
          </w:p>
          <w:p w14:paraId="12A15EA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18.无线测头：全自动测量探头；</w:t>
            </w:r>
          </w:p>
          <w:p w14:paraId="56561A4E">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(1)工作范围：直线无遮挡距离不少于12m；</w:t>
            </w:r>
          </w:p>
          <w:p w14:paraId="4C093940">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(2)传输类型：无线传输；</w:t>
            </w:r>
          </w:p>
          <w:p w14:paraId="737D671B">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(3)开启方式：无线唤醒开启；</w:t>
            </w:r>
          </w:p>
          <w:p w14:paraId="5BC9581A">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(4)接收器/接口：无线接收转TTL、串口；</w:t>
            </w:r>
          </w:p>
          <w:p w14:paraId="187FD97D">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(5)感应方向：±X、±Y、+Z；</w:t>
            </w:r>
          </w:p>
          <w:p w14:paraId="727AEC9D">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(6)单向重复性：≤5.00um；</w:t>
            </w:r>
          </w:p>
          <w:p w14:paraId="522407CF">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(7)测针触发力：XY测力0.20N，Z测力0.90N；</w:t>
            </w:r>
          </w:p>
          <w:p w14:paraId="47FCA919">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(8)测针越程：XY平面±12°，+Z平面6mm；</w:t>
            </w:r>
          </w:p>
          <w:p w14:paraId="1ADD93A4">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(9)环境：IP等级-IP53，储存温度-10℃至+70℃，工作温度+5℃至+50℃；</w:t>
            </w:r>
          </w:p>
          <w:p w14:paraId="631EA80B">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(10)电池类型：3.6V锂亚硫铣氯电池；</w:t>
            </w:r>
          </w:p>
          <w:p w14:paraId="580467A9">
            <w:pPr>
              <w:pageBreakBefore w:val="0"/>
              <w:kinsoku/>
              <w:wordWrap w:val="0"/>
              <w:overflowPunct w:val="0"/>
              <w:topLinePunct w:val="0"/>
              <w:bidi w:val="0"/>
              <w:ind w:left="425" w:hanging="425"/>
              <w:rPr>
                <w:rFonts w:hint="eastAsia" w:ascii="宋体" w:hAnsi="宋体" w:eastAsia="宋体" w:cs="宋体"/>
              </w:rPr>
            </w:pPr>
            <w:r>
              <w:rPr>
                <w:rFonts w:hint="eastAsia" w:ascii="宋体" w:hAnsi="宋体" w:eastAsia="宋体" w:cs="宋体"/>
              </w:rPr>
              <w:t>(11)为更好地保障软硬兼容性，无线测头与设备生产厂家为同品牌或者同企业；（需提供相关证明材料）</w:t>
            </w:r>
          </w:p>
          <w:p w14:paraId="028DDE2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19.标定球：标定精度≤0.015mm；</w:t>
            </w:r>
          </w:p>
          <w:p w14:paraId="6CC91A4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三、数控系统</w:t>
            </w:r>
          </w:p>
          <w:p w14:paraId="45EE6C7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1.软件语言：中文；</w:t>
            </w:r>
          </w:p>
          <w:p w14:paraId="348951E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2.数控系统为五轴数控系统，具备 RTCP控制功能；支持五轴联动、3+2定位加工的加工方式；前瞻段数≥2000段；具备双向螺距补偿、反向间隙补偿与空间误差补偿功能；支持直线、圆弧、NURBS、指数、样条、S形、螺旋渐开线等多种插补；配备后处理配置程序，支持UG、 MC、SURFMILL、POWERMILL、SOLIDWORKS等编程软件G代码文件；</w:t>
            </w:r>
          </w:p>
          <w:p w14:paraId="40D7EAD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3.HMI装置：采用中文操作界面、具有程序后台编辑、文件管理系统、宏程序及子程序、固定循环等功能；为操作方便，HMI装置应该与机床形成整体结构固定在机床上，不可是临时结构或者外接移动结构；</w:t>
            </w:r>
          </w:p>
          <w:p w14:paraId="6FDB054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4.手动控制面板：配备机械手轮、进给倍率选择旋钮、功能模式选择按键、急停按钮，为方便用户手动控制机床，手动控制面板应该与机床形成整体结构固定在机床上，不可是临时结构或者外接移动结构；</w:t>
            </w:r>
          </w:p>
          <w:p w14:paraId="32D028F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5.机械手轮可手动控制机床轴运动，轴选择按钮和转速选择按钮，运动方向控制按钮；</w:t>
            </w:r>
          </w:p>
          <w:p w14:paraId="0910F18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6.功能按键对应 HMI 界面的加工、刀具、程序、系统功能菜单；</w:t>
            </w:r>
          </w:p>
          <w:p w14:paraId="139FF72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 进给倍率，范围 0—120%；</w:t>
            </w:r>
          </w:p>
          <w:p w14:paraId="5E9E2B7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 主轴倍率，范围 50%—120%；</w:t>
            </w:r>
          </w:p>
          <w:p w14:paraId="2A347A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 I/O 控制按钮有照明、刀具松开、刀具夹紧、换刀、吹气、Z 轴归零；</w:t>
            </w:r>
          </w:p>
          <w:p w14:paraId="3B379CE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10.运行轴控制 X、Y、Z、A、C 轴按键以及归零按钮和轴运动行程的正负方向按钮；</w:t>
            </w:r>
          </w:p>
          <w:p w14:paraId="3D313A3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11.将处于急停状态的机床重新恢复可以运动的状态；报警状态下的机床恢复；界面弹窗复位可以关闭；</w:t>
            </w:r>
          </w:p>
          <w:p w14:paraId="5793710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12.刀库系统：隐藏式刀库，容纳不少于6把刀具，具备自动换刀功能，刀杆直径Φ4mm；</w:t>
            </w:r>
          </w:p>
          <w:p w14:paraId="357A7FD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13.对刀方式：自动对刀，机床内装配自动对刀仪，对刀仪精度≤5μm；</w:t>
            </w:r>
          </w:p>
          <w:p w14:paraId="2755B8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14.除了内置存储器外，系统具有外接CF卡和U盘功能，程序可以直接从存储卡中读取，支持批量程序加工；</w:t>
            </w:r>
          </w:p>
          <w:p w14:paraId="3E9A638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 支持高速以太网数据交换；不少于2GB的用户程序断点存储区；支持USB热插拔；</w:t>
            </w:r>
          </w:p>
          <w:p w14:paraId="5DB781F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16. 采用国际标准G代码编程，与各种流行的CAD/CAM自动编程系统兼容；</w:t>
            </w:r>
          </w:p>
          <w:p w14:paraId="126A87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17. 具有直线插补、圆弧插补、极坐标插补、圆柱面插补、螺旋线插补等，支持固定循环、螺纹切削、刀具补偿、用户宏程序、软限位等功能；插补周期为不大于1ms；</w:t>
            </w:r>
          </w:p>
          <w:p w14:paraId="1D44AFE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18. 手摇试切功能：程序正常执行时，可以通过按下自动/手动模式切换按键进行操作模式切换，在手轮试切模式时可以通过摇动手轮控制加工过程；手摇速度控制进给，走加工程序轨迹；手摇正向转动程序正走；方便程序初次运行的程序校验，减少因对刀、程序错误等导致机床碰撞等危险；</w:t>
            </w:r>
          </w:p>
          <w:p w14:paraId="0ADE1D6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19. 总线方式：ethercat总线通讯方式；</w:t>
            </w:r>
          </w:p>
          <w:p w14:paraId="194FF6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20. 数控系统支持网络通讯，开通数控系统联网功能，可实时采集数控系统核心参数；</w:t>
            </w:r>
          </w:p>
          <w:p w14:paraId="2799CF9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21. 数控系统需具备温度传感器热误差补偿功能；</w:t>
            </w:r>
          </w:p>
          <w:p w14:paraId="41BA093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四、数字孪生仿真软件</w:t>
            </w:r>
          </w:p>
          <w:p w14:paraId="1515979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软件通过数字孪生系统构建机床数字模型，结合制造数据和传感数据，实现物理机床和虚拟机床加工过程的实时映射，通过更新物理机床的状态实现加工过程的实时监测控制，虚拟机床结合实际数据，更新仿真加工参数，识别错误并执行相应优化措施；提供离线仿真加工功能、使用户提前将加工程序进行虚拟验证，提前排查程序错误，预防碰撞与其他错误；</w:t>
            </w:r>
          </w:p>
          <w:p w14:paraId="4FC5083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2.程序验证功能模块：可对NC代码的加工刀路进行精确仿真、全面验证及深度分析的能力；基于数字化孪生模型，通过 D-H 参数法建立运动学方程，实现与物理实体完全一致的六自由度运动控制算法；系统采用 RTCP（Rotary Tool Center Point）技术构建五轴联动控制系统，支持以下核心加工能力：</w:t>
            </w:r>
          </w:p>
          <w:p w14:paraId="7234E6A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（1）多轴联动加工技术：基于 NURBS 插补算法的五轴同步运动控制动态刀具中心点控制（TCPM）技术双转台结构运动学解耦（支持 3-5 轴切换）空间线性插补精度≤±0.005mm复杂曲面加工技术：自由曲面高速铣削策略（支持 S 形、叶轮类零件）刀具路径光顺处理（曲率连续优化）切削载荷均衡算法（动态调整进给率）倾斜面加工解决方案：空间角度自动换算（支持 G68.2 坐标旋转）刀具矢量动态补偿（含刀具长度 / 半径补偿）；当虚拟仿真环境中指令出错时，系统将触发报警机制：机床仿真会以视觉呈现，内部呈现出报错地址，操作者可以根据提示修改，修改操作或者NC程序；真实的机床操作环境：机床运动部分、操作面板部分、显示面板部分；系统操作时通过视觉真实反映出真实机床加工环境；（需提供功能截图）</w:t>
            </w:r>
          </w:p>
          <w:p w14:paraId="2F73339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 xml:space="preserve">3.加工过程智能监控系统：实时切削比较模块：基于实体布尔运算的刀具路径验证（精度≤0.01mm）虚拟工件与理论 CAD 模型动态比对（支持 STL格式）切削余量三维色谱分析；过切智能检测系统：刀具轨迹包络体快速算法基于空间八叉树的碰撞检测；异常处理响应系统：实时中断控制； </w:t>
            </w:r>
          </w:p>
          <w:p w14:paraId="25F6958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4.干涉检测与报警响应系统</w:t>
            </w:r>
          </w:p>
          <w:p w14:paraId="28F170F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当系统检测到以下任意异常状态时，将触发报警机制：</w:t>
            </w:r>
          </w:p>
          <w:p w14:paraId="24BE40E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（1）碰撞检测逻辑：空间几何干涉检测（基于八叉树空间划分算法），运动轨迹包络体分析（支持动态刀具路径预测），多刚体约束冲突检测（刀具 / 夹具 / 工件三维空间校验）；报警响应机制：视觉反馈；控制系统响应：立即触发紧急停止（响应时间≤5ms），保持当前 NC 程序状态（可执行 M00 暂停），生成包含以下信息的报警日志：报警代码位置信息：报错位置行号提示，触发部件：STL 模型高亮显示；（需提供功能截图）</w:t>
            </w:r>
          </w:p>
          <w:p w14:paraId="1114B09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5.在碰撞检测方面，系统运用基于八叉树空间剖分的快速碰撞检测算法，结合 GPU 加速技术，实现对刀具、工件、夹具等多刚体间的碰撞预测，检测响应时间达到 10-30ms；一旦触发碰撞风险，系统将立即启动三级预警机制：首先通过可视化界面以红黄色阶高亮显示干涉区域，同时触发蜂鸣报警；随后，控制系统在 5ms 内自动生成包含碰撞位置、时间戳及运动轨迹的诊断报告；最终，通过数字孪生镜像功能，将故障信息实时同步至物理机床，实现预防性维护与加工风险的智能管控；</w:t>
            </w:r>
          </w:p>
          <w:p w14:paraId="1B8BEDC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 虚实同步机床实时仿真： 基于多体系统动力学的机床运动模型，控制系统指令实时解析与运动映射， 三维场景物理引擎驱动（运动延迟 &lt; 10ms），多视角同步观测系统（支持正交 视图 / 透视视图切换），实时仿真软件连接上机床之后会同步五轴运动学参数、机床原点参数、机床刀具数据（类型长度等） 零偏数据（G54-G59）等，并与物理机床同步进行运动加工；</w:t>
            </w:r>
          </w:p>
          <w:p w14:paraId="37D8EF0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 HMI 显示同步系统：实时仿真软件连接机床后，实时坐标显示系统（XYZ 直线轴 / AC 旋转轴动态更新），进给速率 / 主 轴转速数字孪生显示（±1% 精度同步），G/M 代码执行跟踪（高亮显示当前执 行指令行）</w:t>
            </w:r>
          </w:p>
          <w:p w14:paraId="339BBD4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本系统基于数字孪生技术构建，对五轴加工中心的全场景仿真验证；系统具备以下核心功能：碰撞检测与防碰撞系统：基于空间几何约束的实时碰撞检测（精度≤0.01mm），多刚体干涉预测算法（支持所有的部件都能进行碰撞检测），碰撞风险分级预警机制（视觉反馈），碰撞路径停放与分析（含 STL 模型对比）；加工过程验证能力：加工精度预评估（几何偏差≤±0.01mm）；工艺优化功能模块：进给率优化（基于切削负载均衡算法），摆角策略优化（减少非切削时间），系统支持与主流 CAD/CAM 软件无缝对接（如 NX/ProE/CATIA）；构建了CAD/CAM/CNC 全流程数据交互通道，支持以下核心功能：多格式模型导入接口：支持 STL工业标准格式，支持与 Mastercam/UG NX 等主流 CAM 系统的数据交换，可输出符合标准的修正 NC 程序，建立加工过程数字孪生档案；丰富的CAM软件接口，满足不同用户的需求（针对UG、Mastercam、SolidCAM、hyperMILL等多达9款市面上常用的CAM软件）；</w:t>
            </w:r>
          </w:p>
          <w:p w14:paraId="6046336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五、数控系统二次开发功能</w:t>
            </w:r>
          </w:p>
          <w:p w14:paraId="31141DF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1.软件支持在电脑上进行数控铣床编程、操作，程序模拟；</w:t>
            </w:r>
          </w:p>
          <w:p w14:paraId="57446E4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2.软件编辑开发后的代码可直接导出到数控机床上使用；</w:t>
            </w:r>
          </w:p>
          <w:p w14:paraId="3EC2370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3.开放用户宏程序接口，可自己编写对刀，探测等宏程序；</w:t>
            </w:r>
          </w:p>
          <w:p w14:paraId="04F2E9E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4.开放底层速度加速度限制接口，可调参观考察不同轴性能下运动情况；</w:t>
            </w:r>
          </w:p>
          <w:p w14:paraId="7925FC0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六、AI智能编程</w:t>
            </w:r>
          </w:p>
          <w:p w14:paraId="3BDA5BC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 核心要求：需包含五大核心模块（AI工具、AutoCam、机床仿真、文件、刀具管理），覆盖五轴加工全流程，配套辅助功能保障软件正常运行；</w:t>
            </w:r>
          </w:p>
          <w:p w14:paraId="4B414A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 AI工具模块：支持文字/图片生成3D模型、图片编辑，可一键跳转至AutoCam模块，支持模型保存与历史记录查看；</w:t>
            </w:r>
          </w:p>
          <w:p w14:paraId="501D123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 AutoCam模块：支持工程管理、毛坯/材质设置、模型加载编辑，可设置加工工艺、计算刀路、仿真及生成管理G代码；</w:t>
            </w:r>
          </w:p>
          <w:p w14:paraId="315173E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 机床仿真模块：支持G代码离线仿真，具备视角、坐标系等操作功能，可实时呈现仿真过程及加工相关信息；</w:t>
            </w:r>
          </w:p>
          <w:p w14:paraId="5BE3E85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 文件模块：同一Wi-Fi连接条件下，支持软件与五轴加工中心设备文件互传、设备连接管理及文件/传输记录管理；</w:t>
            </w:r>
          </w:p>
          <w:p w14:paraId="4894FC6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 刀具管理模块：支持刀具上传、规格切换、信息显示及编辑，适配各类加工工艺；</w:t>
            </w:r>
          </w:p>
          <w:p w14:paraId="762024D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 辅助功能：支持软件更新、帮助文档下载及基础系统设置（语言、缓存清理等）</w:t>
            </w:r>
          </w:p>
          <w:p w14:paraId="695FE2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七、五轴CNC教学管理系统</w:t>
            </w:r>
          </w:p>
          <w:p w14:paraId="4038CD6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 含五轴CNC加工教学系统后台管理端、CNC加工教学系统软件两大模块，适配教学、比赛、作业管理等场景，实现五轴CNC设备全流程管控；</w:t>
            </w:r>
          </w:p>
          <w:p w14:paraId="57A7B85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 支持管理员、普通用户/学生、战队等多角色权限管控，兼容多台机床实时连接与动态适配；核心功能：</w:t>
            </w:r>
          </w:p>
          <w:p w14:paraId="78CA5BD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（1）设备管理：满足设备全生命周期管理和快速查询需求，实现对五轴 CNC 机床设备的集中管理与状态监控；至少提供 “添加设备” 和 “搜索设备” 两大功能模块，支持多台五轴 CNC 加工教学设备的统一管理与状态实时查看；</w:t>
            </w:r>
          </w:p>
          <w:p w14:paraId="0FFCF3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（2）用户管理：支持教学与比赛场景下的人员分工与权限分配，实现多角色、多类型用户的集中管理；</w:t>
            </w:r>
          </w:p>
          <w:p w14:paraId="75D886A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（3）比赛管理：支持五轴 CNC 加工教学中的比赛组织、设备调度及看板管理，满足比赛全流程管控需求；实现比赛创建、比赛状态管理、比赛用机分配及看板配置等功能；</w:t>
            </w:r>
          </w:p>
          <w:p w14:paraId="5477A9D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（4）作业管理：支持教学场景下学生作业的上传、管理与查看，满足作业教学与审核需求；至少实现学生端作业上传与管理员端作业集中查看、管理等功能；</w:t>
            </w:r>
          </w:p>
          <w:p w14:paraId="44DF4D3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（5）系统配置：支持系统基础参数配置，保障五轴 CNC 加工教学系统稳定运行；可适配教学、比赛等多场景使用需求，实现系统参数灵活调整；</w:t>
            </w:r>
          </w:p>
          <w:p w14:paraId="2EF5167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（6）软件控制台：作为系统核心操作界面，支持五轴 CNC 机床实时监控、程序管理及设备控制；至少包含设备显示导航栏、设备显示视图模块、设备控制功能管理模块三大核心模块，满足设备管控全流程需求；</w:t>
            </w:r>
          </w:p>
          <w:p w14:paraId="35A2D16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（7）机床信息展示区：用于集中展示当前所有已连接机床的关键状态信息，支持管理员实时掌握设备运行情况；至少显示设备编号、登录状态、运行状态及当前程序进度等核心数据；</w:t>
            </w:r>
          </w:p>
          <w:p w14:paraId="3BFDE52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（8）软件看板核心功能：作为系统核心监控模块，支持对设备管理中允许显示的所有五轴 CNC 设备进行集中展示与统一控制，实现教学设备的可视化管理；实时呈现设备运行全貌，便于管理人员快速掌握设备状态；</w:t>
            </w:r>
          </w:p>
          <w:p w14:paraId="4A50F3A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（9）其他要求：界面简洁易操作，系统运行稳定、数据传输实时，提供完善技术支持与售后服务；</w:t>
            </w:r>
          </w:p>
          <w:p w14:paraId="34A1674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八、手持3D光学扫描仪</w:t>
            </w:r>
          </w:p>
          <w:p w14:paraId="71012FB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1.外形尺寸：≥239*66*62mm</w:t>
            </w:r>
          </w:p>
          <w:p w14:paraId="23E17EC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2.多模态扫描模式：满足基于特征的结构光扫描模式并满足交叉线激光扫描模式；</w:t>
            </w:r>
          </w:p>
          <w:p w14:paraId="2BD601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3.基准距：≥350mm</w:t>
            </w:r>
          </w:p>
          <w:p w14:paraId="6E1140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4.有效扫描范围：最大400mmx400mm（单帧）</w:t>
            </w:r>
          </w:p>
          <w:p w14:paraId="5F92B57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5.扫描精度：最高0.05mm</w:t>
            </w:r>
          </w:p>
          <w:p w14:paraId="33A15DB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6.具有深度补光灯，数量≥12个；</w:t>
            </w:r>
          </w:p>
          <w:p w14:paraId="3C4CB20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7.激光光源：7对激光线+1束单线激光；</w:t>
            </w:r>
          </w:p>
          <w:p w14:paraId="33D11F8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8.扫描对象：满足基于特征扫描及标志点扫描方式，满足扫描不同零件的表面效果；</w:t>
            </w:r>
          </w:p>
          <w:p w14:paraId="5696B9B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9.接口类型：USB 3.0</w:t>
            </w:r>
          </w:p>
          <w:p w14:paraId="17C415D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10.配套三维扫描软件</w:t>
            </w:r>
          </w:p>
          <w:p w14:paraId="19C5C03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10.1.扫描点云数据可编辑，实现离群点、点云采样、删除多余点云等，并具有封装功能；</w:t>
            </w:r>
          </w:p>
          <w:p w14:paraId="44CA8B5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10.2.可对扫描的完成的模型进行面积、长度、角度、围长的测量；</w:t>
            </w:r>
          </w:p>
          <w:p w14:paraId="1EF8E6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10.3.可选择预设好的扫描仪配置选项；</w:t>
            </w:r>
          </w:p>
          <w:p w14:paraId="17F5F5E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10.4.可对模型显示的投影方式进行更改，如透视投影，正交投影；</w:t>
            </w:r>
          </w:p>
          <w:p w14:paraId="03E435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10.5.模型根据其具体的材质可以⽤不同颜⾊渲染，使模型展示更加⽣动、逼真；默认材质有四种，也可以个性化定制；</w:t>
            </w:r>
          </w:p>
          <w:p w14:paraId="0899B85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10.6.软件可实现球拟合、圆柱拟合、圆锥拟合、⽅体拟合；</w:t>
            </w:r>
          </w:p>
          <w:p w14:paraId="4F06BC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10.7.软件可实现一键自动补洞，也可实现手动补单个表面小洞；</w:t>
            </w:r>
          </w:p>
          <w:p w14:paraId="60CBC3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10.8.软件可实现在保留模型特征的前提下，通过设定“剩余⽹格百分 ⽐”，简化⽹格曲⾯，减⼩数据量；</w:t>
            </w:r>
          </w:p>
          <w:p w14:paraId="7E7C7BE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10.9.调整模型表⾯光滑平整度以提⾼⽹格的形状质量，使表⾯更加细腻均匀；</w:t>
            </w:r>
          </w:p>
          <w:p w14:paraId="0707FCF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10.10.软件可实现自动检测偏离点云数据集的噪点；通过识别出显著偏离整体数据集的点云，可对该离群点云进⾏“删除/保留”操作；⼀般⽤于优化点云局部区域，去除异常点云以提⾼数据的准确性和稳定性；</w:t>
            </w:r>
          </w:p>
          <w:p w14:paraId="6B95AA6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10.11.可对多个扫描的模型进行对齐及合并；</w:t>
            </w:r>
          </w:p>
          <w:p w14:paraId="3E2C0A9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10.12.可导出XPRO、PIY、ASC、 TXT、STL、OFF、OBJ、MK格式文件；</w:t>
            </w:r>
          </w:p>
          <w:p w14:paraId="00475B3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10.13.输出数据兼容3D打印；</w:t>
            </w:r>
          </w:p>
          <w:p w14:paraId="4084629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九、设备工具箱</w:t>
            </w:r>
          </w:p>
          <w:p w14:paraId="305F0A0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配备专用工具箱，无线测头（含电池）与专业工具将放置在专用工具箱内，清单如下：</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3824"/>
              <w:gridCol w:w="2043"/>
            </w:tblGrid>
            <w:tr w14:paraId="5635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1F447456">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序号</w:t>
                  </w:r>
                </w:p>
              </w:tc>
              <w:tc>
                <w:tcPr>
                  <w:tcW w:w="3855" w:type="dxa"/>
                  <w:shd w:val="clear" w:color="auto" w:fill="auto"/>
                  <w:noWrap w:val="0"/>
                  <w:vAlign w:val="center"/>
                </w:tcPr>
                <w:p w14:paraId="7652F89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物品名称</w:t>
                  </w:r>
                </w:p>
              </w:tc>
              <w:tc>
                <w:tcPr>
                  <w:tcW w:w="2057" w:type="dxa"/>
                  <w:shd w:val="clear" w:color="auto" w:fill="auto"/>
                  <w:noWrap w:val="0"/>
                  <w:vAlign w:val="center"/>
                </w:tcPr>
                <w:p w14:paraId="5EF0D640">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数量</w:t>
                  </w:r>
                </w:p>
              </w:tc>
            </w:tr>
            <w:tr w14:paraId="264A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42FC5B2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w:t>
                  </w:r>
                </w:p>
              </w:tc>
              <w:tc>
                <w:tcPr>
                  <w:tcW w:w="3855" w:type="dxa"/>
                  <w:shd w:val="clear" w:color="auto" w:fill="auto"/>
                  <w:noWrap w:val="0"/>
                  <w:vAlign w:val="center"/>
                </w:tcPr>
                <w:p w14:paraId="4CD12AA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铣刀</w:t>
                  </w:r>
                </w:p>
              </w:tc>
              <w:tc>
                <w:tcPr>
                  <w:tcW w:w="2057" w:type="dxa"/>
                  <w:shd w:val="clear" w:color="auto" w:fill="auto"/>
                  <w:noWrap w:val="0"/>
                  <w:vAlign w:val="center"/>
                </w:tcPr>
                <w:p w14:paraId="1EEBEE4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6把</w:t>
                  </w:r>
                </w:p>
              </w:tc>
            </w:tr>
            <w:tr w14:paraId="31B1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5071E2BD">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w:t>
                  </w:r>
                </w:p>
              </w:tc>
              <w:tc>
                <w:tcPr>
                  <w:tcW w:w="3855" w:type="dxa"/>
                  <w:shd w:val="clear" w:color="auto" w:fill="auto"/>
                  <w:noWrap w:val="0"/>
                  <w:vAlign w:val="center"/>
                </w:tcPr>
                <w:p w14:paraId="44F38E99">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无线测头</w:t>
                  </w:r>
                </w:p>
              </w:tc>
              <w:tc>
                <w:tcPr>
                  <w:tcW w:w="2057" w:type="dxa"/>
                  <w:shd w:val="clear" w:color="auto" w:fill="auto"/>
                  <w:noWrap w:val="0"/>
                  <w:vAlign w:val="center"/>
                </w:tcPr>
                <w:p w14:paraId="762F6D7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1个</w:t>
                  </w:r>
                </w:p>
              </w:tc>
            </w:tr>
            <w:tr w14:paraId="29CE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6EE07D3E">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w:t>
                  </w:r>
                </w:p>
              </w:tc>
              <w:tc>
                <w:tcPr>
                  <w:tcW w:w="3855" w:type="dxa"/>
                  <w:shd w:val="clear" w:color="auto" w:fill="auto"/>
                  <w:noWrap w:val="0"/>
                  <w:vAlign w:val="center"/>
                </w:tcPr>
                <w:p w14:paraId="3C333C37">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内六角扳手</w:t>
                  </w:r>
                </w:p>
              </w:tc>
              <w:tc>
                <w:tcPr>
                  <w:tcW w:w="2057" w:type="dxa"/>
                  <w:shd w:val="clear" w:color="auto" w:fill="auto"/>
                  <w:noWrap w:val="0"/>
                  <w:vAlign w:val="center"/>
                </w:tcPr>
                <w:p w14:paraId="17A51908">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3个</w:t>
                  </w:r>
                </w:p>
              </w:tc>
            </w:tr>
            <w:tr w14:paraId="6E7B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721C93B4">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4</w:t>
                  </w:r>
                </w:p>
              </w:tc>
              <w:tc>
                <w:tcPr>
                  <w:tcW w:w="3855" w:type="dxa"/>
                  <w:shd w:val="clear" w:color="auto" w:fill="auto"/>
                  <w:noWrap w:val="0"/>
                  <w:vAlign w:val="center"/>
                </w:tcPr>
                <w:p w14:paraId="2CC731D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套筒扳手</w:t>
                  </w:r>
                </w:p>
              </w:tc>
              <w:tc>
                <w:tcPr>
                  <w:tcW w:w="2057" w:type="dxa"/>
                  <w:shd w:val="clear" w:color="auto" w:fill="auto"/>
                  <w:noWrap w:val="0"/>
                  <w:vAlign w:val="center"/>
                </w:tcPr>
                <w:p w14:paraId="1A27566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2个</w:t>
                  </w:r>
                </w:p>
              </w:tc>
            </w:tr>
            <w:tr w14:paraId="10C6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06" w:type="dxa"/>
                  <w:shd w:val="clear" w:color="auto" w:fill="auto"/>
                  <w:noWrap w:val="0"/>
                  <w:vAlign w:val="center"/>
                </w:tcPr>
                <w:p w14:paraId="5442BE43">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5</w:t>
                  </w:r>
                </w:p>
              </w:tc>
              <w:tc>
                <w:tcPr>
                  <w:tcW w:w="3855" w:type="dxa"/>
                  <w:shd w:val="clear" w:color="auto" w:fill="auto"/>
                  <w:noWrap w:val="0"/>
                  <w:vAlign w:val="center"/>
                </w:tcPr>
                <w:p w14:paraId="5C1D3301">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清洁毛刷</w:t>
                  </w:r>
                </w:p>
              </w:tc>
              <w:tc>
                <w:tcPr>
                  <w:tcW w:w="2057" w:type="dxa"/>
                  <w:shd w:val="clear" w:color="auto" w:fill="auto"/>
                  <w:noWrap w:val="0"/>
                  <w:vAlign w:val="center"/>
                </w:tcPr>
                <w:p w14:paraId="0AB03F8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1把</w:t>
                  </w:r>
                </w:p>
              </w:tc>
            </w:tr>
            <w:tr w14:paraId="1D36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306" w:type="dxa"/>
                  <w:shd w:val="clear" w:color="auto" w:fill="auto"/>
                  <w:noWrap w:val="0"/>
                  <w:vAlign w:val="center"/>
                </w:tcPr>
                <w:p w14:paraId="185F8E65">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6</w:t>
                  </w:r>
                </w:p>
              </w:tc>
              <w:tc>
                <w:tcPr>
                  <w:tcW w:w="3855" w:type="dxa"/>
                  <w:shd w:val="clear" w:color="auto" w:fill="auto"/>
                  <w:noWrap w:val="0"/>
                  <w:vAlign w:val="center"/>
                </w:tcPr>
                <w:p w14:paraId="6073A62C">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操作说明书</w:t>
                  </w:r>
                </w:p>
              </w:tc>
              <w:tc>
                <w:tcPr>
                  <w:tcW w:w="2057" w:type="dxa"/>
                  <w:shd w:val="clear" w:color="auto" w:fill="auto"/>
                  <w:noWrap w:val="0"/>
                  <w:vAlign w:val="center"/>
                </w:tcPr>
                <w:p w14:paraId="1562988A">
                  <w:pPr>
                    <w:pageBreakBefore w:val="0"/>
                    <w:kinsoku/>
                    <w:wordWrap w:val="0"/>
                    <w:overflowPunct w:val="0"/>
                    <w:topLinePunct w:val="0"/>
                    <w:bidi w:val="0"/>
                    <w:jc w:val="center"/>
                    <w:rPr>
                      <w:rFonts w:hint="eastAsia" w:ascii="宋体" w:hAnsi="宋体" w:eastAsia="宋体" w:cs="宋体"/>
                    </w:rPr>
                  </w:pPr>
                  <w:r>
                    <w:rPr>
                      <w:rFonts w:hint="eastAsia" w:ascii="宋体" w:hAnsi="宋体" w:eastAsia="宋体" w:cs="宋体"/>
                    </w:rPr>
                    <w:t>1本</w:t>
                  </w:r>
                </w:p>
              </w:tc>
            </w:tr>
          </w:tbl>
          <w:p w14:paraId="21DDD2C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十、须提供设备配套教学资源相关方案资料：数字化配套教学资源包包含：电子资源、学习案例视频、课件PPT、训练案例模型资源库等证明材料；</w:t>
            </w:r>
          </w:p>
        </w:tc>
      </w:tr>
    </w:tbl>
    <w:p w14:paraId="11EDDD26">
      <w:pPr>
        <w:pageBreakBefore w:val="0"/>
        <w:kinsoku/>
        <w:wordWrap w:val="0"/>
        <w:overflowPunct w:val="0"/>
        <w:topLinePunct w:val="0"/>
        <w:bidi w:val="0"/>
        <w:spacing w:line="520" w:lineRule="exact"/>
        <w:ind w:firstLine="480" w:firstLineChars="200"/>
        <w:jc w:val="left"/>
        <w:rPr>
          <w:rFonts w:hint="eastAsia" w:ascii="宋体" w:hAnsi="宋体" w:eastAsia="宋体" w:cs="宋体"/>
          <w:b w:val="0"/>
          <w:bCs w:val="0"/>
          <w:color w:val="auto"/>
          <w:sz w:val="24"/>
          <w:lang w:val="en-US" w:eastAsia="zh-CN"/>
        </w:rPr>
      </w:pPr>
    </w:p>
    <w:p w14:paraId="7D3F3E73">
      <w:pPr>
        <w:pageBreakBefore w:val="0"/>
        <w:kinsoku/>
        <w:wordWrap w:val="0"/>
        <w:overflowPunct w:val="0"/>
        <w:topLinePunct w:val="0"/>
        <w:bidi w:val="0"/>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br w:type="page"/>
      </w:r>
    </w:p>
    <w:p w14:paraId="72BA0FE8">
      <w:pPr>
        <w:pageBreakBefore w:val="0"/>
        <w:kinsoku/>
        <w:wordWrap w:val="0"/>
        <w:overflowPunct w:val="0"/>
        <w:topLinePunct w:val="0"/>
        <w:bidi w:val="0"/>
        <w:spacing w:line="520" w:lineRule="exact"/>
        <w:jc w:val="center"/>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二包：</w:t>
      </w:r>
    </w:p>
    <w:tbl>
      <w:tblPr>
        <w:tblStyle w:val="26"/>
        <w:tblW w:w="10158"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358"/>
        <w:gridCol w:w="1267"/>
        <w:gridCol w:w="5952"/>
        <w:gridCol w:w="838"/>
      </w:tblGrid>
      <w:tr w14:paraId="10AF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3" w:type="dxa"/>
            <w:vAlign w:val="center"/>
          </w:tcPr>
          <w:p w14:paraId="19771D1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序号</w:t>
            </w:r>
          </w:p>
        </w:tc>
        <w:tc>
          <w:tcPr>
            <w:tcW w:w="1358" w:type="dxa"/>
            <w:vAlign w:val="center"/>
          </w:tcPr>
          <w:p w14:paraId="4B5F627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专业名称</w:t>
            </w:r>
          </w:p>
        </w:tc>
        <w:tc>
          <w:tcPr>
            <w:tcW w:w="1267" w:type="dxa"/>
            <w:vAlign w:val="center"/>
          </w:tcPr>
          <w:p w14:paraId="09A4E38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服务名称</w:t>
            </w:r>
          </w:p>
        </w:tc>
        <w:tc>
          <w:tcPr>
            <w:tcW w:w="5952" w:type="dxa"/>
            <w:vAlign w:val="center"/>
          </w:tcPr>
          <w:p w14:paraId="15B9DE3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服务要求</w:t>
            </w:r>
          </w:p>
        </w:tc>
        <w:tc>
          <w:tcPr>
            <w:tcW w:w="838" w:type="dxa"/>
            <w:vAlign w:val="center"/>
          </w:tcPr>
          <w:p w14:paraId="168F40A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数量</w:t>
            </w:r>
          </w:p>
        </w:tc>
      </w:tr>
      <w:tr w14:paraId="0E4E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4994A30C">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1</w:t>
            </w:r>
          </w:p>
        </w:tc>
        <w:tc>
          <w:tcPr>
            <w:tcW w:w="1358" w:type="dxa"/>
            <w:vMerge w:val="restart"/>
            <w:vAlign w:val="center"/>
          </w:tcPr>
          <w:p w14:paraId="3BFC1E2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机电技术应用专业</w:t>
            </w:r>
          </w:p>
        </w:tc>
        <w:tc>
          <w:tcPr>
            <w:tcW w:w="1267" w:type="dxa"/>
            <w:vAlign w:val="center"/>
          </w:tcPr>
          <w:p w14:paraId="663FD50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内涵建设咨询、指导服务</w:t>
            </w:r>
          </w:p>
        </w:tc>
        <w:tc>
          <w:tcPr>
            <w:tcW w:w="5952" w:type="dxa"/>
            <w:vAlign w:val="center"/>
          </w:tcPr>
          <w:p w14:paraId="48F0618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lang w:val="en-US" w:eastAsia="zh-CN"/>
              </w:rPr>
              <w:t>一、</w:t>
            </w:r>
            <w:r>
              <w:rPr>
                <w:rFonts w:hint="eastAsia" w:ascii="宋体" w:hAnsi="宋体" w:eastAsia="宋体" w:cs="宋体"/>
              </w:rPr>
              <w:t>建设要求</w:t>
            </w:r>
          </w:p>
          <w:p w14:paraId="48DB2E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以学期为单位，根据学校“山西省省级高技能人才培训基地”建设项目任务书，结合学校日常实际工作，指导学校按照学校制定的任务分解，提供内涵材料的指导、审核、协助归档工作，并责任到人，集合形成《“山西省省级高技能人才培训基地”内涵材料档案》，具体要求如下：</w:t>
            </w:r>
          </w:p>
          <w:p w14:paraId="1B9E1F8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整理材料，规范归档：建立健全实施组织机构，校企双方成立各职能小组，在组织机构上，建立健全自上而下、层层落实的保证组织机构，要求供应商选派职业教育研究团队不定期进驻学校进行指导。项目过程中将定期召开项目推进会、项目总结会，在项目建设过程中建立微信群、形成书面汇报材料、形成汇报机制，掌握实施质量动态，全面控制项目工作质量。建立全员质量意识，确保项目工作顺利进展、按进度完成建设，确保实施质量和效率。</w:t>
            </w:r>
          </w:p>
          <w:p w14:paraId="1C2C16F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2.组建技术团队，到校指导，指导时间从合同签订日贯穿项目省级验收，提供项目全程服务；</w:t>
            </w:r>
          </w:p>
          <w:p w14:paraId="627AFAC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3.选派技术人员按照验收要求，审核教师提交的资料，提出反馈意见，定稿后指导教师规范入档；</w:t>
            </w:r>
          </w:p>
          <w:p w14:paraId="22F3320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lang w:val="en-US" w:eastAsia="zh-CN"/>
              </w:rPr>
              <w:t>二、</w:t>
            </w:r>
            <w:r>
              <w:rPr>
                <w:rFonts w:hint="eastAsia" w:ascii="宋体" w:hAnsi="宋体" w:eastAsia="宋体" w:cs="宋体"/>
              </w:rPr>
              <w:t>建设成果</w:t>
            </w:r>
          </w:p>
          <w:p w14:paraId="59BFFF5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《“山西省省级高技能人才培训基地”-机电技术应用专业内涵材料档案》1套，包括：</w:t>
            </w:r>
          </w:p>
          <w:p w14:paraId="6C8F6ED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根据最新政策和文件要求，修订完善</w:t>
            </w:r>
            <w:r>
              <w:rPr>
                <w:rFonts w:hint="eastAsia" w:ascii="宋体" w:hAnsi="宋体" w:eastAsia="宋体" w:cs="宋体"/>
              </w:rPr>
              <w:t>《山西新产业技师学院章程》《山西省高技能人才培训基地教师量化考核与奖励办法》《山西省高技能人才培训基地培训质量评价管理办法》《培训师资选聘管理办法》《培训档案管理条例》《资金支付审批流程》《内部审计工作方案》《资产处置管理规定》《风险分级管控办法》《风险预警机制》《专项资金使用细则》等规章制度1套</w:t>
            </w:r>
          </w:p>
          <w:p w14:paraId="559CDA0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2.专项账务核算体系（含专项项目财务管理架构、财务管理制度、专款专用流程、收支明细等）1套</w:t>
            </w:r>
          </w:p>
          <w:p w14:paraId="7D65B60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3.动态监控指标体系（含动态监控组织架构、动态监控核心指标等）1套</w:t>
            </w:r>
          </w:p>
          <w:p w14:paraId="4205292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4.“整合统筹、交叉配合、协同攻关、责任落实”的协同推进机制及保障体系（含校企校地协同架构、工作清单等）1套</w:t>
            </w:r>
          </w:p>
          <w:p w14:paraId="5B0955E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5.专项资金绩效评价体系、评价指标表、年度绩效评价报告及评价结果应用记录1套</w:t>
            </w:r>
          </w:p>
          <w:p w14:paraId="10322FE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6.治理评价及反馈机制（含学校治理组织架构、学校治理评价制度、师生/企业等反馈结果）1套</w:t>
            </w:r>
          </w:p>
          <w:p w14:paraId="706388D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7.年度专项自查报告、整改方案、整改凭证及整改效果验证资料（含专项自查报告、整改方案、验收方案）1套</w:t>
            </w:r>
          </w:p>
          <w:p w14:paraId="3586034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8.专项管理工作组花名册及人员架构图1套</w:t>
            </w:r>
          </w:p>
          <w:p w14:paraId="7138FD8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9.项目管理运行团队架构图（含项目层级组织架构、项目管理制度）1套</w:t>
            </w:r>
          </w:p>
          <w:p w14:paraId="3263277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10.专项账户开户证明、专项账务凭证（收支凭证、账务票据）1套</w:t>
            </w:r>
          </w:p>
          <w:p w14:paraId="20EDF1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11.优化后的动态监控机制文件、预警记录、响应处置流程记录1套</w:t>
            </w:r>
          </w:p>
          <w:p w14:paraId="63490E6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12.月度资金使用台账及预算执行核对记录（含收支明细、预算执行率、凭证附件清单）1套</w:t>
            </w:r>
          </w:p>
          <w:p w14:paraId="04B9755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13.</w:t>
            </w:r>
            <w:r>
              <w:rPr>
                <w:rFonts w:hint="eastAsia" w:ascii="宋体" w:hAnsi="宋体" w:eastAsia="宋体" w:cs="宋体"/>
                <w:lang w:val="en-US" w:eastAsia="zh-CN"/>
              </w:rPr>
              <w:t>与山西省内机电企业签署</w:t>
            </w:r>
            <w:r>
              <w:rPr>
                <w:rFonts w:hint="eastAsia" w:ascii="宋体" w:hAnsi="宋体" w:eastAsia="宋体" w:cs="宋体"/>
              </w:rPr>
              <w:t>校企合作协议3份</w:t>
            </w:r>
          </w:p>
          <w:p w14:paraId="59D70C6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14.机电技术应用专业一体化设备安装调试实训中心（实训室）建立及运行相关资料（含建设方案、验收报告、设备清单、使用记录）1套</w:t>
            </w:r>
          </w:p>
          <w:p w14:paraId="2A03B30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15.培训场所总面积整理相关资料（场地管理制度、使用培训记录）1套</w:t>
            </w:r>
          </w:p>
          <w:p w14:paraId="6AF88ED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16.技能竞赛备赛参赛机制（含备赛方案、参赛制度等）1套</w:t>
            </w:r>
          </w:p>
          <w:p w14:paraId="5C8D239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17.专业群带头人、专业带头人及骨干教师选拔培养和管理办法1套</w:t>
            </w:r>
          </w:p>
          <w:p w14:paraId="2D9AAB4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18.师生竞赛获奖资料（含比赛过程记录、获奖总结）1套</w:t>
            </w:r>
          </w:p>
          <w:p w14:paraId="21A9735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19.高级工及以上职业资格证书及高级实习指导教师相关材料1套</w:t>
            </w:r>
          </w:p>
          <w:p w14:paraId="7CBAEBC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20.双师队伍机制建设材料（含双师认定标准、培养方案、企业实践制度）1套</w:t>
            </w:r>
          </w:p>
          <w:p w14:paraId="690AE18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21.兼职教师聘任协议1套</w:t>
            </w:r>
          </w:p>
          <w:p w14:paraId="5E7C487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22.产业岗位需求及岗位能力调研报告1套</w:t>
            </w:r>
          </w:p>
          <w:p w14:paraId="60F4126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23.专业群动态调整机制（含专业群动态调整组织架构、专业群动态调整制度）1套</w:t>
            </w:r>
          </w:p>
          <w:p w14:paraId="0E7212B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24.机电技术应用专业群模块化课程体系1套</w:t>
            </w:r>
          </w:p>
          <w:p w14:paraId="4943E90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25.机电技术应用专业高技能人才培训标准1套</w:t>
            </w:r>
          </w:p>
          <w:p w14:paraId="4D4F1AB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26.智能制造产业调研小组成立资料（含调研方案、调研总结）1套</w:t>
            </w:r>
          </w:p>
          <w:p w14:paraId="4543AA5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27.3门“工学一体化”培训课程的（教学设计、课程标准等）开发及使用</w:t>
            </w:r>
            <w:r>
              <w:rPr>
                <w:rFonts w:hint="eastAsia" w:ascii="宋体" w:hAnsi="宋体" w:eastAsia="宋体" w:cs="宋体"/>
                <w:lang w:eastAsia="zh-CN"/>
              </w:rPr>
              <w:t>的</w:t>
            </w:r>
            <w:r>
              <w:rPr>
                <w:rFonts w:hint="eastAsia" w:ascii="宋体" w:hAnsi="宋体" w:eastAsia="宋体" w:cs="宋体"/>
              </w:rPr>
              <w:t>过程性材料</w:t>
            </w:r>
          </w:p>
          <w:p w14:paraId="4DA03B4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28.社会培训相关资料（含培训通知、培训总结）1套</w:t>
            </w:r>
          </w:p>
          <w:p w14:paraId="170E53A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29.培训合格率、用人单位满意率和学员满意率调研表1套</w:t>
            </w:r>
          </w:p>
          <w:p w14:paraId="1BAB1C9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30.企业高技能人才培训方案1份</w:t>
            </w:r>
          </w:p>
          <w:p w14:paraId="0E754D5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31.《智能制造专业高技能人才培训基地建设经验总结》1套</w:t>
            </w:r>
          </w:p>
          <w:p w14:paraId="4524ACB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32.高技能人才培训典型案例1套</w:t>
            </w:r>
          </w:p>
          <w:p w14:paraId="2B02C57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33.培训质量评价体系建立及运行资料（含质量评价指标标准、整改流程制度）1套</w:t>
            </w:r>
          </w:p>
          <w:p w14:paraId="245E500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34.座谈会记录（含会议通知、会议议程、会议签到表）2份</w:t>
            </w:r>
          </w:p>
          <w:p w14:paraId="42EF8B3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35.现场经验交流会开展过程性资料（含会议通知、会议议程、会议签到表）1套</w:t>
            </w:r>
          </w:p>
        </w:tc>
        <w:tc>
          <w:tcPr>
            <w:tcW w:w="838" w:type="dxa"/>
            <w:vAlign w:val="center"/>
          </w:tcPr>
          <w:p w14:paraId="7ABBB65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1套</w:t>
            </w:r>
          </w:p>
        </w:tc>
      </w:tr>
      <w:tr w14:paraId="262F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7FDEC17A">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2</w:t>
            </w:r>
          </w:p>
        </w:tc>
        <w:tc>
          <w:tcPr>
            <w:tcW w:w="1358" w:type="dxa"/>
            <w:vMerge w:val="continue"/>
            <w:vAlign w:val="center"/>
          </w:tcPr>
          <w:p w14:paraId="68E3E9FD">
            <w:pPr>
              <w:pageBreakBefore w:val="0"/>
              <w:kinsoku/>
              <w:wordWrap w:val="0"/>
              <w:overflowPunct w:val="0"/>
              <w:topLinePunct w:val="0"/>
              <w:bidi w:val="0"/>
              <w:rPr>
                <w:rFonts w:hint="eastAsia" w:ascii="宋体" w:hAnsi="宋体" w:eastAsia="宋体" w:cs="宋体"/>
              </w:rPr>
            </w:pPr>
          </w:p>
        </w:tc>
        <w:tc>
          <w:tcPr>
            <w:tcW w:w="1267" w:type="dxa"/>
            <w:vAlign w:val="center"/>
          </w:tcPr>
          <w:p w14:paraId="726E448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培训及验收汇报服务</w:t>
            </w:r>
          </w:p>
        </w:tc>
        <w:tc>
          <w:tcPr>
            <w:tcW w:w="5952" w:type="dxa"/>
            <w:vAlign w:val="center"/>
          </w:tcPr>
          <w:p w14:paraId="57C7378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lang w:val="en-US" w:eastAsia="zh-CN"/>
              </w:rPr>
              <w:t>一、</w:t>
            </w:r>
            <w:r>
              <w:rPr>
                <w:rFonts w:hint="eastAsia" w:ascii="宋体" w:hAnsi="宋体" w:eastAsia="宋体" w:cs="宋体"/>
              </w:rPr>
              <w:t>建设要求</w:t>
            </w:r>
          </w:p>
          <w:p w14:paraId="10AB298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1.验收汇报:对标省级验收，协助学校制定汇报总结报告和项目验收汇报PPT；</w:t>
            </w:r>
          </w:p>
          <w:p w14:paraId="11655CA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（1）对标省级验收，首先帮助学校撰写汇报总结报告初稿，其次学校根据学校实际情况进一步融合学校内容，最后邀请专家对总结报告及相关汇报材料进行质量提升；</w:t>
            </w:r>
          </w:p>
          <w:p w14:paraId="789FBA5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（2）在学校提供原始汇报材料基础上，协助学校收集汇报材料素材，制作项目建设汇报PPT。</w:t>
            </w:r>
          </w:p>
          <w:p w14:paraId="22BBC53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2.针对现场实施效果以及老师的需求，实时根据学校要求进行调整，保证及时响应学校其他服务需求。</w:t>
            </w:r>
          </w:p>
          <w:p w14:paraId="18899857">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二、建设成果</w:t>
            </w:r>
          </w:p>
          <w:p w14:paraId="1A1FE3D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汇报总结报告和项目验收汇报PPT 1套</w:t>
            </w:r>
          </w:p>
        </w:tc>
        <w:tc>
          <w:tcPr>
            <w:tcW w:w="838" w:type="dxa"/>
            <w:vAlign w:val="center"/>
          </w:tcPr>
          <w:p w14:paraId="5474F6D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1套</w:t>
            </w:r>
          </w:p>
        </w:tc>
      </w:tr>
      <w:tr w14:paraId="6E26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027D8A7D">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3</w:t>
            </w:r>
          </w:p>
        </w:tc>
        <w:tc>
          <w:tcPr>
            <w:tcW w:w="1358" w:type="dxa"/>
            <w:vMerge w:val="continue"/>
            <w:vAlign w:val="center"/>
          </w:tcPr>
          <w:p w14:paraId="7E15764B">
            <w:pPr>
              <w:pageBreakBefore w:val="0"/>
              <w:kinsoku/>
              <w:wordWrap w:val="0"/>
              <w:overflowPunct w:val="0"/>
              <w:topLinePunct w:val="0"/>
              <w:bidi w:val="0"/>
              <w:rPr>
                <w:rFonts w:hint="eastAsia" w:ascii="宋体" w:hAnsi="宋体" w:eastAsia="宋体" w:cs="宋体"/>
              </w:rPr>
            </w:pPr>
          </w:p>
        </w:tc>
        <w:tc>
          <w:tcPr>
            <w:tcW w:w="1267" w:type="dxa"/>
            <w:vAlign w:val="center"/>
          </w:tcPr>
          <w:p w14:paraId="253691C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编写“订单班”“现代学徒制”人才培养模式案例</w:t>
            </w:r>
          </w:p>
        </w:tc>
        <w:tc>
          <w:tcPr>
            <w:tcW w:w="5952" w:type="dxa"/>
            <w:vAlign w:val="center"/>
          </w:tcPr>
          <w:p w14:paraId="3B0CC26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w:t>
            </w:r>
            <w:r>
              <w:rPr>
                <w:rFonts w:hint="eastAsia" w:ascii="宋体" w:hAnsi="宋体" w:eastAsia="宋体" w:cs="宋体"/>
                <w:lang w:eastAsia="zh-CN"/>
              </w:rPr>
              <w:t>、</w:t>
            </w:r>
            <w:r>
              <w:rPr>
                <w:rFonts w:hint="eastAsia" w:ascii="宋体" w:hAnsi="宋体" w:eastAsia="宋体" w:cs="宋体"/>
              </w:rPr>
              <w:t>建设要求</w:t>
            </w:r>
          </w:p>
          <w:p w14:paraId="738B390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供应商须在编写“订单班”“现代学徒制”人才培养模式案例过程中的实施路径与方法、难点与痛点等，提供相关咨询服务。并在项目建设过程中以咨询指导的形式协助学校完成以下内容建设：</w:t>
            </w:r>
          </w:p>
          <w:p w14:paraId="3F18415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1.邀请专家指导1个“订单班”“现代学徒制”人才培养模式案例；</w:t>
            </w:r>
          </w:p>
          <w:p w14:paraId="208FD1F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2.指导学校形成1个“订单班”“现代学徒制”人才培养模式案例；</w:t>
            </w:r>
          </w:p>
          <w:p w14:paraId="4876DA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w:t>
            </w:r>
            <w:r>
              <w:rPr>
                <w:rFonts w:hint="eastAsia" w:ascii="宋体" w:hAnsi="宋体" w:eastAsia="宋体" w:cs="宋体"/>
                <w:lang w:eastAsia="zh-CN"/>
              </w:rPr>
              <w:t>、</w:t>
            </w:r>
            <w:r>
              <w:rPr>
                <w:rFonts w:hint="eastAsia" w:ascii="宋体" w:hAnsi="宋体" w:eastAsia="宋体" w:cs="宋体"/>
              </w:rPr>
              <w:t>建设成果</w:t>
            </w:r>
          </w:p>
          <w:p w14:paraId="3E8B482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“订单班”“现代学徒制”人才培养模式案例1个</w:t>
            </w:r>
          </w:p>
        </w:tc>
        <w:tc>
          <w:tcPr>
            <w:tcW w:w="838" w:type="dxa"/>
            <w:vAlign w:val="center"/>
          </w:tcPr>
          <w:p w14:paraId="005C40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1个</w:t>
            </w:r>
          </w:p>
        </w:tc>
      </w:tr>
      <w:tr w14:paraId="5586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3024EB6D">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4</w:t>
            </w:r>
          </w:p>
        </w:tc>
        <w:tc>
          <w:tcPr>
            <w:tcW w:w="1358" w:type="dxa"/>
            <w:vMerge w:val="continue"/>
            <w:vAlign w:val="center"/>
          </w:tcPr>
          <w:p w14:paraId="136883A6">
            <w:pPr>
              <w:pageBreakBefore w:val="0"/>
              <w:kinsoku/>
              <w:wordWrap w:val="0"/>
              <w:overflowPunct w:val="0"/>
              <w:topLinePunct w:val="0"/>
              <w:bidi w:val="0"/>
              <w:rPr>
                <w:rFonts w:hint="eastAsia" w:ascii="宋体" w:hAnsi="宋体" w:eastAsia="宋体" w:cs="宋体"/>
              </w:rPr>
            </w:pPr>
          </w:p>
        </w:tc>
        <w:tc>
          <w:tcPr>
            <w:tcW w:w="1267" w:type="dxa"/>
            <w:vAlign w:val="center"/>
          </w:tcPr>
          <w:p w14:paraId="2B8F42F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专业人才培养方案</w:t>
            </w:r>
          </w:p>
        </w:tc>
        <w:tc>
          <w:tcPr>
            <w:tcW w:w="5952" w:type="dxa"/>
            <w:vAlign w:val="center"/>
          </w:tcPr>
          <w:p w14:paraId="56A1F0C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w:t>
            </w:r>
            <w:r>
              <w:rPr>
                <w:rFonts w:hint="eastAsia" w:ascii="宋体" w:hAnsi="宋体" w:eastAsia="宋体" w:cs="宋体"/>
                <w:lang w:eastAsia="zh-CN"/>
              </w:rPr>
              <w:t>、</w:t>
            </w:r>
            <w:r>
              <w:rPr>
                <w:rFonts w:hint="eastAsia" w:ascii="宋体" w:hAnsi="宋体" w:eastAsia="宋体" w:cs="宋体"/>
              </w:rPr>
              <w:t>建设要求</w:t>
            </w:r>
          </w:p>
          <w:p w14:paraId="1D9DDB6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供应商须在“专业人才培养方案”修订过程中针对实施路径与方法、难点与痛点等，提供相关咨询服务。并在项目建设过程中以咨询指导的形式协助学校完成以下内容建设：</w:t>
            </w:r>
          </w:p>
          <w:p w14:paraId="4BF7D11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1.审核学校现有人才培养方案，出具《符合大赛标准的专业人才培养方案整改意见》；</w:t>
            </w:r>
          </w:p>
          <w:p w14:paraId="7D1D602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2.提供人才培养方案样例，指导教师完成符合大赛标准的专业人才培养方案修订；</w:t>
            </w:r>
          </w:p>
          <w:p w14:paraId="6AFEC19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3.完成人才培养方案图表的可视化设计和内容的优化排版，并完成2套内容精装打印。</w:t>
            </w:r>
          </w:p>
          <w:p w14:paraId="4A55766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w:t>
            </w:r>
            <w:r>
              <w:rPr>
                <w:rFonts w:hint="eastAsia" w:ascii="宋体" w:hAnsi="宋体" w:eastAsia="宋体" w:cs="宋体"/>
                <w:lang w:eastAsia="zh-CN"/>
              </w:rPr>
              <w:t>、</w:t>
            </w:r>
            <w:r>
              <w:rPr>
                <w:rFonts w:hint="eastAsia" w:ascii="宋体" w:hAnsi="宋体" w:eastAsia="宋体" w:cs="宋体"/>
              </w:rPr>
              <w:t>建设成果</w:t>
            </w:r>
          </w:p>
          <w:p w14:paraId="3209828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符合大赛标准的专业人才培养方案1套。</w:t>
            </w:r>
          </w:p>
        </w:tc>
        <w:tc>
          <w:tcPr>
            <w:tcW w:w="838" w:type="dxa"/>
            <w:vAlign w:val="center"/>
          </w:tcPr>
          <w:p w14:paraId="31E2669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1套</w:t>
            </w:r>
          </w:p>
        </w:tc>
      </w:tr>
      <w:tr w14:paraId="5C2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2757F5E4">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5</w:t>
            </w:r>
          </w:p>
        </w:tc>
        <w:tc>
          <w:tcPr>
            <w:tcW w:w="1358" w:type="dxa"/>
            <w:vMerge w:val="continue"/>
            <w:vAlign w:val="center"/>
          </w:tcPr>
          <w:p w14:paraId="7480FBEC">
            <w:pPr>
              <w:pageBreakBefore w:val="0"/>
              <w:kinsoku/>
              <w:wordWrap w:val="0"/>
              <w:overflowPunct w:val="0"/>
              <w:topLinePunct w:val="0"/>
              <w:bidi w:val="0"/>
              <w:rPr>
                <w:rFonts w:hint="eastAsia" w:ascii="宋体" w:hAnsi="宋体" w:eastAsia="宋体" w:cs="宋体"/>
              </w:rPr>
            </w:pPr>
          </w:p>
        </w:tc>
        <w:tc>
          <w:tcPr>
            <w:tcW w:w="1267" w:type="dxa"/>
            <w:vAlign w:val="center"/>
          </w:tcPr>
          <w:p w14:paraId="134D939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课程标准、技能鉴定标准、岗位规范</w:t>
            </w:r>
          </w:p>
        </w:tc>
        <w:tc>
          <w:tcPr>
            <w:tcW w:w="5952" w:type="dxa"/>
            <w:vAlign w:val="center"/>
          </w:tcPr>
          <w:p w14:paraId="43D48D6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w:t>
            </w:r>
            <w:r>
              <w:rPr>
                <w:rFonts w:hint="eastAsia" w:ascii="宋体" w:hAnsi="宋体" w:eastAsia="宋体" w:cs="宋体"/>
                <w:lang w:eastAsia="zh-CN"/>
              </w:rPr>
              <w:t>、</w:t>
            </w:r>
            <w:r>
              <w:rPr>
                <w:rFonts w:hint="eastAsia" w:ascii="宋体" w:hAnsi="宋体" w:eastAsia="宋体" w:cs="宋体"/>
              </w:rPr>
              <w:t>建设要求</w:t>
            </w:r>
          </w:p>
          <w:p w14:paraId="4C40E9B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供应商须在“课程标准、技能鉴定标准、岗位规范”编制过程中针对实施路径与方法、难点与痛点等，提供相关咨询服务。并在项目建设过程中以咨询指导的形式协助学校完成以下内容建设：</w:t>
            </w:r>
          </w:p>
          <w:p w14:paraId="715276F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1.提供课程标准、技能鉴定标准、岗位规范样例，指导教师完成符合大赛标准的1门专业课程标准，整理技能鉴定标准、岗位规范等资料；</w:t>
            </w:r>
          </w:p>
          <w:p w14:paraId="03AA634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2.完成课程标准、技能鉴定标准、岗位规范的可视化设计和内容的优化排版，并完成内容精装打印。</w:t>
            </w:r>
          </w:p>
          <w:p w14:paraId="3AB07A2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w:t>
            </w:r>
            <w:r>
              <w:rPr>
                <w:rFonts w:hint="eastAsia" w:ascii="宋体" w:hAnsi="宋体" w:eastAsia="宋体" w:cs="宋体"/>
                <w:lang w:eastAsia="zh-CN"/>
              </w:rPr>
              <w:t>、</w:t>
            </w:r>
            <w:r>
              <w:rPr>
                <w:rFonts w:hint="eastAsia" w:ascii="宋体" w:hAnsi="宋体" w:eastAsia="宋体" w:cs="宋体"/>
              </w:rPr>
              <w:t>建设成果</w:t>
            </w:r>
          </w:p>
          <w:p w14:paraId="222479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符合省级大赛标准的1门专业课程标准，技能鉴定标准、岗位规范等资料1套。</w:t>
            </w:r>
          </w:p>
        </w:tc>
        <w:tc>
          <w:tcPr>
            <w:tcW w:w="838" w:type="dxa"/>
            <w:vAlign w:val="center"/>
          </w:tcPr>
          <w:p w14:paraId="6C50359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1门</w:t>
            </w:r>
          </w:p>
        </w:tc>
      </w:tr>
      <w:tr w14:paraId="1E87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5C3268BE">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6</w:t>
            </w:r>
          </w:p>
        </w:tc>
        <w:tc>
          <w:tcPr>
            <w:tcW w:w="1358" w:type="dxa"/>
            <w:vMerge w:val="continue"/>
            <w:vAlign w:val="center"/>
          </w:tcPr>
          <w:p w14:paraId="14E9255B">
            <w:pPr>
              <w:pageBreakBefore w:val="0"/>
              <w:kinsoku/>
              <w:wordWrap w:val="0"/>
              <w:overflowPunct w:val="0"/>
              <w:topLinePunct w:val="0"/>
              <w:bidi w:val="0"/>
              <w:rPr>
                <w:rFonts w:hint="eastAsia" w:ascii="宋体" w:hAnsi="宋体" w:eastAsia="宋体" w:cs="宋体"/>
              </w:rPr>
            </w:pPr>
          </w:p>
        </w:tc>
        <w:tc>
          <w:tcPr>
            <w:tcW w:w="1267" w:type="dxa"/>
            <w:vAlign w:val="center"/>
          </w:tcPr>
          <w:p w14:paraId="47BA591F">
            <w:pPr>
              <w:pageBreakBefore w:val="0"/>
              <w:kinsoku/>
              <w:wordWrap w:val="0"/>
              <w:overflowPunct w:val="0"/>
              <w:topLinePunct w:val="0"/>
              <w:bidi w:val="0"/>
              <w:rPr>
                <w:rFonts w:hint="eastAsia" w:ascii="宋体" w:hAnsi="宋体" w:eastAsia="宋体" w:cs="宋体"/>
              </w:rPr>
            </w:pPr>
            <w:bookmarkStart w:id="45" w:name="OLE_LINK10"/>
            <w:r>
              <w:rPr>
                <w:rFonts w:hint="eastAsia" w:ascii="宋体" w:hAnsi="宋体" w:eastAsia="宋体" w:cs="宋体"/>
              </w:rPr>
              <w:t>校企合作课题</w:t>
            </w:r>
            <w:bookmarkEnd w:id="45"/>
          </w:p>
          <w:p w14:paraId="4F4ACFDA">
            <w:pPr>
              <w:pageBreakBefore w:val="0"/>
              <w:kinsoku/>
              <w:wordWrap w:val="0"/>
              <w:overflowPunct w:val="0"/>
              <w:topLinePunct w:val="0"/>
              <w:bidi w:val="0"/>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市级及以上</w:t>
            </w:r>
            <w:r>
              <w:rPr>
                <w:rFonts w:hint="eastAsia" w:ascii="宋体" w:hAnsi="宋体" w:eastAsia="宋体" w:cs="宋体"/>
                <w:lang w:eastAsia="zh-CN"/>
              </w:rPr>
              <w:t>）</w:t>
            </w:r>
          </w:p>
        </w:tc>
        <w:tc>
          <w:tcPr>
            <w:tcW w:w="5952" w:type="dxa"/>
            <w:vAlign w:val="center"/>
          </w:tcPr>
          <w:p w14:paraId="6383557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w:t>
            </w:r>
            <w:r>
              <w:rPr>
                <w:rFonts w:hint="eastAsia" w:ascii="宋体" w:hAnsi="宋体" w:eastAsia="宋体" w:cs="宋体"/>
                <w:lang w:eastAsia="zh-CN"/>
              </w:rPr>
              <w:t>、</w:t>
            </w:r>
            <w:r>
              <w:rPr>
                <w:rFonts w:hint="eastAsia" w:ascii="宋体" w:hAnsi="宋体" w:eastAsia="宋体" w:cs="宋体"/>
              </w:rPr>
              <w:t>建设要求</w:t>
            </w:r>
          </w:p>
          <w:p w14:paraId="4073060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供应商须在“校企合作课题”开发过程中针对实施路径与方法、难点与痛点等，提供相关咨询服务。并在项目建设过程中以咨询指导的形式协助学校完成以下内容建设：</w:t>
            </w:r>
          </w:p>
          <w:p w14:paraId="135D1D0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1.专项咨询服务：邀请技术专家进行课题申报专项指导3次，确保课题申报的科学性与竞争力。</w:t>
            </w:r>
          </w:p>
          <w:p w14:paraId="608204E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2.材料优化服务：基于学校发展规划与职业教育政策要求，系统梳理现有基础材料，对标申报标准，优化课题申报材料，提升申报材料的规范性与可行性。</w:t>
            </w:r>
          </w:p>
          <w:p w14:paraId="77033B1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w:t>
            </w:r>
            <w:r>
              <w:rPr>
                <w:rFonts w:hint="eastAsia" w:ascii="宋体" w:hAnsi="宋体" w:eastAsia="宋体" w:cs="宋体"/>
                <w:lang w:eastAsia="zh-CN"/>
              </w:rPr>
              <w:t>、</w:t>
            </w:r>
            <w:r>
              <w:rPr>
                <w:rFonts w:hint="eastAsia" w:ascii="宋体" w:hAnsi="宋体" w:eastAsia="宋体" w:cs="宋体"/>
              </w:rPr>
              <w:t>建设成果</w:t>
            </w:r>
          </w:p>
          <w:p w14:paraId="0414B61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校企合作课题1个。</w:t>
            </w:r>
          </w:p>
        </w:tc>
        <w:tc>
          <w:tcPr>
            <w:tcW w:w="838" w:type="dxa"/>
            <w:vAlign w:val="center"/>
          </w:tcPr>
          <w:p w14:paraId="299A464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1个</w:t>
            </w:r>
          </w:p>
        </w:tc>
      </w:tr>
      <w:tr w14:paraId="3267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55F076C3">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7</w:t>
            </w:r>
          </w:p>
        </w:tc>
        <w:tc>
          <w:tcPr>
            <w:tcW w:w="1358" w:type="dxa"/>
            <w:vMerge w:val="continue"/>
            <w:vAlign w:val="center"/>
          </w:tcPr>
          <w:p w14:paraId="6BF4E7E7">
            <w:pPr>
              <w:pageBreakBefore w:val="0"/>
              <w:kinsoku/>
              <w:wordWrap w:val="0"/>
              <w:overflowPunct w:val="0"/>
              <w:topLinePunct w:val="0"/>
              <w:bidi w:val="0"/>
              <w:rPr>
                <w:rFonts w:hint="eastAsia" w:ascii="宋体" w:hAnsi="宋体" w:eastAsia="宋体" w:cs="宋体"/>
              </w:rPr>
            </w:pPr>
          </w:p>
        </w:tc>
        <w:tc>
          <w:tcPr>
            <w:tcW w:w="1267" w:type="dxa"/>
            <w:vAlign w:val="center"/>
          </w:tcPr>
          <w:p w14:paraId="0509019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核心教材（讲义）的数字化资源</w:t>
            </w:r>
          </w:p>
        </w:tc>
        <w:tc>
          <w:tcPr>
            <w:tcW w:w="5952" w:type="dxa"/>
            <w:vAlign w:val="center"/>
          </w:tcPr>
          <w:p w14:paraId="1377CAE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开发3门核心教材（讲义）的数字化资源-微课（视频+PPT）15个，具体要求如下：</w:t>
            </w:r>
          </w:p>
          <w:p w14:paraId="75AFC63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（1）开发要求</w:t>
            </w:r>
          </w:p>
          <w:p w14:paraId="73537AE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1）单个微课时长</w:t>
            </w:r>
          </w:p>
          <w:p w14:paraId="649ECAC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单个微课时长在8-10分钟，以讲解单个知识点或技能点为主，同时融入思政元素。</w:t>
            </w:r>
          </w:p>
          <w:p w14:paraId="3AD7276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2）课程形式</w:t>
            </w:r>
          </w:p>
          <w:p w14:paraId="6B0FDA8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成片统一采用统一视频形式。</w:t>
            </w:r>
          </w:p>
          <w:p w14:paraId="5A3F891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3）录制方式及设备</w:t>
            </w:r>
          </w:p>
          <w:p w14:paraId="527C2B8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①录音设备：使用专业级录音设备。</w:t>
            </w:r>
          </w:p>
          <w:p w14:paraId="009E958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②后期制作：使用先进的非线性编辑系统。</w:t>
            </w:r>
          </w:p>
          <w:p w14:paraId="5EDB8B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（2）后期制作要求</w:t>
            </w:r>
          </w:p>
          <w:p w14:paraId="27761D9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1）片头片尾</w:t>
            </w:r>
          </w:p>
          <w:p w14:paraId="795A785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每节微课都包含有片头片尾且片头片尾总时长不超过15秒，片头片尾应包含学校名称、微课名称、主讲教师等信息，。</w:t>
            </w:r>
          </w:p>
          <w:p w14:paraId="1EC82BF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2）技术指标</w:t>
            </w:r>
          </w:p>
          <w:p w14:paraId="004BE57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①视频信号源</w:t>
            </w:r>
          </w:p>
          <w:p w14:paraId="7AAF09A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稳定性：全片图像同步性能稳定，无失步现象，CTL同步控制</w:t>
            </w:r>
          </w:p>
          <w:p w14:paraId="28123C7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信号必须连续：图像无抖动跳跃，色彩无突变，编辑点处图像稳定。</w:t>
            </w:r>
          </w:p>
          <w:p w14:paraId="5EA564C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信噪比：图像无明显信噪比，无明显杂波。</w:t>
            </w:r>
          </w:p>
          <w:p w14:paraId="0A18538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色调：白平衡正确，无明显偏色，多机拍摄的镜头衔接处无明显色差。</w:t>
            </w:r>
          </w:p>
          <w:p w14:paraId="62493A1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②音频信号源</w:t>
            </w:r>
          </w:p>
          <w:p w14:paraId="2E4621E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声道：中文内容音频信号记录于第1声道，音乐、音效、同期声记录于第2声道，若有其他文字解说记录于第3声道（如录音设备无第3声道,则录于第2声道）。</w:t>
            </w:r>
          </w:p>
          <w:p w14:paraId="538E7DF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电平指标：-2db-8db声音应无明显失真、放音过冲、过弱。</w:t>
            </w:r>
          </w:p>
          <w:p w14:paraId="1C82722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音频信噪比不低于48db。</w:t>
            </w:r>
          </w:p>
          <w:p w14:paraId="5361EF5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声音和画面要求同步，无交流声或其他杂音等缺陷。</w:t>
            </w:r>
          </w:p>
          <w:p w14:paraId="6F28177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伴音清晰、饱满、圆润，无失真、噪声杂音干扰、音量忽大忽小现象。解说声与现场声无明显比例失调，解说声与背景音乐无明显比例失调。</w:t>
            </w:r>
          </w:p>
          <w:p w14:paraId="70197D9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（3）视、音频文件压缩格式要求</w:t>
            </w:r>
          </w:p>
          <w:p w14:paraId="1CF49ED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1）视频压缩格式及技术参数</w:t>
            </w:r>
          </w:p>
          <w:p w14:paraId="6F7F725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①视频压缩采用H.264格式编码。</w:t>
            </w:r>
          </w:p>
          <w:p w14:paraId="0752E06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②视频码流率：动态码流的最高码率不高于2000Kbps，最低码率不得低于1024Kbps。</w:t>
            </w:r>
          </w:p>
          <w:p w14:paraId="1176C27B">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③视频分辨率：采用标清16:9拍摄，设定为1280×720；</w:t>
            </w:r>
          </w:p>
          <w:p w14:paraId="140FA8FA">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④视频画幅宽高比：在同一课程中，各讲应统一画幅的宽高比，不得混用。</w:t>
            </w:r>
          </w:p>
          <w:p w14:paraId="37D22C7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⑤视频帧率为25帧/秒。</w:t>
            </w:r>
          </w:p>
          <w:p w14:paraId="1500295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⑥扫描方式采用逐行扫描。</w:t>
            </w:r>
          </w:p>
          <w:p w14:paraId="423FE31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2）音频压缩格式及技术参数</w:t>
            </w:r>
          </w:p>
          <w:p w14:paraId="27F7274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①音频压缩采用H.264格式编码。</w:t>
            </w:r>
          </w:p>
          <w:p w14:paraId="4FAA53F6">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②采样率48KHz。</w:t>
            </w:r>
          </w:p>
          <w:p w14:paraId="5463F2A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③音频码流率128Kbps(恒定)。</w:t>
            </w:r>
          </w:p>
          <w:p w14:paraId="1961259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④采用双声道。</w:t>
            </w:r>
          </w:p>
          <w:p w14:paraId="3EED11A3">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（4）字幕添加要求</w:t>
            </w:r>
          </w:p>
          <w:p w14:paraId="27CA81F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1）字幕清晰美观，能正确有效地传达信息，字幕尽可能少，在微课的停留时间以能看清楚为准。</w:t>
            </w:r>
          </w:p>
          <w:p w14:paraId="1EE9B6B5">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字幕要使用符合国家标准的规范字，不出现繁体字、异体字、错别字，字幕的字体、大小、色彩搭配、摆放位置、停留时间、出入屏方式力求与其它要素（画面、解说词、音乐）配合适当，不能破坏原有画面。</w:t>
            </w:r>
          </w:p>
          <w:p w14:paraId="0712F188">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（5）其他要求</w:t>
            </w:r>
          </w:p>
          <w:p w14:paraId="7EC8464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应学校老师要求在开发微课过程中根据实际情况加入动画资源。</w:t>
            </w:r>
          </w:p>
        </w:tc>
        <w:tc>
          <w:tcPr>
            <w:tcW w:w="838" w:type="dxa"/>
            <w:vAlign w:val="center"/>
          </w:tcPr>
          <w:p w14:paraId="643DD029">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15个</w:t>
            </w:r>
          </w:p>
        </w:tc>
      </w:tr>
      <w:tr w14:paraId="1AD4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43" w:type="dxa"/>
            <w:vAlign w:val="center"/>
          </w:tcPr>
          <w:p w14:paraId="4E6A9F76">
            <w:pPr>
              <w:pageBreakBefore w:val="0"/>
              <w:kinsoku/>
              <w:wordWrap w:val="0"/>
              <w:overflowPunct w:val="0"/>
              <w:topLinePunct w:val="0"/>
              <w:bidi w:val="0"/>
              <w:rPr>
                <w:rFonts w:hint="eastAsia" w:ascii="宋体" w:hAnsi="宋体" w:eastAsia="宋体" w:cs="宋体"/>
                <w:lang w:val="en-US" w:eastAsia="zh-CN"/>
              </w:rPr>
            </w:pPr>
            <w:r>
              <w:rPr>
                <w:rFonts w:hint="eastAsia" w:ascii="宋体" w:hAnsi="宋体" w:eastAsia="宋体" w:cs="宋体"/>
                <w:lang w:val="en-US" w:eastAsia="zh-CN"/>
              </w:rPr>
              <w:t>8</w:t>
            </w:r>
          </w:p>
        </w:tc>
        <w:tc>
          <w:tcPr>
            <w:tcW w:w="1358" w:type="dxa"/>
            <w:vMerge w:val="continue"/>
            <w:vAlign w:val="center"/>
          </w:tcPr>
          <w:p w14:paraId="757B750A">
            <w:pPr>
              <w:pageBreakBefore w:val="0"/>
              <w:kinsoku/>
              <w:wordWrap w:val="0"/>
              <w:overflowPunct w:val="0"/>
              <w:topLinePunct w:val="0"/>
              <w:bidi w:val="0"/>
              <w:rPr>
                <w:rFonts w:hint="eastAsia" w:ascii="宋体" w:hAnsi="宋体" w:eastAsia="宋体" w:cs="宋体"/>
              </w:rPr>
            </w:pPr>
          </w:p>
        </w:tc>
        <w:tc>
          <w:tcPr>
            <w:tcW w:w="1267" w:type="dxa"/>
            <w:vAlign w:val="center"/>
          </w:tcPr>
          <w:p w14:paraId="6B745A17">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特色教材</w:t>
            </w:r>
          </w:p>
        </w:tc>
        <w:tc>
          <w:tcPr>
            <w:tcW w:w="5952" w:type="dxa"/>
            <w:vAlign w:val="center"/>
          </w:tcPr>
          <w:p w14:paraId="72C9521E">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一</w:t>
            </w:r>
            <w:r>
              <w:rPr>
                <w:rFonts w:hint="eastAsia" w:ascii="宋体" w:hAnsi="宋体" w:eastAsia="宋体" w:cs="宋体"/>
                <w:lang w:eastAsia="zh-CN"/>
              </w:rPr>
              <w:t>、</w:t>
            </w:r>
            <w:r>
              <w:rPr>
                <w:rFonts w:hint="eastAsia" w:ascii="宋体" w:hAnsi="宋体" w:eastAsia="宋体" w:cs="宋体"/>
              </w:rPr>
              <w:t>特色教材定制化技术指导</w:t>
            </w:r>
          </w:p>
          <w:p w14:paraId="69B67700">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根据专业教师对特色教材的开发需求，组织机电技术应用专业相关参编教师开展教材专项培训。</w:t>
            </w:r>
          </w:p>
          <w:p w14:paraId="636E4EE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二</w:t>
            </w:r>
            <w:r>
              <w:rPr>
                <w:rFonts w:hint="eastAsia" w:ascii="宋体" w:hAnsi="宋体" w:eastAsia="宋体" w:cs="宋体"/>
                <w:lang w:eastAsia="zh-CN"/>
              </w:rPr>
              <w:t>、</w:t>
            </w:r>
            <w:r>
              <w:rPr>
                <w:rFonts w:hint="eastAsia" w:ascii="宋体" w:hAnsi="宋体" w:eastAsia="宋体" w:cs="宋体"/>
              </w:rPr>
              <w:t>特色教材内容的审核指导服务</w:t>
            </w:r>
          </w:p>
          <w:p w14:paraId="27997D5C">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根据特色教材建设标准，对教材内容进行审核，提供2次线上指导与反馈。</w:t>
            </w:r>
          </w:p>
          <w:p w14:paraId="024FB2F4">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三</w:t>
            </w:r>
            <w:r>
              <w:rPr>
                <w:rFonts w:hint="eastAsia" w:ascii="宋体" w:hAnsi="宋体" w:eastAsia="宋体" w:cs="宋体"/>
                <w:lang w:eastAsia="zh-CN"/>
              </w:rPr>
              <w:t>、</w:t>
            </w:r>
            <w:r>
              <w:rPr>
                <w:rFonts w:hint="eastAsia" w:ascii="宋体" w:hAnsi="宋体" w:eastAsia="宋体" w:cs="宋体"/>
              </w:rPr>
              <w:t>特色教材版面设计服务</w:t>
            </w:r>
          </w:p>
          <w:p w14:paraId="34E494BF">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1.根据专业特点和课程属性，定制设计与本特色教材匹配度相符的封面、封底、目录页、背景内页;</w:t>
            </w:r>
          </w:p>
          <w:p w14:paraId="66197722">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2.根据特色教材内容特点，协助院校对内容进行版面设计优化。</w:t>
            </w:r>
          </w:p>
          <w:p w14:paraId="009FE6C8">
            <w:pPr>
              <w:pageBreakBefore w:val="0"/>
              <w:kinsoku/>
              <w:wordWrap w:val="0"/>
              <w:overflowPunct w:val="0"/>
              <w:topLinePunct w:val="0"/>
              <w:bidi w:val="0"/>
              <w:rPr>
                <w:rFonts w:hint="eastAsia" w:ascii="宋体" w:hAnsi="宋体" w:eastAsia="宋体" w:cs="宋体"/>
                <w:lang w:eastAsia="zh-CN"/>
              </w:rPr>
            </w:pPr>
            <w:r>
              <w:rPr>
                <w:rFonts w:hint="eastAsia" w:ascii="宋体" w:hAnsi="宋体" w:eastAsia="宋体" w:cs="宋体"/>
              </w:rPr>
              <w:t>备注</w:t>
            </w:r>
            <w:r>
              <w:rPr>
                <w:rFonts w:hint="eastAsia" w:ascii="宋体" w:hAnsi="宋体" w:eastAsia="宋体" w:cs="宋体"/>
                <w:lang w:eastAsia="zh-CN"/>
              </w:rPr>
              <w:t>：</w:t>
            </w:r>
          </w:p>
          <w:p w14:paraId="607C207D">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1.招标人提供相关教材电子版资料，由中标供应商严格按照本项目需求及规范要求，完成特色教材指导工作。</w:t>
            </w:r>
          </w:p>
          <w:p w14:paraId="158C495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2.特色教材所配套的数字教学资源开发相关费用，不含在本项目投标报价范围内。</w:t>
            </w:r>
          </w:p>
        </w:tc>
        <w:tc>
          <w:tcPr>
            <w:tcW w:w="838" w:type="dxa"/>
            <w:vAlign w:val="center"/>
          </w:tcPr>
          <w:p w14:paraId="41E57561">
            <w:pPr>
              <w:pageBreakBefore w:val="0"/>
              <w:kinsoku/>
              <w:wordWrap w:val="0"/>
              <w:overflowPunct w:val="0"/>
              <w:topLinePunct w:val="0"/>
              <w:bidi w:val="0"/>
              <w:rPr>
                <w:rFonts w:hint="eastAsia" w:ascii="宋体" w:hAnsi="宋体" w:eastAsia="宋体" w:cs="宋体"/>
              </w:rPr>
            </w:pPr>
            <w:r>
              <w:rPr>
                <w:rFonts w:hint="eastAsia" w:ascii="宋体" w:hAnsi="宋体" w:eastAsia="宋体" w:cs="宋体"/>
              </w:rPr>
              <w:t>2本</w:t>
            </w:r>
          </w:p>
        </w:tc>
      </w:tr>
    </w:tbl>
    <w:p w14:paraId="78165413">
      <w:pPr>
        <w:pStyle w:val="11"/>
        <w:pageBreakBefore w:val="0"/>
        <w:kinsoku/>
        <w:wordWrap w:val="0"/>
        <w:overflowPunct w:val="0"/>
        <w:topLinePunct w:val="0"/>
        <w:bidi w:val="0"/>
        <w:rPr>
          <w:rFonts w:hint="eastAsia" w:ascii="宋体" w:hAnsi="宋体" w:eastAsia="宋体" w:cs="宋体"/>
        </w:rPr>
        <w:sectPr>
          <w:footerReference r:id="rId7" w:type="default"/>
          <w:pgSz w:w="11906" w:h="16838"/>
          <w:pgMar w:top="1440" w:right="1080" w:bottom="1440" w:left="1080" w:header="851" w:footer="1134" w:gutter="0"/>
          <w:pgNumType w:fmt="decimal"/>
          <w:cols w:space="720" w:num="1"/>
          <w:docGrid w:type="lines" w:linePitch="330" w:charSpace="0"/>
        </w:sectPr>
      </w:pPr>
    </w:p>
    <w:p w14:paraId="63261452">
      <w:pPr>
        <w:pStyle w:val="2"/>
        <w:pageBreakBefore w:val="0"/>
        <w:kinsoku/>
        <w:wordWrap w:val="0"/>
        <w:overflowPunct w:val="0"/>
        <w:topLinePunct w:val="0"/>
        <w:bidi w:val="0"/>
        <w:rPr>
          <w:rFonts w:hint="eastAsia" w:ascii="宋体" w:hAnsi="宋体" w:eastAsia="宋体" w:cs="宋体"/>
          <w:color w:val="auto"/>
        </w:rPr>
      </w:pPr>
      <w:bookmarkStart w:id="46" w:name="_Toc7501"/>
      <w:r>
        <w:rPr>
          <w:rFonts w:hint="eastAsia" w:ascii="宋体" w:hAnsi="宋体" w:eastAsia="宋体" w:cs="宋体"/>
          <w:color w:val="auto"/>
        </w:rPr>
        <w:t>第</w:t>
      </w:r>
      <w:r>
        <w:rPr>
          <w:rFonts w:hint="eastAsia" w:ascii="宋体" w:hAnsi="宋体" w:eastAsia="宋体" w:cs="宋体"/>
          <w:color w:val="auto"/>
          <w:lang w:eastAsia="zh-CN"/>
        </w:rPr>
        <w:t>六</w:t>
      </w:r>
      <w:r>
        <w:rPr>
          <w:rFonts w:hint="eastAsia" w:ascii="宋体" w:hAnsi="宋体" w:eastAsia="宋体" w:cs="宋体"/>
          <w:color w:val="auto"/>
        </w:rPr>
        <w:t>章</w:t>
      </w:r>
      <w:r>
        <w:rPr>
          <w:rFonts w:hint="eastAsia" w:ascii="宋体" w:hAnsi="宋体" w:eastAsia="宋体" w:cs="宋体"/>
          <w:color w:val="auto"/>
          <w:lang w:val="en-US" w:eastAsia="zh-CN"/>
        </w:rPr>
        <w:t xml:space="preserve"> </w:t>
      </w:r>
      <w:r>
        <w:rPr>
          <w:rFonts w:hint="eastAsia" w:ascii="宋体" w:hAnsi="宋体" w:eastAsia="宋体" w:cs="宋体"/>
          <w:color w:val="auto"/>
        </w:rPr>
        <w:t>投标文件的组成</w:t>
      </w:r>
      <w:bookmarkEnd w:id="36"/>
      <w:bookmarkEnd w:id="40"/>
      <w:bookmarkEnd w:id="41"/>
      <w:bookmarkEnd w:id="42"/>
      <w:bookmarkEnd w:id="43"/>
      <w:bookmarkEnd w:id="44"/>
      <w:bookmarkEnd w:id="46"/>
    </w:p>
    <w:p w14:paraId="74025644">
      <w:pPr>
        <w:pageBreakBefore w:val="0"/>
        <w:kinsoku/>
        <w:wordWrap w:val="0"/>
        <w:overflowPunct w:val="0"/>
        <w:topLinePunct w:val="0"/>
        <w:bidi w:val="0"/>
        <w:adjustRightInd w:val="0"/>
        <w:snapToGrid w:val="0"/>
        <w:spacing w:line="400" w:lineRule="exact"/>
        <w:outlineLvl w:val="9"/>
        <w:rPr>
          <w:rFonts w:hint="eastAsia" w:ascii="宋体" w:hAnsi="宋体" w:eastAsia="宋体" w:cs="宋体"/>
          <w:color w:val="auto"/>
          <w:sz w:val="24"/>
          <w:szCs w:val="24"/>
        </w:rPr>
      </w:pPr>
    </w:p>
    <w:p w14:paraId="4C0B1F5B">
      <w:pPr>
        <w:pageBreakBefore w:val="0"/>
        <w:kinsoku/>
        <w:wordWrap w:val="0"/>
        <w:overflowPunct w:val="0"/>
        <w:topLinePunct w:val="0"/>
        <w:bidi w:val="0"/>
        <w:rPr>
          <w:rFonts w:hint="eastAsia" w:ascii="宋体" w:hAnsi="宋体" w:eastAsia="宋体" w:cs="宋体"/>
          <w:color w:val="auto"/>
          <w:highlight w:val="none"/>
        </w:rPr>
      </w:pPr>
      <w:bookmarkStart w:id="47" w:name="_Toc29776"/>
      <w:bookmarkStart w:id="48" w:name="_Toc25974"/>
      <w:bookmarkStart w:id="49" w:name="_Toc1235"/>
      <w:bookmarkStart w:id="50" w:name="_Toc22635"/>
      <w:bookmarkStart w:id="51" w:name="_Toc30005"/>
      <w:bookmarkStart w:id="52" w:name="_Toc28224_WPSOffice_Level1"/>
    </w:p>
    <w:p w14:paraId="326903F7">
      <w:pPr>
        <w:pStyle w:val="11"/>
        <w:pageBreakBefore w:val="0"/>
        <w:kinsoku/>
        <w:wordWrap w:val="0"/>
        <w:overflowPunct w:val="0"/>
        <w:topLinePunct w:val="0"/>
        <w:bidi w:val="0"/>
        <w:rPr>
          <w:rFonts w:hint="eastAsia" w:ascii="宋体" w:hAnsi="宋体" w:eastAsia="宋体" w:cs="宋体"/>
          <w:color w:val="auto"/>
          <w:highlight w:val="none"/>
        </w:rPr>
      </w:pPr>
    </w:p>
    <w:p w14:paraId="5789DD34">
      <w:pPr>
        <w:pageBreakBefore w:val="0"/>
        <w:kinsoku/>
        <w:wordWrap w:val="0"/>
        <w:overflowPunct w:val="0"/>
        <w:topLinePunct w:val="0"/>
        <w:bidi w:val="0"/>
        <w:adjustRightInd w:val="0"/>
        <w:snapToGrid w:val="0"/>
        <w:ind w:firstLine="2600" w:firstLineChars="500"/>
        <w:rPr>
          <w:rFonts w:hint="eastAsia" w:ascii="宋体" w:hAnsi="宋体" w:eastAsia="宋体" w:cs="宋体"/>
          <w:bCs/>
          <w:color w:val="auto"/>
          <w:spacing w:val="20"/>
          <w:sz w:val="48"/>
          <w:szCs w:val="48"/>
          <w:highlight w:val="none"/>
          <w:u w:val="single"/>
          <w:lang w:val="en-US" w:eastAsia="zh-CN"/>
        </w:rPr>
      </w:pPr>
      <w:r>
        <w:rPr>
          <w:rFonts w:hint="eastAsia" w:ascii="宋体" w:hAnsi="宋体" w:eastAsia="宋体" w:cs="宋体"/>
          <w:bCs/>
          <w:color w:val="auto"/>
          <w:spacing w:val="20"/>
          <w:sz w:val="48"/>
          <w:szCs w:val="48"/>
          <w:highlight w:val="none"/>
          <w:u w:val="single"/>
        </w:rPr>
        <w:t>（项目名称）</w:t>
      </w:r>
      <w:r>
        <w:rPr>
          <w:rFonts w:hint="eastAsia" w:ascii="宋体" w:hAnsi="宋体" w:eastAsia="宋体" w:cs="宋体"/>
          <w:bCs/>
          <w:color w:val="auto"/>
          <w:spacing w:val="20"/>
          <w:sz w:val="48"/>
          <w:szCs w:val="48"/>
          <w:highlight w:val="none"/>
          <w:u w:val="single"/>
          <w:lang w:eastAsia="zh-CN"/>
        </w:rPr>
        <w:t>（</w:t>
      </w:r>
      <w:r>
        <w:rPr>
          <w:rFonts w:hint="eastAsia" w:ascii="宋体" w:hAnsi="宋体" w:eastAsia="宋体" w:cs="宋体"/>
          <w:bCs/>
          <w:color w:val="auto"/>
          <w:spacing w:val="20"/>
          <w:sz w:val="48"/>
          <w:szCs w:val="48"/>
          <w:highlight w:val="none"/>
          <w:u w:val="single"/>
          <w:lang w:val="en-US" w:eastAsia="zh-CN"/>
        </w:rPr>
        <w:t>包号）</w:t>
      </w:r>
    </w:p>
    <w:p w14:paraId="4E405F80">
      <w:pPr>
        <w:pStyle w:val="21"/>
        <w:pageBreakBefore w:val="0"/>
        <w:kinsoku/>
        <w:wordWrap w:val="0"/>
        <w:overflowPunct w:val="0"/>
        <w:topLinePunct w:val="0"/>
        <w:bidi w:val="0"/>
        <w:rPr>
          <w:rFonts w:hint="eastAsia" w:ascii="宋体" w:hAnsi="宋体" w:eastAsia="宋体" w:cs="宋体"/>
          <w:color w:val="auto"/>
          <w:highlight w:val="none"/>
        </w:rPr>
      </w:pPr>
    </w:p>
    <w:p w14:paraId="00AD03C3">
      <w:pPr>
        <w:pageBreakBefore w:val="0"/>
        <w:kinsoku/>
        <w:wordWrap w:val="0"/>
        <w:overflowPunct w:val="0"/>
        <w:topLinePunct w:val="0"/>
        <w:bidi w:val="0"/>
        <w:adjustRightInd w:val="0"/>
        <w:snapToGrid w:val="0"/>
        <w:jc w:val="center"/>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lang w:eastAsia="zh-CN"/>
        </w:rPr>
        <w:t>项目编号</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u w:val="single"/>
        </w:rPr>
        <w:t>（           ）</w:t>
      </w:r>
    </w:p>
    <w:p w14:paraId="41633E91">
      <w:pPr>
        <w:pStyle w:val="21"/>
        <w:pageBreakBefore w:val="0"/>
        <w:kinsoku/>
        <w:wordWrap w:val="0"/>
        <w:overflowPunct w:val="0"/>
        <w:topLinePunct w:val="0"/>
        <w:bidi w:val="0"/>
        <w:rPr>
          <w:rFonts w:hint="eastAsia" w:ascii="宋体" w:hAnsi="宋体" w:eastAsia="宋体" w:cs="宋体"/>
          <w:b/>
          <w:color w:val="auto"/>
          <w:sz w:val="28"/>
          <w:szCs w:val="28"/>
          <w:highlight w:val="none"/>
          <w:u w:val="single"/>
        </w:rPr>
      </w:pPr>
    </w:p>
    <w:p w14:paraId="5B3141EF">
      <w:pPr>
        <w:pStyle w:val="21"/>
        <w:pageBreakBefore w:val="0"/>
        <w:kinsoku/>
        <w:wordWrap w:val="0"/>
        <w:overflowPunct w:val="0"/>
        <w:topLinePunct w:val="0"/>
        <w:bidi w:val="0"/>
        <w:rPr>
          <w:rFonts w:hint="eastAsia" w:ascii="宋体" w:hAnsi="宋体" w:eastAsia="宋体" w:cs="宋体"/>
          <w:b/>
          <w:color w:val="auto"/>
          <w:sz w:val="28"/>
          <w:szCs w:val="28"/>
          <w:highlight w:val="none"/>
          <w:u w:val="single"/>
        </w:rPr>
      </w:pPr>
    </w:p>
    <w:p w14:paraId="10E2AD64">
      <w:pPr>
        <w:pStyle w:val="21"/>
        <w:pageBreakBefore w:val="0"/>
        <w:kinsoku/>
        <w:wordWrap w:val="0"/>
        <w:overflowPunct w:val="0"/>
        <w:topLinePunct w:val="0"/>
        <w:bidi w:val="0"/>
        <w:rPr>
          <w:rFonts w:hint="eastAsia" w:ascii="宋体" w:hAnsi="宋体" w:eastAsia="宋体" w:cs="宋体"/>
          <w:b/>
          <w:color w:val="auto"/>
          <w:sz w:val="28"/>
          <w:szCs w:val="28"/>
          <w:highlight w:val="none"/>
          <w:u w:val="single"/>
        </w:rPr>
      </w:pPr>
    </w:p>
    <w:p w14:paraId="2B387DFE">
      <w:pPr>
        <w:pStyle w:val="21"/>
        <w:pageBreakBefore w:val="0"/>
        <w:kinsoku/>
        <w:wordWrap w:val="0"/>
        <w:overflowPunct w:val="0"/>
        <w:topLinePunct w:val="0"/>
        <w:bidi w:val="0"/>
        <w:rPr>
          <w:rFonts w:hint="eastAsia" w:ascii="宋体" w:hAnsi="宋体" w:eastAsia="宋体" w:cs="宋体"/>
          <w:b/>
          <w:color w:val="auto"/>
          <w:sz w:val="28"/>
          <w:szCs w:val="28"/>
          <w:highlight w:val="none"/>
          <w:u w:val="single"/>
          <w:lang w:val="en-US" w:eastAsia="zh-CN"/>
        </w:rPr>
      </w:pPr>
    </w:p>
    <w:p w14:paraId="1A4714D2">
      <w:pPr>
        <w:pageBreakBefore w:val="0"/>
        <w:kinsoku/>
        <w:wordWrap w:val="0"/>
        <w:overflowPunct w:val="0"/>
        <w:topLinePunct w:val="0"/>
        <w:bidi w:val="0"/>
        <w:adjustRightInd w:val="0"/>
        <w:snapToGrid w:val="0"/>
        <w:jc w:val="center"/>
        <w:rPr>
          <w:rFonts w:hint="eastAsia" w:ascii="宋体" w:hAnsi="宋体" w:eastAsia="宋体" w:cs="宋体"/>
          <w:b/>
          <w:color w:val="auto"/>
          <w:sz w:val="72"/>
          <w:szCs w:val="72"/>
          <w:highlight w:val="none"/>
          <w:lang w:eastAsia="zh-CN"/>
        </w:rPr>
      </w:pPr>
      <w:r>
        <w:rPr>
          <w:rFonts w:hint="eastAsia" w:ascii="宋体" w:hAnsi="宋体" w:eastAsia="宋体" w:cs="宋体"/>
          <w:b/>
          <w:color w:val="auto"/>
          <w:sz w:val="72"/>
          <w:szCs w:val="72"/>
          <w:highlight w:val="none"/>
          <w:lang w:val="en-US" w:eastAsia="zh-CN"/>
        </w:rPr>
        <w:t>投标</w:t>
      </w:r>
      <w:r>
        <w:rPr>
          <w:rFonts w:hint="eastAsia" w:ascii="宋体" w:hAnsi="宋体" w:eastAsia="宋体" w:cs="宋体"/>
          <w:b/>
          <w:color w:val="auto"/>
          <w:sz w:val="72"/>
          <w:szCs w:val="72"/>
          <w:highlight w:val="none"/>
          <w:lang w:eastAsia="zh-CN"/>
        </w:rPr>
        <w:t>文件</w:t>
      </w:r>
    </w:p>
    <w:p w14:paraId="515C788F">
      <w:pPr>
        <w:pageBreakBefore w:val="0"/>
        <w:kinsoku/>
        <w:wordWrap w:val="0"/>
        <w:overflowPunct w:val="0"/>
        <w:topLinePunct w:val="0"/>
        <w:bidi w:val="0"/>
        <w:adjustRightInd w:val="0"/>
        <w:snapToGrid w:val="0"/>
        <w:jc w:val="center"/>
        <w:rPr>
          <w:rFonts w:hint="eastAsia" w:ascii="宋体" w:hAnsi="宋体" w:eastAsia="宋体" w:cs="宋体"/>
          <w:b/>
          <w:color w:val="auto"/>
          <w:sz w:val="44"/>
          <w:szCs w:val="44"/>
          <w:highlight w:val="none"/>
        </w:rPr>
      </w:pPr>
    </w:p>
    <w:p w14:paraId="4EAB1ABB">
      <w:pPr>
        <w:pageBreakBefore w:val="0"/>
        <w:kinsoku/>
        <w:wordWrap w:val="0"/>
        <w:overflowPunct w:val="0"/>
        <w:topLinePunct w:val="0"/>
        <w:bidi w:val="0"/>
        <w:adjustRightInd w:val="0"/>
        <w:snapToGrid w:val="0"/>
        <w:jc w:val="center"/>
        <w:rPr>
          <w:rFonts w:hint="eastAsia" w:ascii="宋体" w:hAnsi="宋体" w:eastAsia="宋体" w:cs="宋体"/>
          <w:b/>
          <w:color w:val="auto"/>
          <w:sz w:val="28"/>
          <w:highlight w:val="none"/>
        </w:rPr>
      </w:pPr>
    </w:p>
    <w:p w14:paraId="4F052925">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4B2D65DB">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0ADACF16">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71763EA7">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4A240CA7">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3CB51381">
      <w:pPr>
        <w:pageBreakBefore w:val="0"/>
        <w:kinsoku/>
        <w:wordWrap w:val="0"/>
        <w:overflowPunct w:val="0"/>
        <w:topLinePunct w:val="0"/>
        <w:bidi w:val="0"/>
        <w:adjustRightInd w:val="0"/>
        <w:snapToGrid w:val="0"/>
        <w:rPr>
          <w:rFonts w:hint="eastAsia" w:ascii="宋体" w:hAnsi="宋体" w:eastAsia="宋体" w:cs="宋体"/>
          <w:b/>
          <w:color w:val="auto"/>
          <w:sz w:val="28"/>
          <w:szCs w:val="28"/>
          <w:highlight w:val="none"/>
        </w:rPr>
      </w:pPr>
    </w:p>
    <w:p w14:paraId="37B972CD">
      <w:pPr>
        <w:pageBreakBefore w:val="0"/>
        <w:kinsoku/>
        <w:wordWrap w:val="0"/>
        <w:overflowPunct w:val="0"/>
        <w:topLinePunct w:val="0"/>
        <w:bidi w:val="0"/>
        <w:adjustRightInd w:val="0"/>
        <w:snapToGrid w:val="0"/>
        <w:spacing w:line="48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投标人</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eastAsia="宋体" w:cs="宋体"/>
          <w:b/>
          <w:color w:val="auto"/>
          <w:sz w:val="32"/>
          <w:szCs w:val="32"/>
          <w:highlight w:val="none"/>
        </w:rPr>
        <w:t>（盖企业CA电子印章）</w:t>
      </w:r>
    </w:p>
    <w:p w14:paraId="763FE6FB">
      <w:pPr>
        <w:pageBreakBefore w:val="0"/>
        <w:kinsoku/>
        <w:wordWrap w:val="0"/>
        <w:overflowPunct w:val="0"/>
        <w:topLinePunct w:val="0"/>
        <w:bidi w:val="0"/>
        <w:adjustRightInd w:val="0"/>
        <w:snapToGrid w:val="0"/>
        <w:spacing w:line="48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法定代表人或其委托代理人：</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eastAsia="宋体" w:cs="宋体"/>
          <w:b/>
          <w:color w:val="auto"/>
          <w:sz w:val="32"/>
          <w:szCs w:val="32"/>
          <w:highlight w:val="none"/>
        </w:rPr>
        <w:t>（盖个人CA电子印章或电子签名章）</w:t>
      </w:r>
    </w:p>
    <w:p w14:paraId="617F72CB">
      <w:pPr>
        <w:pageBreakBefore w:val="0"/>
        <w:kinsoku/>
        <w:wordWrap w:val="0"/>
        <w:overflowPunct w:val="0"/>
        <w:topLinePunct w:val="0"/>
        <w:bidi w:val="0"/>
        <w:adjustRightInd w:val="0"/>
        <w:snapToGrid w:val="0"/>
        <w:spacing w:line="48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XX年XX月XX日</w:t>
      </w:r>
    </w:p>
    <w:p w14:paraId="0D5D765B">
      <w:pPr>
        <w:pageBreakBefore w:val="0"/>
        <w:numPr>
          <w:ilvl w:val="0"/>
          <w:numId w:val="0"/>
        </w:numPr>
        <w:kinsoku/>
        <w:wordWrap w:val="0"/>
        <w:overflowPunct w:val="0"/>
        <w:topLinePunct w:val="0"/>
        <w:bidi w:val="0"/>
        <w:adjustRightInd w:val="0"/>
        <w:snapToGrid w:val="0"/>
        <w:spacing w:line="560" w:lineRule="exact"/>
        <w:ind w:left="0" w:leftChars="0" w:right="0" w:rightChars="0" w:firstLine="0" w:firstLineChars="0"/>
        <w:jc w:val="center"/>
        <w:outlineLvl w:val="9"/>
        <w:rPr>
          <w:rFonts w:hint="eastAsia" w:ascii="宋体" w:hAnsi="宋体" w:eastAsia="宋体" w:cs="宋体"/>
          <w:b/>
          <w:bCs/>
          <w:color w:val="auto"/>
          <w:sz w:val="24"/>
          <w:szCs w:val="24"/>
          <w:lang w:eastAsia="zh-CN"/>
        </w:rPr>
        <w:sectPr>
          <w:pgSz w:w="11906" w:h="16838"/>
          <w:pgMar w:top="1440" w:right="1080" w:bottom="1440" w:left="1080" w:header="851" w:footer="1134" w:gutter="0"/>
          <w:pgNumType w:fmt="decimal"/>
          <w:cols w:space="720" w:num="1"/>
          <w:docGrid w:type="lines" w:linePitch="330" w:charSpace="0"/>
        </w:sectPr>
      </w:pPr>
    </w:p>
    <w:p w14:paraId="66C38E63">
      <w:pPr>
        <w:pageBreakBefore w:val="0"/>
        <w:numPr>
          <w:ilvl w:val="0"/>
          <w:numId w:val="0"/>
        </w:numPr>
        <w:kinsoku/>
        <w:wordWrap w:val="0"/>
        <w:overflowPunct w:val="0"/>
        <w:topLinePunct w:val="0"/>
        <w:bidi w:val="0"/>
        <w:adjustRightInd w:val="0"/>
        <w:snapToGrid w:val="0"/>
        <w:spacing w:line="560" w:lineRule="exact"/>
        <w:ind w:left="0" w:leftChars="0" w:right="0" w:rightChars="0" w:firstLine="0" w:firstLineChars="0"/>
        <w:jc w:val="center"/>
        <w:outlineLvl w:val="0"/>
        <w:rPr>
          <w:rFonts w:hint="eastAsia" w:ascii="宋体" w:hAnsi="宋体" w:eastAsia="宋体" w:cs="宋体"/>
          <w:b/>
          <w:bCs/>
          <w:color w:val="auto"/>
          <w:sz w:val="24"/>
          <w:szCs w:val="24"/>
          <w:lang w:eastAsia="zh-CN"/>
        </w:rPr>
      </w:pPr>
      <w:bookmarkStart w:id="53" w:name="_Toc13404"/>
      <w:r>
        <w:rPr>
          <w:rFonts w:hint="eastAsia" w:ascii="宋体" w:hAnsi="宋体" w:eastAsia="宋体" w:cs="宋体"/>
          <w:b/>
          <w:bCs/>
          <w:color w:val="auto"/>
          <w:sz w:val="24"/>
          <w:szCs w:val="24"/>
          <w:lang w:eastAsia="zh-CN"/>
        </w:rPr>
        <w:t>目</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lang w:eastAsia="zh-CN"/>
        </w:rPr>
        <w:t>录</w:t>
      </w:r>
      <w:bookmarkEnd w:id="47"/>
      <w:bookmarkEnd w:id="48"/>
      <w:bookmarkEnd w:id="49"/>
      <w:bookmarkEnd w:id="50"/>
      <w:bookmarkEnd w:id="51"/>
      <w:bookmarkEnd w:id="53"/>
    </w:p>
    <w:p w14:paraId="44AAE069">
      <w:pPr>
        <w:pStyle w:val="16"/>
        <w:pageBreakBefore w:val="0"/>
        <w:numPr>
          <w:ilvl w:val="0"/>
          <w:numId w:val="0"/>
        </w:numPr>
        <w:kinsoku/>
        <w:wordWrap w:val="0"/>
        <w:overflowPunct w:val="0"/>
        <w:topLinePunct w:val="0"/>
        <w:bidi w:val="0"/>
        <w:outlineLvl w:val="0"/>
        <w:rPr>
          <w:rFonts w:hint="eastAsia" w:ascii="宋体" w:hAnsi="宋体" w:eastAsia="宋体" w:cs="宋体"/>
          <w:b/>
          <w:bCs/>
          <w:color w:val="auto"/>
          <w:kern w:val="2"/>
          <w:sz w:val="24"/>
          <w:szCs w:val="24"/>
          <w:lang w:val="en-US" w:eastAsia="zh-CN" w:bidi="ar-SA"/>
        </w:rPr>
      </w:pPr>
      <w:bookmarkStart w:id="54" w:name="_Toc32175"/>
      <w:bookmarkStart w:id="55" w:name="_Toc22475"/>
      <w:bookmarkStart w:id="56" w:name="_Toc11524"/>
      <w:bookmarkStart w:id="57" w:name="_Toc14381"/>
      <w:bookmarkStart w:id="58" w:name="_Toc17297"/>
      <w:bookmarkStart w:id="59" w:name="_Toc32387"/>
      <w:r>
        <w:rPr>
          <w:rFonts w:hint="eastAsia" w:ascii="宋体" w:hAnsi="宋体" w:eastAsia="宋体" w:cs="宋体"/>
          <w:b/>
          <w:bCs/>
          <w:color w:val="auto"/>
          <w:sz w:val="24"/>
          <w:szCs w:val="24"/>
          <w:lang w:eastAsia="zh-CN"/>
        </w:rPr>
        <w:t>一、资格审查部分</w:t>
      </w:r>
      <w:bookmarkEnd w:id="54"/>
      <w:bookmarkEnd w:id="55"/>
      <w:bookmarkEnd w:id="56"/>
      <w:bookmarkEnd w:id="57"/>
      <w:bookmarkEnd w:id="58"/>
      <w:bookmarkEnd w:id="59"/>
    </w:p>
    <w:p w14:paraId="0C8D7F43">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若为法人须附法定代表人身份证明书；若为授权委托代理人需提供法定代表人身份证明书、法定代表人授权委托书、法人身份证及被授权人的身份证；</w:t>
      </w:r>
    </w:p>
    <w:p w14:paraId="384EBC2C">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投标函；</w:t>
      </w:r>
    </w:p>
    <w:p w14:paraId="47F7E089">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）*营业执照</w:t>
      </w:r>
      <w:r>
        <w:rPr>
          <w:rFonts w:hint="eastAsia" w:ascii="宋体" w:hAnsi="宋体" w:eastAsia="宋体" w:cs="宋体"/>
          <w:color w:val="auto"/>
          <w:kern w:val="0"/>
          <w:sz w:val="24"/>
          <w:szCs w:val="24"/>
          <w:lang w:eastAsia="zh-CN"/>
        </w:rPr>
        <w:t>；</w:t>
      </w:r>
    </w:p>
    <w:p w14:paraId="08499258">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银行基本账户开户许可证或基本存款账户信息</w:t>
      </w:r>
      <w:r>
        <w:rPr>
          <w:rFonts w:hint="eastAsia" w:ascii="宋体" w:hAnsi="宋体" w:eastAsia="宋体" w:cs="宋体"/>
          <w:color w:val="auto"/>
          <w:kern w:val="0"/>
          <w:sz w:val="24"/>
          <w:szCs w:val="24"/>
        </w:rPr>
        <w:t>；</w:t>
      </w:r>
    </w:p>
    <w:p w14:paraId="00F1C904">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spacing w:val="10"/>
          <w:kern w:val="0"/>
          <w:sz w:val="24"/>
          <w:szCs w:val="24"/>
          <w:lang w:val="en-US" w:eastAsia="zh-CN"/>
        </w:rPr>
        <w:t>投标人信用承诺书</w:t>
      </w:r>
      <w:r>
        <w:rPr>
          <w:rFonts w:hint="eastAsia" w:ascii="宋体" w:hAnsi="宋体" w:eastAsia="宋体" w:cs="宋体"/>
          <w:color w:val="auto"/>
          <w:szCs w:val="21"/>
          <w:lang w:val="zh-CN"/>
        </w:rPr>
        <w:t>；</w:t>
      </w:r>
    </w:p>
    <w:p w14:paraId="62FC0927">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*投标保证金</w:t>
      </w:r>
      <w:r>
        <w:rPr>
          <w:rFonts w:hint="eastAsia" w:ascii="宋体" w:hAnsi="宋体" w:eastAsia="宋体" w:cs="宋体"/>
          <w:color w:val="auto"/>
          <w:sz w:val="24"/>
          <w:szCs w:val="24"/>
          <w:lang w:eastAsia="zh-CN"/>
        </w:rPr>
        <w:t>缴纳</w:t>
      </w:r>
      <w:r>
        <w:rPr>
          <w:rFonts w:hint="eastAsia" w:ascii="宋体" w:hAnsi="宋体" w:eastAsia="宋体" w:cs="宋体"/>
          <w:color w:val="auto"/>
          <w:sz w:val="24"/>
          <w:szCs w:val="24"/>
          <w:lang w:val="en-US" w:eastAsia="zh-CN"/>
        </w:rPr>
        <w:t>凭证</w:t>
      </w:r>
      <w:r>
        <w:rPr>
          <w:rFonts w:hint="eastAsia" w:ascii="宋体" w:hAnsi="宋体" w:eastAsia="宋体" w:cs="宋体"/>
          <w:color w:val="auto"/>
          <w:sz w:val="24"/>
          <w:szCs w:val="24"/>
          <w:lang w:eastAsia="zh-CN"/>
        </w:rPr>
        <w:t>；</w:t>
      </w:r>
    </w:p>
    <w:p w14:paraId="6AFC7884">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highlight w:val="none"/>
          <w:lang w:val="en-US" w:eastAsia="zh-CN"/>
        </w:rPr>
        <w:t>*投标人自行承诺企业、法定代表人有无行贿犯罪行为（格式自拟），并对其真实性负责</w:t>
      </w:r>
      <w:r>
        <w:rPr>
          <w:rFonts w:hint="eastAsia" w:ascii="宋体" w:hAnsi="宋体" w:eastAsia="宋体" w:cs="宋体"/>
          <w:color w:val="auto"/>
          <w:sz w:val="24"/>
          <w:szCs w:val="24"/>
          <w:lang w:val="en-US" w:eastAsia="zh-CN"/>
        </w:rPr>
        <w:t>；</w:t>
      </w:r>
    </w:p>
    <w:p w14:paraId="5EC5A873">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8）*诚信投标承诺书（</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z w:val="24"/>
          <w:szCs w:val="24"/>
          <w:lang w:val="en-US" w:eastAsia="zh-CN"/>
        </w:rPr>
        <w:t>；</w:t>
      </w:r>
    </w:p>
    <w:p w14:paraId="737F5A15">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9）*中小企业声明函；(见‘投标文件格式’)；</w:t>
      </w:r>
    </w:p>
    <w:p w14:paraId="13D71F64">
      <w:pPr>
        <w:keepNext w:val="0"/>
        <w:keepLines w:val="0"/>
        <w:pageBreakBefore w:val="0"/>
        <w:widowControl w:val="0"/>
        <w:numPr>
          <w:ilvl w:val="0"/>
          <w:numId w:val="0"/>
        </w:numPr>
        <w:kinsoku/>
        <w:wordWrap w:val="0"/>
        <w:overflowPunct w:val="0"/>
        <w:topLinePunct w:val="0"/>
        <w:autoSpaceDE/>
        <w:autoSpaceDN/>
        <w:bidi w:val="0"/>
        <w:adjustRightInd w:val="0"/>
        <w:snapToGrid w:val="0"/>
        <w:spacing w:beforeAutospacing="0" w:line="420" w:lineRule="exact"/>
        <w:ind w:leftChars="200"/>
        <w:jc w:val="left"/>
        <w:textAlignment w:val="auto"/>
        <w:rPr>
          <w:rFonts w:hint="eastAsia" w:ascii="宋体" w:hAnsi="宋体" w:eastAsia="宋体" w:cs="宋体"/>
          <w:b/>
          <w:color w:val="auto"/>
          <w:spacing w:val="10"/>
          <w:kern w:val="0"/>
          <w:sz w:val="24"/>
          <w:szCs w:val="24"/>
          <w:highlight w:val="none"/>
          <w:lang w:val="en-US" w:eastAsia="zh-CN"/>
        </w:rPr>
      </w:pPr>
      <w:r>
        <w:rPr>
          <w:rFonts w:hint="eastAsia" w:ascii="宋体" w:hAnsi="宋体" w:eastAsia="宋体" w:cs="宋体"/>
          <w:b/>
          <w:color w:val="auto"/>
          <w:kern w:val="0"/>
          <w:sz w:val="24"/>
          <w:szCs w:val="24"/>
        </w:rPr>
        <w:t>（</w:t>
      </w:r>
      <w:r>
        <w:rPr>
          <w:rFonts w:hint="eastAsia" w:ascii="宋体" w:hAnsi="宋体" w:eastAsia="宋体" w:cs="宋体"/>
          <w:b/>
          <w:color w:val="auto"/>
          <w:kern w:val="0"/>
          <w:sz w:val="24"/>
          <w:szCs w:val="24"/>
          <w:lang w:val="en-US" w:eastAsia="zh-CN"/>
        </w:rPr>
        <w:t>2</w:t>
      </w:r>
      <w:r>
        <w:rPr>
          <w:rFonts w:hint="eastAsia" w:ascii="宋体" w:hAnsi="宋体" w:eastAsia="宋体" w:cs="宋体"/>
          <w:b/>
          <w:color w:val="auto"/>
          <w:kern w:val="0"/>
          <w:sz w:val="24"/>
          <w:szCs w:val="24"/>
        </w:rPr>
        <w:t>）</w:t>
      </w:r>
      <w:r>
        <w:rPr>
          <w:rFonts w:hint="eastAsia" w:ascii="宋体" w:hAnsi="宋体" w:eastAsia="宋体" w:cs="宋体"/>
          <w:b/>
          <w:color w:val="auto"/>
          <w:spacing w:val="10"/>
          <w:kern w:val="0"/>
          <w:sz w:val="24"/>
          <w:szCs w:val="24"/>
          <w:highlight w:val="none"/>
          <w:lang w:val="en-US" w:eastAsia="zh-CN"/>
        </w:rPr>
        <w:t>报价部分</w:t>
      </w:r>
    </w:p>
    <w:p w14:paraId="2542E481">
      <w:pPr>
        <w:keepNext w:val="0"/>
        <w:keepLines w:val="0"/>
        <w:pageBreakBefore w:val="0"/>
        <w:widowControl w:val="0"/>
        <w:kinsoku/>
        <w:wordWrap w:val="0"/>
        <w:overflowPunct w:val="0"/>
        <w:topLinePunct w:val="0"/>
        <w:autoSpaceDE/>
        <w:autoSpaceDN/>
        <w:bidi w:val="0"/>
        <w:adjustRightInd w:val="0"/>
        <w:snapToGrid w:val="0"/>
        <w:spacing w:beforeAutospacing="0" w:line="420" w:lineRule="exact"/>
        <w:ind w:left="0" w:leftChars="0" w:firstLine="480" w:firstLineChars="200"/>
        <w:jc w:val="left"/>
        <w:textAlignment w:val="auto"/>
        <w:rPr>
          <w:rFonts w:hint="eastAsia" w:ascii="宋体" w:hAnsi="宋体" w:eastAsia="宋体" w:cs="宋体"/>
          <w:color w:val="auto"/>
          <w:spacing w:val="10"/>
          <w:kern w:val="0"/>
          <w:sz w:val="24"/>
          <w:szCs w:val="24"/>
          <w:highlight w:val="none"/>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pacing w:val="10"/>
          <w:kern w:val="0"/>
          <w:sz w:val="24"/>
          <w:szCs w:val="24"/>
          <w:highlight w:val="none"/>
        </w:rPr>
        <w:t xml:space="preserve">开标一览表 </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w:t>
      </w:r>
    </w:p>
    <w:p w14:paraId="0B2C0F10">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outlineLvl w:val="0"/>
        <w:rPr>
          <w:rFonts w:hint="eastAsia" w:ascii="宋体" w:hAnsi="宋体" w:eastAsia="宋体" w:cs="宋体"/>
          <w:b w:val="0"/>
          <w:bCs/>
          <w:color w:val="auto"/>
          <w:kern w:val="0"/>
          <w:sz w:val="24"/>
          <w:szCs w:val="24"/>
          <w:lang w:eastAsia="zh-CN"/>
        </w:rPr>
      </w:pPr>
      <w:bookmarkStart w:id="60" w:name="_Toc13828"/>
      <w:r>
        <w:rPr>
          <w:rFonts w:hint="eastAsia" w:ascii="宋体" w:hAnsi="宋体" w:eastAsia="宋体" w:cs="宋体"/>
          <w:b w:val="0"/>
          <w:bCs/>
          <w:color w:val="auto"/>
          <w:kern w:val="0"/>
          <w:sz w:val="24"/>
          <w:szCs w:val="24"/>
          <w:lang w:val="en-US" w:eastAsia="zh-CN"/>
        </w:rPr>
        <w:t>2</w:t>
      </w:r>
      <w:r>
        <w:rPr>
          <w:rFonts w:hint="eastAsia" w:ascii="宋体" w:hAnsi="宋体" w:eastAsia="宋体" w:cs="宋体"/>
          <w:b w:val="0"/>
          <w:bCs/>
          <w:color w:val="auto"/>
          <w:kern w:val="0"/>
          <w:sz w:val="24"/>
          <w:szCs w:val="24"/>
          <w:lang w:eastAsia="zh-CN"/>
        </w:rPr>
        <w:t>）</w:t>
      </w:r>
      <w:r>
        <w:rPr>
          <w:rFonts w:hint="eastAsia" w:ascii="宋体" w:hAnsi="宋体" w:eastAsia="宋体" w:cs="宋体"/>
          <w:b w:val="0"/>
          <w:bCs/>
          <w:color w:val="auto"/>
          <w:kern w:val="0"/>
          <w:sz w:val="24"/>
          <w:szCs w:val="24"/>
          <w:lang w:val="en-US" w:eastAsia="zh-CN"/>
        </w:rPr>
        <w:t>*</w:t>
      </w:r>
      <w:r>
        <w:rPr>
          <w:rFonts w:hint="eastAsia" w:ascii="宋体" w:hAnsi="宋体" w:eastAsia="宋体" w:cs="宋体"/>
          <w:b w:val="0"/>
          <w:bCs/>
          <w:color w:val="auto"/>
          <w:kern w:val="0"/>
          <w:sz w:val="24"/>
          <w:szCs w:val="24"/>
          <w:lang w:eastAsia="zh-CN"/>
        </w:rPr>
        <w:t>分项报价表</w:t>
      </w:r>
      <w:r>
        <w:rPr>
          <w:rFonts w:hint="eastAsia" w:ascii="宋体" w:hAnsi="宋体" w:eastAsia="宋体" w:cs="宋体"/>
          <w:color w:val="auto"/>
          <w:spacing w:val="10"/>
          <w:kern w:val="0"/>
          <w:sz w:val="24"/>
          <w:szCs w:val="24"/>
          <w:highlight w:val="none"/>
        </w:rPr>
        <w:t xml:space="preserve"> </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spacing w:val="10"/>
          <w:kern w:val="0"/>
          <w:sz w:val="24"/>
          <w:szCs w:val="24"/>
          <w:highlight w:val="none"/>
        </w:rPr>
        <w:t>；</w:t>
      </w:r>
      <w:bookmarkEnd w:id="60"/>
    </w:p>
    <w:p w14:paraId="7248430C">
      <w:pPr>
        <w:keepNext w:val="0"/>
        <w:keepLines w:val="0"/>
        <w:pageBreakBefore w:val="0"/>
        <w:widowControl/>
        <w:tabs>
          <w:tab w:val="left" w:pos="1440"/>
        </w:tabs>
        <w:kinsoku/>
        <w:wordWrap w:val="0"/>
        <w:overflowPunct w:val="0"/>
        <w:topLinePunct w:val="0"/>
        <w:autoSpaceDE/>
        <w:autoSpaceDN/>
        <w:bidi w:val="0"/>
        <w:snapToGrid w:val="0"/>
        <w:spacing w:line="500" w:lineRule="exact"/>
        <w:ind w:firstLine="354" w:firstLineChars="147"/>
        <w:jc w:val="left"/>
        <w:textAlignment w:val="auto"/>
        <w:rPr>
          <w:rFonts w:hint="eastAsia" w:ascii="宋体" w:hAnsi="宋体" w:eastAsia="宋体" w:cs="宋体"/>
          <w:color w:val="auto"/>
          <w:kern w:val="0"/>
          <w:sz w:val="24"/>
          <w:szCs w:val="24"/>
        </w:rPr>
      </w:pP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lang w:val="en-US" w:eastAsia="zh-CN"/>
        </w:rPr>
        <w:t>3</w:t>
      </w:r>
      <w:r>
        <w:rPr>
          <w:rFonts w:hint="eastAsia" w:ascii="宋体" w:hAnsi="宋体" w:eastAsia="宋体" w:cs="宋体"/>
          <w:b/>
          <w:color w:val="auto"/>
          <w:kern w:val="0"/>
          <w:sz w:val="24"/>
          <w:szCs w:val="24"/>
          <w:lang w:eastAsia="zh-CN"/>
        </w:rPr>
        <w:t>）</w:t>
      </w:r>
      <w:r>
        <w:rPr>
          <w:rFonts w:hint="eastAsia" w:ascii="宋体" w:hAnsi="宋体" w:eastAsia="宋体" w:cs="宋体"/>
          <w:b/>
          <w:color w:val="auto"/>
          <w:kern w:val="0"/>
          <w:sz w:val="24"/>
          <w:szCs w:val="24"/>
        </w:rPr>
        <w:t>商务</w:t>
      </w:r>
      <w:r>
        <w:rPr>
          <w:rFonts w:hint="eastAsia" w:ascii="宋体" w:hAnsi="宋体" w:eastAsia="宋体" w:cs="宋体"/>
          <w:b/>
          <w:color w:val="auto"/>
          <w:kern w:val="0"/>
          <w:sz w:val="24"/>
          <w:szCs w:val="24"/>
          <w:lang w:eastAsia="zh-CN"/>
        </w:rPr>
        <w:t>、技术部分</w:t>
      </w:r>
      <w:r>
        <w:rPr>
          <w:rFonts w:hint="eastAsia" w:ascii="宋体" w:hAnsi="宋体" w:eastAsia="宋体" w:cs="宋体"/>
          <w:color w:val="auto"/>
          <w:kern w:val="0"/>
          <w:sz w:val="24"/>
          <w:szCs w:val="24"/>
        </w:rPr>
        <w:t>：</w:t>
      </w:r>
    </w:p>
    <w:p w14:paraId="44033208">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投标人企业简况（</w:t>
      </w:r>
      <w:r>
        <w:rPr>
          <w:rFonts w:hint="eastAsia" w:ascii="宋体" w:hAnsi="宋体" w:eastAsia="宋体" w:cs="宋体"/>
          <w:color w:val="auto"/>
          <w:spacing w:val="10"/>
          <w:kern w:val="0"/>
          <w:sz w:val="24"/>
          <w:szCs w:val="24"/>
          <w:highlight w:val="none"/>
        </w:rPr>
        <w:t>见‘投标文件格式’</w:t>
      </w:r>
      <w:r>
        <w:rPr>
          <w:rFonts w:hint="eastAsia" w:ascii="宋体" w:hAnsi="宋体" w:eastAsia="宋体" w:cs="宋体"/>
          <w:color w:val="auto"/>
          <w:spacing w:val="10"/>
          <w:kern w:val="0"/>
          <w:sz w:val="24"/>
          <w:szCs w:val="24"/>
          <w:highlight w:val="none"/>
          <w:lang w:eastAsia="zh-CN"/>
        </w:rPr>
        <w:t>）</w:t>
      </w:r>
      <w:r>
        <w:rPr>
          <w:rFonts w:hint="eastAsia" w:ascii="宋体" w:hAnsi="宋体" w:eastAsia="宋体" w:cs="宋体"/>
          <w:color w:val="auto"/>
          <w:kern w:val="0"/>
          <w:sz w:val="24"/>
          <w:szCs w:val="24"/>
          <w:lang w:val="en-US" w:eastAsia="zh-CN"/>
        </w:rPr>
        <w:t>；</w:t>
      </w:r>
    </w:p>
    <w:p w14:paraId="409E2830">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lang w:val="en-US"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lang w:eastAsia="zh-CN"/>
        </w:rPr>
        <w:t>）投标人同类型业绩一览表</w:t>
      </w:r>
      <w:r>
        <w:rPr>
          <w:rFonts w:hint="eastAsia" w:ascii="宋体" w:hAnsi="宋体" w:eastAsia="宋体" w:cs="宋体"/>
          <w:color w:val="auto"/>
          <w:kern w:val="0"/>
          <w:sz w:val="24"/>
          <w:szCs w:val="24"/>
        </w:rPr>
        <w:t>（见‘投标文件格式’）；</w:t>
      </w:r>
    </w:p>
    <w:p w14:paraId="0F946F05">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xml:space="preserve">3) </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商务、技术偏离表；</w:t>
      </w:r>
      <w:r>
        <w:rPr>
          <w:rFonts w:hint="eastAsia" w:ascii="宋体" w:hAnsi="宋体" w:eastAsia="宋体" w:cs="宋体"/>
          <w:color w:val="auto"/>
          <w:kern w:val="0"/>
          <w:sz w:val="24"/>
          <w:szCs w:val="24"/>
        </w:rPr>
        <w:t>（见‘投标文件格式’）；</w:t>
      </w:r>
    </w:p>
    <w:p w14:paraId="7BD6FC40">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4）技术方案；</w:t>
      </w:r>
    </w:p>
    <w:p w14:paraId="3D0798B5">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投标人监狱企业、残疾人企业证明文件（复印件须加盖投标人公章见‘投标文件格式’）（若有）</w:t>
      </w:r>
    </w:p>
    <w:p w14:paraId="202C147A">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bCs/>
          <w:color w:val="auto"/>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投标人认为需</w:t>
      </w:r>
      <w:r>
        <w:rPr>
          <w:rFonts w:hint="eastAsia" w:ascii="宋体" w:hAnsi="宋体" w:eastAsia="宋体" w:cs="宋体"/>
          <w:color w:val="auto"/>
          <w:kern w:val="0"/>
          <w:sz w:val="24"/>
          <w:szCs w:val="24"/>
        </w:rPr>
        <w:t>要提供的其他材料。</w:t>
      </w:r>
    </w:p>
    <w:p w14:paraId="04D75C5B">
      <w:pPr>
        <w:pageBreakBefore w:val="0"/>
        <w:numPr>
          <w:ilvl w:val="0"/>
          <w:numId w:val="0"/>
        </w:numPr>
        <w:kinsoku/>
        <w:wordWrap w:val="0"/>
        <w:overflowPunct w:val="0"/>
        <w:topLinePunct w:val="0"/>
        <w:bidi w:val="0"/>
        <w:adjustRightInd w:val="0"/>
        <w:snapToGrid w:val="0"/>
        <w:spacing w:line="560" w:lineRule="exact"/>
        <w:ind w:left="0" w:leftChars="0" w:right="0" w:rightChars="0" w:firstLine="0" w:firstLineChars="0"/>
        <w:jc w:val="center"/>
        <w:outlineLvl w:val="9"/>
        <w:rPr>
          <w:rFonts w:hint="eastAsia" w:ascii="宋体" w:hAnsi="宋体" w:eastAsia="宋体" w:cs="宋体"/>
          <w:b/>
          <w:bCs/>
          <w:color w:val="auto"/>
          <w:sz w:val="24"/>
          <w:szCs w:val="24"/>
          <w:lang w:eastAsia="zh-CN"/>
        </w:rPr>
        <w:sectPr>
          <w:pgSz w:w="11906" w:h="16838"/>
          <w:pgMar w:top="1440" w:right="1080" w:bottom="1440" w:left="1080" w:header="851" w:footer="1134" w:gutter="0"/>
          <w:pgNumType w:fmt="decimal"/>
          <w:cols w:space="720" w:num="1"/>
          <w:docGrid w:type="lines" w:linePitch="330" w:charSpace="0"/>
        </w:sectPr>
      </w:pPr>
    </w:p>
    <w:bookmarkEnd w:id="52"/>
    <w:p w14:paraId="238F1270">
      <w:pPr>
        <w:pageBreakBefore w:val="0"/>
        <w:kinsoku/>
        <w:wordWrap w:val="0"/>
        <w:overflowPunct w:val="0"/>
        <w:topLinePunct w:val="0"/>
        <w:bidi w:val="0"/>
        <w:adjustRightInd w:val="0"/>
        <w:snapToGrid w:val="0"/>
        <w:spacing w:line="600" w:lineRule="exact"/>
        <w:jc w:val="center"/>
        <w:outlineLvl w:val="0"/>
        <w:rPr>
          <w:rFonts w:hint="eastAsia" w:ascii="宋体" w:hAnsi="宋体" w:eastAsia="宋体" w:cs="宋体"/>
          <w:b/>
          <w:color w:val="auto"/>
          <w:sz w:val="24"/>
          <w:szCs w:val="24"/>
        </w:rPr>
      </w:pPr>
      <w:bookmarkStart w:id="61" w:name="_Toc20771"/>
      <w:bookmarkStart w:id="62" w:name="_Toc25954"/>
      <w:bookmarkStart w:id="63" w:name="_Toc28707"/>
      <w:bookmarkStart w:id="64" w:name="_Toc14087_WPSOffice_Level1"/>
      <w:bookmarkStart w:id="65" w:name="_Toc25227"/>
      <w:bookmarkStart w:id="66" w:name="_Toc7120"/>
      <w:bookmarkStart w:id="67" w:name="_Toc27467"/>
      <w:r>
        <w:rPr>
          <w:rFonts w:hint="eastAsia" w:ascii="宋体" w:hAnsi="宋体" w:eastAsia="宋体" w:cs="宋体"/>
          <w:b/>
          <w:color w:val="auto"/>
          <w:sz w:val="24"/>
          <w:szCs w:val="24"/>
        </w:rPr>
        <w:t>投标函</w:t>
      </w:r>
      <w:bookmarkEnd w:id="61"/>
      <w:bookmarkEnd w:id="62"/>
      <w:bookmarkEnd w:id="63"/>
      <w:bookmarkEnd w:id="64"/>
      <w:bookmarkEnd w:id="65"/>
      <w:bookmarkEnd w:id="66"/>
      <w:bookmarkEnd w:id="67"/>
    </w:p>
    <w:p w14:paraId="14AB91F0">
      <w:pPr>
        <w:pageBreakBefore w:val="0"/>
        <w:kinsoku/>
        <w:wordWrap w:val="0"/>
        <w:overflowPunct w:val="0"/>
        <w:topLinePunct w:val="0"/>
        <w:bidi w:val="0"/>
        <w:adjustRightInd w:val="0"/>
        <w:snapToGrid w:val="0"/>
        <w:spacing w:line="480" w:lineRule="exac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rPr>
        <w:t>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1A96E454">
      <w:pPr>
        <w:pageBreakBefore w:val="0"/>
        <w:kinsoku/>
        <w:wordWrap w:val="0"/>
        <w:overflowPunct w:val="0"/>
        <w:topLinePunct w:val="0"/>
        <w:bidi w:val="0"/>
        <w:adjustRightInd w:val="0"/>
        <w:snapToGrid w:val="0"/>
        <w:spacing w:line="480" w:lineRule="exact"/>
        <w:ind w:firstLine="435"/>
        <w:rPr>
          <w:rFonts w:hint="eastAsia" w:ascii="宋体" w:hAnsi="宋体" w:eastAsia="宋体" w:cs="宋体"/>
          <w:color w:val="auto"/>
          <w:sz w:val="24"/>
          <w:szCs w:val="24"/>
        </w:rPr>
      </w:pPr>
      <w:r>
        <w:rPr>
          <w:rFonts w:hint="eastAsia" w:ascii="宋体" w:hAnsi="宋体" w:eastAsia="宋体" w:cs="宋体"/>
          <w:color w:val="auto"/>
          <w:sz w:val="24"/>
          <w:szCs w:val="24"/>
        </w:rPr>
        <w:t>根据贵方的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（项目名称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包号</w:t>
      </w:r>
      <w:r>
        <w:rPr>
          <w:rFonts w:hint="eastAsia" w:ascii="宋体" w:hAnsi="宋体" w:eastAsia="宋体" w:cs="宋体"/>
          <w:color w:val="auto"/>
          <w:sz w:val="24"/>
          <w:szCs w:val="24"/>
        </w:rPr>
        <w:t>）的招标文件，（</w:t>
      </w:r>
      <w:r>
        <w:rPr>
          <w:rFonts w:hint="eastAsia" w:ascii="宋体" w:hAnsi="宋体" w:eastAsia="宋体" w:cs="宋体"/>
          <w:color w:val="auto"/>
          <w:sz w:val="24"/>
          <w:szCs w:val="24"/>
          <w:lang w:eastAsia="zh-CN"/>
        </w:rPr>
        <w:t>项目编号</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），签字代表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（姓名、职务）经正式授权并代表投标人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（投标人名称、地址）提交下述文件</w:t>
      </w:r>
      <w:r>
        <w:rPr>
          <w:rFonts w:hint="eastAsia" w:ascii="宋体" w:hAnsi="宋体" w:eastAsia="宋体" w:cs="宋体"/>
          <w:color w:val="auto"/>
          <w:sz w:val="24"/>
          <w:szCs w:val="24"/>
          <w:lang w:eastAsia="zh-CN"/>
        </w:rPr>
        <w:t>的电子投标文件</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份</w:t>
      </w:r>
      <w:r>
        <w:rPr>
          <w:rFonts w:hint="eastAsia" w:ascii="宋体" w:hAnsi="宋体" w:eastAsia="宋体" w:cs="宋体"/>
          <w:color w:val="auto"/>
          <w:sz w:val="24"/>
          <w:szCs w:val="24"/>
        </w:rPr>
        <w:t>并在此声明，所递交的投标文件内容完整、真实。</w:t>
      </w:r>
    </w:p>
    <w:p w14:paraId="54F4847C">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在此，签字代表宣布同意如下：</w:t>
      </w:r>
    </w:p>
    <w:p w14:paraId="294F4E3C">
      <w:pPr>
        <w:pageBreakBefore w:val="0"/>
        <w:kinsoku/>
        <w:wordWrap w:val="0"/>
        <w:overflowPunct w:val="0"/>
        <w:topLinePunct w:val="0"/>
        <w:bidi w:val="0"/>
        <w:adjustRightInd w:val="0"/>
        <w:snapToGrid w:val="0"/>
        <w:spacing w:line="48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1、投标人将按招标文件的规定履行合同责任和义务。</w:t>
      </w:r>
    </w:p>
    <w:p w14:paraId="766C5F14">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2、投标人已详细审查全部招标文件。我们完全理解并同意放弃对这方面有不明及误解的权力。</w:t>
      </w:r>
    </w:p>
    <w:p w14:paraId="4DAD72F3">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3、本投标有效期为自招标文件规定的提交投标文件截止之日起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日历</w:t>
      </w:r>
      <w:r>
        <w:rPr>
          <w:rFonts w:hint="eastAsia" w:ascii="宋体" w:hAnsi="宋体" w:eastAsia="宋体" w:cs="宋体"/>
          <w:color w:val="auto"/>
          <w:sz w:val="24"/>
          <w:szCs w:val="24"/>
          <w:lang w:eastAsia="zh-CN"/>
        </w:rPr>
        <w:t>天</w:t>
      </w:r>
      <w:r>
        <w:rPr>
          <w:rFonts w:hint="eastAsia" w:ascii="宋体" w:hAnsi="宋体" w:eastAsia="宋体" w:cs="宋体"/>
          <w:color w:val="auto"/>
          <w:sz w:val="24"/>
          <w:szCs w:val="24"/>
        </w:rPr>
        <w:t>。在投标有效期内我方同意遵守本投标文件中的承诺且在此期限期满之前投标文件对我方具有法律约束力。</w:t>
      </w:r>
    </w:p>
    <w:p w14:paraId="7615597D">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4、根据第一章“投标须知”第3条规定，我方承诺：</w:t>
      </w:r>
    </w:p>
    <w:p w14:paraId="5B65F248">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 我们在参加本项目政府采购活动前三年内，在经营活动中没有违背法律的行为，并提供“参加政府采购活动前三年内在经营活动中没有重大违法记录的书面声明”；</w:t>
      </w:r>
    </w:p>
    <w:p w14:paraId="21BD7A61">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 我们依照有关法律的规定，没有偷税、漏税的行为，没有逃避缴纳社会保险资金的行为；</w:t>
      </w:r>
    </w:p>
    <w:p w14:paraId="2D5A0FC2">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pacing w:val="-4"/>
          <w:sz w:val="24"/>
          <w:szCs w:val="24"/>
        </w:rPr>
      </w:pPr>
      <w:r>
        <w:rPr>
          <w:rFonts w:hint="eastAsia" w:ascii="宋体" w:hAnsi="宋体" w:eastAsia="宋体" w:cs="宋体"/>
          <w:color w:val="auto"/>
          <w:sz w:val="24"/>
          <w:szCs w:val="24"/>
        </w:rPr>
        <w:t xml:space="preserve">(3) </w:t>
      </w:r>
      <w:r>
        <w:rPr>
          <w:rFonts w:hint="eastAsia" w:ascii="宋体" w:hAnsi="宋体" w:eastAsia="宋体" w:cs="宋体"/>
          <w:color w:val="auto"/>
          <w:spacing w:val="-4"/>
          <w:sz w:val="24"/>
          <w:szCs w:val="24"/>
        </w:rPr>
        <w:t>与采购人和采购代理机构</w:t>
      </w:r>
      <w:r>
        <w:rPr>
          <w:rFonts w:hint="eastAsia" w:ascii="宋体" w:hAnsi="宋体" w:eastAsia="宋体" w:cs="宋体"/>
          <w:bCs/>
          <w:color w:val="auto"/>
          <w:spacing w:val="-4"/>
          <w:sz w:val="24"/>
          <w:szCs w:val="24"/>
        </w:rPr>
        <w:t>无任何的隶属关系或者其他利害关系</w:t>
      </w:r>
      <w:r>
        <w:rPr>
          <w:rFonts w:hint="eastAsia" w:ascii="宋体" w:hAnsi="宋体" w:eastAsia="宋体" w:cs="宋体"/>
          <w:color w:val="auto"/>
          <w:spacing w:val="-4"/>
          <w:sz w:val="24"/>
          <w:szCs w:val="24"/>
        </w:rPr>
        <w:t>。</w:t>
      </w:r>
    </w:p>
    <w:p w14:paraId="09A0D70B">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5、同意提供贵方可能要求的与其投标有关的一切数据或资料。 </w:t>
      </w:r>
    </w:p>
    <w:p w14:paraId="5AD6E01B">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否决投标后，在收到贵方的通知后，我方本投标函及所有投标文件中声明、授权、承诺、盖章签字等，对于贵方采用竞争性谈判采购仍然有效。我方遵守贵方招标文件关于特殊情形采用竞争性谈判采购的有关规定，并无异议。</w:t>
      </w:r>
    </w:p>
    <w:p w14:paraId="67B685BD">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7、与本投标有关的一切正式往来信函请寄：</w:t>
      </w:r>
    </w:p>
    <w:p w14:paraId="6978B04F">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邮编：</w:t>
      </w:r>
      <w:r>
        <w:rPr>
          <w:rFonts w:hint="eastAsia" w:ascii="宋体" w:hAnsi="宋体" w:eastAsia="宋体" w:cs="宋体"/>
          <w:color w:val="auto"/>
          <w:sz w:val="24"/>
          <w:szCs w:val="24"/>
          <w:u w:val="single"/>
        </w:rPr>
        <w:t xml:space="preserve">              </w:t>
      </w:r>
    </w:p>
    <w:p w14:paraId="58FAD119">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传真：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70FC8AF">
      <w:pPr>
        <w:pStyle w:val="14"/>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p>
    <w:p w14:paraId="093FE222">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715AA7D7">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5691DBD5">
      <w:pPr>
        <w:pageBreakBefore w:val="0"/>
        <w:kinsoku/>
        <w:wordWrap w:val="0"/>
        <w:overflowPunct w:val="0"/>
        <w:topLinePunct w:val="0"/>
        <w:bidi w:val="0"/>
        <w:adjustRightInd w:val="0"/>
        <w:snapToGrid w:val="0"/>
        <w:spacing w:line="480" w:lineRule="exact"/>
        <w:ind w:firstLine="480" w:firstLineChars="200"/>
        <w:rPr>
          <w:rFonts w:hint="eastAsia" w:ascii="宋体" w:hAnsi="宋体" w:eastAsia="宋体" w:cs="宋体"/>
          <w:color w:val="auto"/>
          <w:sz w:val="24"/>
          <w:szCs w:val="24"/>
        </w:rPr>
      </w:pPr>
    </w:p>
    <w:p w14:paraId="62C208AA">
      <w:pPr>
        <w:pageBreakBefore w:val="0"/>
        <w:kinsoku/>
        <w:wordWrap w:val="0"/>
        <w:overflowPunct w:val="0"/>
        <w:topLinePunct w:val="0"/>
        <w:bidi w:val="0"/>
        <w:adjustRightInd w:val="0"/>
        <w:snapToGrid w:val="0"/>
        <w:spacing w:line="480" w:lineRule="exact"/>
        <w:ind w:left="13" w:leftChars="6" w:firstLine="482" w:firstLineChars="200"/>
        <w:rPr>
          <w:rFonts w:hint="eastAsia" w:ascii="宋体" w:hAnsi="宋体" w:eastAsia="宋体" w:cs="宋体"/>
          <w:color w:val="auto"/>
          <w:sz w:val="24"/>
          <w:szCs w:val="24"/>
        </w:rPr>
      </w:pPr>
      <w:r>
        <w:rPr>
          <w:rFonts w:hint="eastAsia" w:ascii="宋体" w:hAnsi="宋体" w:eastAsia="宋体" w:cs="宋体"/>
          <w:b/>
          <w:color w:val="auto"/>
          <w:sz w:val="24"/>
          <w:szCs w:val="24"/>
        </w:rPr>
        <w:t>备注</w:t>
      </w:r>
      <w:r>
        <w:rPr>
          <w:rFonts w:hint="eastAsia" w:ascii="宋体" w:hAnsi="宋体" w:eastAsia="宋体" w:cs="宋体"/>
          <w:color w:val="auto"/>
          <w:sz w:val="24"/>
          <w:szCs w:val="24"/>
        </w:rPr>
        <w:t>：1、除可填报项目外，对本投标函的任何修改将被视为非实质性响应投标，在评标时将其视为无效投标。</w:t>
      </w:r>
    </w:p>
    <w:p w14:paraId="0F4CCE50">
      <w:pPr>
        <w:pageBreakBefore w:val="0"/>
        <w:widowControl/>
        <w:kinsoku/>
        <w:wordWrap w:val="0"/>
        <w:overflowPunct w:val="0"/>
        <w:topLinePunct w:val="0"/>
        <w:bidi w:val="0"/>
        <w:spacing w:line="480" w:lineRule="exact"/>
        <w:ind w:left="13" w:leftChars="6" w:firstLine="480" w:firstLineChars="200"/>
        <w:jc w:val="left"/>
        <w:rPr>
          <w:rFonts w:hint="eastAsia" w:ascii="宋体" w:hAnsi="宋体" w:eastAsia="宋体" w:cs="宋体"/>
          <w:color w:val="auto"/>
          <w:spacing w:val="-4"/>
          <w:sz w:val="24"/>
          <w:szCs w:val="24"/>
        </w:rPr>
      </w:pPr>
      <w:r>
        <w:rPr>
          <w:rFonts w:hint="eastAsia" w:ascii="宋体" w:hAnsi="宋体" w:eastAsia="宋体" w:cs="宋体"/>
          <w:color w:val="auto"/>
          <w:sz w:val="24"/>
          <w:szCs w:val="24"/>
        </w:rPr>
        <w:t>2、</w:t>
      </w:r>
      <w:r>
        <w:rPr>
          <w:rFonts w:hint="eastAsia" w:ascii="宋体" w:hAnsi="宋体" w:eastAsia="宋体" w:cs="宋体"/>
          <w:color w:val="auto"/>
          <w:spacing w:val="-4"/>
          <w:sz w:val="24"/>
          <w:szCs w:val="24"/>
          <w:lang w:val="en-US" w:eastAsia="zh-CN"/>
        </w:rPr>
        <w:t>投标人</w:t>
      </w:r>
      <w:r>
        <w:rPr>
          <w:rFonts w:hint="eastAsia" w:ascii="宋体" w:hAnsi="宋体" w:eastAsia="宋体" w:cs="宋体"/>
          <w:color w:val="auto"/>
          <w:spacing w:val="-4"/>
          <w:sz w:val="24"/>
          <w:szCs w:val="24"/>
        </w:rPr>
        <w:t>注册成立不足三年的，承诺与声明从单位成立始至参加本项目政府采购活动止</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后同</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w:t>
      </w:r>
    </w:p>
    <w:p w14:paraId="170ABCD3">
      <w:pPr>
        <w:pageBreakBefore w:val="0"/>
        <w:kinsoku/>
        <w:wordWrap w:val="0"/>
        <w:overflowPunct w:val="0"/>
        <w:topLinePunct w:val="0"/>
        <w:bidi w:val="0"/>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br w:type="page"/>
      </w:r>
    </w:p>
    <w:p w14:paraId="7294CABF">
      <w:pPr>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sz w:val="24"/>
          <w:szCs w:val="24"/>
          <w:lang w:eastAsia="zh-CN"/>
        </w:rPr>
      </w:pPr>
      <w:r>
        <w:rPr>
          <w:rFonts w:hint="eastAsia" w:ascii="宋体" w:hAnsi="宋体" w:eastAsia="宋体" w:cs="宋体"/>
          <w:b/>
          <w:bCs/>
          <w:color w:val="auto"/>
          <w:kern w:val="0"/>
          <w:sz w:val="24"/>
          <w:szCs w:val="24"/>
        </w:rPr>
        <w:t>法定代表人身份证明书</w:t>
      </w:r>
    </w:p>
    <w:p w14:paraId="08053D07">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投标人</w:t>
      </w:r>
      <w:r>
        <w:rPr>
          <w:rFonts w:hint="eastAsia" w:ascii="宋体" w:hAnsi="宋体" w:eastAsia="宋体" w:cs="宋体"/>
          <w:color w:val="auto"/>
          <w:kern w:val="0"/>
          <w:sz w:val="24"/>
          <w:szCs w:val="24"/>
        </w:rPr>
        <w:t>名称：</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w:t>
      </w:r>
    </w:p>
    <w:p w14:paraId="47D0FC33">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统一信用代码</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u w:val="single"/>
        </w:rPr>
        <w:t xml:space="preserve">                  </w:t>
      </w:r>
    </w:p>
    <w:p w14:paraId="316A7DD6">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注册地址：</w:t>
      </w:r>
      <w:r>
        <w:rPr>
          <w:rFonts w:hint="eastAsia" w:ascii="宋体" w:hAnsi="宋体" w:eastAsia="宋体" w:cs="宋体"/>
          <w:color w:val="auto"/>
          <w:kern w:val="0"/>
          <w:sz w:val="24"/>
          <w:szCs w:val="24"/>
          <w:u w:val="single"/>
        </w:rPr>
        <w:t xml:space="preserve">                              </w:t>
      </w:r>
    </w:p>
    <w:p w14:paraId="57D68BDA">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成立时间： </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年 </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日</w:t>
      </w:r>
    </w:p>
    <w:p w14:paraId="68094DEA">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经营期限：</w:t>
      </w:r>
      <w:r>
        <w:rPr>
          <w:rFonts w:hint="eastAsia" w:ascii="宋体" w:hAnsi="宋体" w:eastAsia="宋体" w:cs="宋体"/>
          <w:color w:val="auto"/>
          <w:kern w:val="0"/>
          <w:sz w:val="24"/>
          <w:szCs w:val="24"/>
          <w:u w:val="single"/>
        </w:rPr>
        <w:t xml:space="preserve">                  </w:t>
      </w:r>
    </w:p>
    <w:p w14:paraId="0E8ED522">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经营范围：</w:t>
      </w:r>
      <w:r>
        <w:rPr>
          <w:rFonts w:hint="eastAsia" w:ascii="宋体" w:hAnsi="宋体" w:eastAsia="宋体" w:cs="宋体"/>
          <w:color w:val="auto"/>
          <w:kern w:val="0"/>
          <w:sz w:val="24"/>
          <w:szCs w:val="24"/>
          <w:u w:val="single"/>
        </w:rPr>
        <w:t xml:space="preserve">                  </w:t>
      </w:r>
    </w:p>
    <w:p w14:paraId="5E70FDAA">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姓名：</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性别：</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年龄：</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职务：</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系</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w:t>
      </w:r>
      <w:r>
        <w:rPr>
          <w:rFonts w:hint="eastAsia" w:ascii="宋体" w:hAnsi="宋体" w:eastAsia="宋体" w:cs="宋体"/>
          <w:color w:val="auto"/>
          <w:sz w:val="24"/>
          <w:szCs w:val="24"/>
        </w:rPr>
        <w:t>投标人</w:t>
      </w:r>
      <w:r>
        <w:rPr>
          <w:rFonts w:hint="eastAsia" w:ascii="宋体" w:hAnsi="宋体" w:eastAsia="宋体" w:cs="宋体"/>
          <w:color w:val="auto"/>
          <w:kern w:val="0"/>
          <w:sz w:val="24"/>
          <w:szCs w:val="24"/>
        </w:rPr>
        <w:t>名称）的法定代表人。</w:t>
      </w:r>
    </w:p>
    <w:p w14:paraId="04301BC9">
      <w:pPr>
        <w:pageBreakBefore w:val="0"/>
        <w:kinsoku/>
        <w:wordWrap w:val="0"/>
        <w:overflowPunct w:val="0"/>
        <w:topLinePunct w:val="0"/>
        <w:autoSpaceDE w:val="0"/>
        <w:autoSpaceDN w:val="0"/>
        <w:bidi w:val="0"/>
        <w:adjustRightInd w:val="0"/>
        <w:snapToGrid w:val="0"/>
        <w:spacing w:line="52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特此证明。</w:t>
      </w:r>
    </w:p>
    <w:p w14:paraId="2248F038">
      <w:pPr>
        <w:pageBreakBefore w:val="0"/>
        <w:kinsoku/>
        <w:wordWrap w:val="0"/>
        <w:overflowPunct w:val="0"/>
        <w:topLinePunct w:val="0"/>
        <w:autoSpaceDE w:val="0"/>
        <w:autoSpaceDN w:val="0"/>
        <w:bidi w:val="0"/>
        <w:adjustRightInd w:val="0"/>
        <w:snapToGrid w:val="0"/>
        <w:spacing w:line="400" w:lineRule="exact"/>
        <w:jc w:val="left"/>
        <w:rPr>
          <w:rFonts w:hint="eastAsia" w:ascii="宋体" w:hAnsi="宋体" w:eastAsia="宋体" w:cs="宋体"/>
          <w:color w:val="auto"/>
          <w:kern w:val="0"/>
          <w:sz w:val="24"/>
          <w:szCs w:val="24"/>
        </w:rPr>
      </w:pPr>
    </w:p>
    <w:tbl>
      <w:tblPr>
        <w:tblStyle w:val="26"/>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BAD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8528" w:type="dxa"/>
            <w:noWrap w:val="0"/>
            <w:vAlign w:val="center"/>
          </w:tcPr>
          <w:p w14:paraId="1160B49A">
            <w:pPr>
              <w:pageBreakBefore w:val="0"/>
              <w:kinsoku/>
              <w:wordWrap w:val="0"/>
              <w:overflowPunct w:val="0"/>
              <w:topLinePunct w:val="0"/>
              <w:bidi w:val="0"/>
              <w:adjustRightInd w:val="0"/>
              <w:snapToGrid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法定代表人身份证复印件</w:t>
            </w:r>
          </w:p>
        </w:tc>
      </w:tr>
    </w:tbl>
    <w:p w14:paraId="791BD01E">
      <w:pPr>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1A78AE34">
      <w:pPr>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0BEABA11">
      <w:pPr>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3B224653">
      <w:pPr>
        <w:pageBreakBefore w:val="0"/>
        <w:kinsoku/>
        <w:wordWrap w:val="0"/>
        <w:overflowPunct w:val="0"/>
        <w:topLinePunct w:val="0"/>
        <w:bidi w:val="0"/>
        <w:adjustRightInd w:val="0"/>
        <w:snapToGrid w:val="0"/>
        <w:spacing w:line="520" w:lineRule="exact"/>
        <w:ind w:right="42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7AF5BCE3">
      <w:pPr>
        <w:pageBreakBefore w:val="0"/>
        <w:tabs>
          <w:tab w:val="left" w:pos="4790"/>
        </w:tabs>
        <w:kinsoku/>
        <w:wordWrap w:val="0"/>
        <w:overflowPunct w:val="0"/>
        <w:topLinePunct w:val="0"/>
        <w:bidi w:val="0"/>
        <w:jc w:val="right"/>
        <w:rPr>
          <w:rFonts w:hint="eastAsia" w:ascii="宋体" w:hAnsi="宋体" w:eastAsia="宋体" w:cs="宋体"/>
          <w:color w:val="auto"/>
          <w:sz w:val="24"/>
          <w:szCs w:val="24"/>
          <w:u w:val="none"/>
          <w:lang w:eastAsia="zh-CN"/>
        </w:rPr>
      </w:pPr>
    </w:p>
    <w:p w14:paraId="77AEF65C">
      <w:pPr>
        <w:pageBreakBefore w:val="0"/>
        <w:tabs>
          <w:tab w:val="left" w:pos="4790"/>
        </w:tabs>
        <w:kinsoku/>
        <w:wordWrap w:val="0"/>
        <w:overflowPunct w:val="0"/>
        <w:topLinePunct w:val="0"/>
        <w:bidi w:val="0"/>
        <w:jc w:val="right"/>
        <w:rPr>
          <w:rFonts w:hint="eastAsia" w:ascii="宋体" w:hAnsi="宋体" w:eastAsia="宋体" w:cs="宋体"/>
          <w:color w:val="auto"/>
          <w:sz w:val="24"/>
          <w:szCs w:val="24"/>
        </w:rPr>
      </w:pPr>
      <w:r>
        <w:rPr>
          <w:rFonts w:hint="eastAsia" w:ascii="宋体" w:hAnsi="宋体" w:eastAsia="宋体" w:cs="宋体"/>
          <w:color w:val="auto"/>
          <w:sz w:val="24"/>
          <w:szCs w:val="24"/>
          <w:u w:val="none"/>
          <w:lang w:eastAsia="zh-CN"/>
        </w:rPr>
        <w:t>日期：</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 w:val="24"/>
          <w:szCs w:val="24"/>
        </w:rPr>
        <w:t>日</w:t>
      </w:r>
    </w:p>
    <w:p w14:paraId="4F66F809">
      <w:pPr>
        <w:pStyle w:val="23"/>
        <w:pageBreakBefore w:val="0"/>
        <w:kinsoku/>
        <w:wordWrap w:val="0"/>
        <w:overflowPunct w:val="0"/>
        <w:topLinePunct w:val="0"/>
        <w:bidi w:val="0"/>
        <w:jc w:val="both"/>
        <w:outlineLvl w:val="9"/>
        <w:rPr>
          <w:rFonts w:hint="eastAsia" w:ascii="宋体" w:hAnsi="宋体" w:eastAsia="宋体" w:cs="宋体"/>
          <w:color w:val="auto"/>
          <w:sz w:val="24"/>
          <w:szCs w:val="24"/>
        </w:rPr>
      </w:pPr>
    </w:p>
    <w:p w14:paraId="022DD6FE">
      <w:pPr>
        <w:pageBreakBefore w:val="0"/>
        <w:kinsoku/>
        <w:wordWrap w:val="0"/>
        <w:overflowPunct w:val="0"/>
        <w:topLinePunct w:val="0"/>
        <w:bidi w:val="0"/>
        <w:adjustRightInd w:val="0"/>
        <w:snapToGrid w:val="0"/>
        <w:spacing w:line="520" w:lineRule="exact"/>
        <w:ind w:right="420"/>
        <w:rPr>
          <w:rFonts w:hint="eastAsia" w:ascii="宋体" w:hAnsi="宋体" w:eastAsia="宋体" w:cs="宋体"/>
          <w:b/>
          <w:bCs/>
          <w:color w:val="auto"/>
          <w:sz w:val="24"/>
          <w:szCs w:val="24"/>
        </w:rPr>
      </w:pPr>
      <w:r>
        <w:rPr>
          <w:rFonts w:hint="eastAsia" w:ascii="宋体" w:hAnsi="宋体" w:eastAsia="宋体" w:cs="宋体"/>
          <w:b/>
          <w:bCs/>
          <w:color w:val="auto"/>
          <w:sz w:val="24"/>
          <w:szCs w:val="24"/>
        </w:rPr>
        <w:t>注：适用于无委托代理人的情况。</w:t>
      </w:r>
    </w:p>
    <w:p w14:paraId="0200D884">
      <w:pPr>
        <w:pageBreakBefore w:val="0"/>
        <w:kinsoku/>
        <w:wordWrap w:val="0"/>
        <w:overflowPunct w:val="0"/>
        <w:topLinePunct w:val="0"/>
        <w:bidi w:val="0"/>
        <w:rPr>
          <w:rFonts w:hint="eastAsia" w:ascii="宋体" w:hAnsi="宋体" w:eastAsia="宋体" w:cs="宋体"/>
          <w:color w:val="auto"/>
        </w:rPr>
      </w:pPr>
    </w:p>
    <w:p w14:paraId="22751CC4">
      <w:pPr>
        <w:pageBreakBefore w:val="0"/>
        <w:kinsoku/>
        <w:wordWrap w:val="0"/>
        <w:overflowPunct w:val="0"/>
        <w:topLinePunct w:val="0"/>
        <w:bidi w:val="0"/>
        <w:rPr>
          <w:rFonts w:hint="eastAsia" w:ascii="宋体" w:hAnsi="宋体" w:eastAsia="宋体" w:cs="宋体"/>
          <w:color w:val="auto"/>
        </w:rPr>
        <w:sectPr>
          <w:pgSz w:w="11906" w:h="16838"/>
          <w:pgMar w:top="1440" w:right="1080" w:bottom="1440" w:left="1080" w:header="851" w:footer="1134" w:gutter="0"/>
          <w:pgNumType w:fmt="decimal"/>
          <w:cols w:space="720" w:num="1"/>
          <w:docGrid w:type="lines" w:linePitch="330" w:charSpace="0"/>
        </w:sectPr>
      </w:pPr>
    </w:p>
    <w:p w14:paraId="449E3200">
      <w:pPr>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kern w:val="0"/>
          <w:sz w:val="24"/>
          <w:szCs w:val="24"/>
          <w:lang w:val="en-US" w:eastAsia="zh-CN"/>
        </w:rPr>
      </w:pPr>
      <w:bookmarkStart w:id="68" w:name="_Toc6734_WPSOffice_Level1"/>
      <w:r>
        <w:rPr>
          <w:rFonts w:hint="eastAsia" w:ascii="宋体" w:hAnsi="宋体" w:eastAsia="宋体" w:cs="宋体"/>
          <w:b/>
          <w:bCs/>
          <w:color w:val="auto"/>
          <w:kern w:val="0"/>
          <w:sz w:val="24"/>
          <w:szCs w:val="24"/>
          <w:lang w:val="en-US" w:eastAsia="zh-CN"/>
        </w:rPr>
        <w:t>法人授权委托书</w:t>
      </w:r>
    </w:p>
    <w:p w14:paraId="379E65C8">
      <w:pPr>
        <w:pageBreakBefore w:val="0"/>
        <w:kinsoku/>
        <w:wordWrap w:val="0"/>
        <w:overflowPunct w:val="0"/>
        <w:topLinePunct w:val="0"/>
        <w:autoSpaceDE w:val="0"/>
        <w:autoSpaceDN w:val="0"/>
        <w:bidi w:val="0"/>
        <w:adjustRightInd w:val="0"/>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（姓名、职务）系</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w:t>
      </w:r>
      <w:r>
        <w:rPr>
          <w:rFonts w:hint="eastAsia" w:ascii="宋体" w:hAnsi="宋体" w:eastAsia="宋体" w:cs="宋体"/>
          <w:color w:val="auto"/>
          <w:sz w:val="24"/>
          <w:szCs w:val="24"/>
        </w:rPr>
        <w:t>投标人</w:t>
      </w:r>
      <w:r>
        <w:rPr>
          <w:rFonts w:hint="eastAsia" w:ascii="宋体" w:hAnsi="宋体" w:eastAsia="宋体" w:cs="宋体"/>
          <w:color w:val="auto"/>
          <w:kern w:val="0"/>
          <w:sz w:val="24"/>
          <w:szCs w:val="24"/>
        </w:rPr>
        <w:t>名称）的法定代表人，现授权</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（姓名、职务）为我方代理人。代理人根据授权，以我方名义签署、澄清、说明、补正、递交、撤回、修改</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（项目名称</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包号、</w:t>
      </w:r>
      <w:r>
        <w:rPr>
          <w:rFonts w:hint="eastAsia" w:ascii="宋体" w:hAnsi="宋体" w:eastAsia="宋体" w:cs="宋体"/>
          <w:color w:val="auto"/>
          <w:kern w:val="0"/>
          <w:sz w:val="24"/>
          <w:szCs w:val="24"/>
          <w:lang w:eastAsia="zh-CN"/>
        </w:rPr>
        <w:t>项目编号</w:t>
      </w:r>
      <w:r>
        <w:rPr>
          <w:rFonts w:hint="eastAsia" w:ascii="宋体" w:hAnsi="宋体" w:eastAsia="宋体" w:cs="宋体"/>
          <w:color w:val="auto"/>
          <w:kern w:val="0"/>
          <w:sz w:val="24"/>
          <w:szCs w:val="24"/>
        </w:rPr>
        <w:t>）投标文件、签订合同和处理有关事宜，其法律后果由我方承担。</w:t>
      </w:r>
    </w:p>
    <w:p w14:paraId="59F5F29C">
      <w:pPr>
        <w:pageBreakBefore w:val="0"/>
        <w:kinsoku/>
        <w:wordWrap w:val="0"/>
        <w:overflowPunct w:val="0"/>
        <w:topLinePunct w:val="0"/>
        <w:autoSpaceDE w:val="0"/>
        <w:autoSpaceDN w:val="0"/>
        <w:bidi w:val="0"/>
        <w:adjustRightInd w:val="0"/>
        <w:snapToGrid w:val="0"/>
        <w:spacing w:line="52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委托期限：</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1E306F8D">
      <w:pPr>
        <w:pageBreakBefore w:val="0"/>
        <w:kinsoku/>
        <w:wordWrap w:val="0"/>
        <w:overflowPunct w:val="0"/>
        <w:topLinePunct w:val="0"/>
        <w:bidi w:val="0"/>
        <w:adjustRightInd w:val="0"/>
        <w:snapToGrid w:val="0"/>
        <w:spacing w:line="520" w:lineRule="exact"/>
        <w:ind w:firstLine="435"/>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代理人无转委托权。</w:t>
      </w:r>
    </w:p>
    <w:p w14:paraId="772D3B52">
      <w:pPr>
        <w:pStyle w:val="37"/>
        <w:pageBreakBefore w:val="0"/>
        <w:kinsoku/>
        <w:wordWrap w:val="0"/>
        <w:overflowPunct w:val="0"/>
        <w:topLinePunct w:val="0"/>
        <w:bidi w:val="0"/>
        <w:rPr>
          <w:rFonts w:hint="eastAsia" w:ascii="宋体" w:hAnsi="宋体" w:eastAsia="宋体" w:cs="宋体"/>
          <w:color w:val="auto"/>
        </w:rPr>
      </w:pPr>
    </w:p>
    <w:tbl>
      <w:tblPr>
        <w:tblStyle w:val="26"/>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0E4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8528" w:type="dxa"/>
            <w:noWrap w:val="0"/>
            <w:vAlign w:val="center"/>
          </w:tcPr>
          <w:p w14:paraId="77DCC5C1">
            <w:pPr>
              <w:pageBreakBefore w:val="0"/>
              <w:kinsoku/>
              <w:wordWrap w:val="0"/>
              <w:overflowPunct w:val="0"/>
              <w:topLinePunct w:val="0"/>
              <w:bidi w:val="0"/>
              <w:adjustRightInd w:val="0"/>
              <w:snapToGrid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法定代表人身份证复印件</w:t>
            </w:r>
          </w:p>
        </w:tc>
      </w:tr>
    </w:tbl>
    <w:p w14:paraId="2E845C16">
      <w:pPr>
        <w:pageBreakBefore w:val="0"/>
        <w:kinsoku/>
        <w:wordWrap w:val="0"/>
        <w:overflowPunct w:val="0"/>
        <w:topLinePunct w:val="0"/>
        <w:bidi w:val="0"/>
        <w:adjustRightInd w:val="0"/>
        <w:snapToGrid w:val="0"/>
        <w:spacing w:line="400" w:lineRule="exact"/>
        <w:ind w:firstLine="480" w:firstLineChars="200"/>
        <w:rPr>
          <w:rFonts w:hint="eastAsia" w:ascii="宋体" w:hAnsi="宋体" w:eastAsia="宋体" w:cs="宋体"/>
          <w:color w:val="auto"/>
          <w:sz w:val="24"/>
          <w:szCs w:val="24"/>
        </w:rPr>
      </w:pPr>
    </w:p>
    <w:tbl>
      <w:tblPr>
        <w:tblStyle w:val="26"/>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38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8528" w:type="dxa"/>
            <w:noWrap w:val="0"/>
            <w:vAlign w:val="center"/>
          </w:tcPr>
          <w:p w14:paraId="6284C478">
            <w:pPr>
              <w:pageBreakBefore w:val="0"/>
              <w:kinsoku/>
              <w:wordWrap w:val="0"/>
              <w:overflowPunct w:val="0"/>
              <w:topLinePunct w:val="0"/>
              <w:bidi w:val="0"/>
              <w:adjustRightInd w:val="0"/>
              <w:snapToGrid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委托代理人身份证复印件</w:t>
            </w:r>
          </w:p>
        </w:tc>
      </w:tr>
    </w:tbl>
    <w:p w14:paraId="0BD4436E">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p>
    <w:p w14:paraId="1745D773">
      <w:pPr>
        <w:pageBreakBefore w:val="0"/>
        <w:kinsoku/>
        <w:wordWrap w:val="0"/>
        <w:overflowPunct w:val="0"/>
        <w:topLinePunct w:val="0"/>
        <w:bidi w:val="0"/>
        <w:adjustRightInd w:val="0"/>
        <w:snapToGrid w:val="0"/>
        <w:spacing w:line="52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70D80BFE">
      <w:pPr>
        <w:pageBreakBefore w:val="0"/>
        <w:kinsoku/>
        <w:wordWrap w:val="0"/>
        <w:overflowPunct w:val="0"/>
        <w:topLinePunct w:val="0"/>
        <w:bidi w:val="0"/>
        <w:adjustRightInd w:val="0"/>
        <w:snapToGrid w:val="0"/>
        <w:spacing w:line="520" w:lineRule="exact"/>
        <w:ind w:right="420"/>
        <w:jc w:val="right"/>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3024460">
      <w:pPr>
        <w:pageBreakBefore w:val="0"/>
        <w:kinsoku/>
        <w:wordWrap w:val="0"/>
        <w:overflowPunct w:val="0"/>
        <w:topLinePunct w:val="0"/>
        <w:bidi w:val="0"/>
        <w:adjustRightInd w:val="0"/>
        <w:snapToGrid w:val="0"/>
        <w:spacing w:line="520" w:lineRule="exact"/>
        <w:ind w:right="420"/>
        <w:jc w:val="right"/>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B2CBC33">
      <w:pPr>
        <w:pageBreakBefore w:val="0"/>
        <w:kinsoku/>
        <w:wordWrap w:val="0"/>
        <w:overflowPunct w:val="0"/>
        <w:topLinePunct w:val="0"/>
        <w:bidi w:val="0"/>
        <w:adjustRightInd w:val="0"/>
        <w:snapToGrid w:val="0"/>
        <w:spacing w:line="400" w:lineRule="exact"/>
        <w:jc w:val="right"/>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u w:val="none"/>
          <w:lang w:eastAsia="zh-CN"/>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79BE7E56">
      <w:pPr>
        <w:keepNext w:val="0"/>
        <w:keepLines w:val="0"/>
        <w:pageBreakBefore w:val="0"/>
        <w:kinsoku/>
        <w:wordWrap w:val="0"/>
        <w:overflowPunct w:val="0"/>
        <w:topLinePunct w:val="0"/>
        <w:autoSpaceDE/>
        <w:autoSpaceDN/>
        <w:bidi w:val="0"/>
        <w:adjustRightInd/>
        <w:spacing w:beforeAutospacing="0" w:afterAutospacing="0" w:line="480" w:lineRule="auto"/>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注：适用于有委托代理人的情况。</w:t>
      </w:r>
    </w:p>
    <w:p w14:paraId="4ED0711A">
      <w:pPr>
        <w:pageBreakBefore w:val="0"/>
        <w:kinsoku/>
        <w:wordWrap w:val="0"/>
        <w:overflowPunct w:val="0"/>
        <w:topLinePunct w:val="0"/>
        <w:bidi w:val="0"/>
        <w:adjustRightInd w:val="0"/>
        <w:snapToGrid w:val="0"/>
        <w:spacing w:line="400" w:lineRule="exact"/>
        <w:jc w:val="center"/>
        <w:rPr>
          <w:rFonts w:hint="eastAsia" w:ascii="宋体" w:hAnsi="宋体" w:eastAsia="宋体" w:cs="宋体"/>
          <w:b/>
          <w:bCs/>
          <w:color w:val="auto"/>
          <w:sz w:val="24"/>
          <w:szCs w:val="24"/>
          <w:lang w:eastAsia="zh-CN"/>
        </w:rPr>
      </w:pPr>
    </w:p>
    <w:bookmarkEnd w:id="68"/>
    <w:p w14:paraId="4C234872">
      <w:pPr>
        <w:pStyle w:val="14"/>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sz w:val="24"/>
          <w:szCs w:val="24"/>
          <w:lang w:val="en-US" w:eastAsia="zh-CN"/>
        </w:rPr>
        <w:sectPr>
          <w:pgSz w:w="11906" w:h="16838"/>
          <w:pgMar w:top="1440" w:right="1080" w:bottom="1440" w:left="1080" w:header="851" w:footer="1134" w:gutter="0"/>
          <w:pgNumType w:fmt="decimal"/>
          <w:cols w:space="720" w:num="1"/>
          <w:docGrid w:type="lines" w:linePitch="330" w:charSpace="0"/>
        </w:sectPr>
      </w:pPr>
    </w:p>
    <w:p w14:paraId="2A260FF0">
      <w:pPr>
        <w:pStyle w:val="22"/>
        <w:pageBreakBefore w:val="0"/>
        <w:kinsoku/>
        <w:wordWrap w:val="0"/>
        <w:overflowPunct w:val="0"/>
        <w:topLinePunct w:val="0"/>
        <w:bidi w:val="0"/>
        <w:spacing w:line="360" w:lineRule="atLeast"/>
        <w:jc w:val="center"/>
        <w:rPr>
          <w:rFonts w:hint="eastAsia" w:ascii="宋体" w:hAnsi="宋体" w:eastAsia="宋体" w:cs="宋体"/>
          <w:color w:val="auto"/>
          <w:sz w:val="24"/>
          <w:highlight w:val="none"/>
        </w:rPr>
      </w:pPr>
      <w:r>
        <w:rPr>
          <w:rFonts w:hint="eastAsia" w:ascii="宋体" w:hAnsi="宋体" w:eastAsia="宋体" w:cs="宋体"/>
          <w:b/>
          <w:bCs w:val="0"/>
          <w:color w:val="auto"/>
          <w:sz w:val="24"/>
          <w:highlight w:val="none"/>
          <w:lang w:val="en-US" w:eastAsia="zh-CN"/>
        </w:rPr>
        <w:t>投标人信用承诺书</w:t>
      </w:r>
      <w:r>
        <w:rPr>
          <w:rFonts w:hint="eastAsia" w:ascii="宋体" w:hAnsi="宋体" w:eastAsia="宋体" w:cs="宋体"/>
          <w:b/>
          <w:color w:val="auto"/>
          <w:highlight w:val="none"/>
          <w:lang w:eastAsia="zh-CN"/>
        </w:rPr>
        <w:t>（</w:t>
      </w:r>
      <w:r>
        <w:rPr>
          <w:rFonts w:hint="eastAsia" w:ascii="宋体" w:hAnsi="宋体" w:eastAsia="宋体" w:cs="宋体"/>
          <w:b/>
          <w:color w:val="auto"/>
          <w:highlight w:val="none"/>
          <w:lang w:val="en-US" w:eastAsia="zh-CN"/>
        </w:rPr>
        <w:t>格式</w:t>
      </w:r>
      <w:r>
        <w:rPr>
          <w:rFonts w:hint="eastAsia" w:ascii="宋体" w:hAnsi="宋体" w:eastAsia="宋体" w:cs="宋体"/>
          <w:b/>
          <w:color w:val="auto"/>
          <w:highlight w:val="none"/>
          <w:lang w:eastAsia="zh-CN"/>
        </w:rPr>
        <w:t>）</w:t>
      </w:r>
    </w:p>
    <w:p w14:paraId="0821D3C0">
      <w:pPr>
        <w:pageBreakBefore w:val="0"/>
        <w:tabs>
          <w:tab w:val="left" w:pos="5580"/>
        </w:tabs>
        <w:kinsoku/>
        <w:wordWrap w:val="0"/>
        <w:overflowPunct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rPr>
        <w:t>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lang w:eastAsia="zh-CN"/>
        </w:rPr>
        <w:t>）</w:t>
      </w:r>
    </w:p>
    <w:p w14:paraId="7652DCA3">
      <w:pPr>
        <w:pageBreakBefore w:val="0"/>
        <w:kinsoku/>
        <w:wordWrap w:val="0"/>
        <w:overflowPunct w:val="0"/>
        <w:topLinePunct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在参与本次项目投标中，我单位承诺：</w:t>
      </w:r>
    </w:p>
    <w:p w14:paraId="107DF02C">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4"/>
          <w:highlight w:val="none"/>
        </w:rPr>
        <w:t>具有独立承担民事责任的能力</w:t>
      </w:r>
      <w:r>
        <w:rPr>
          <w:rFonts w:hint="eastAsia" w:ascii="宋体" w:hAnsi="宋体" w:eastAsia="宋体" w:cs="宋体"/>
          <w:color w:val="auto"/>
          <w:sz w:val="24"/>
          <w:szCs w:val="24"/>
          <w:highlight w:val="none"/>
          <w:lang w:eastAsia="zh-CN"/>
        </w:rPr>
        <w:t>；</w:t>
      </w:r>
    </w:p>
    <w:p w14:paraId="128C5F9A">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具有良好的商业信誉和健全的财务会计制度；</w:t>
      </w:r>
    </w:p>
    <w:p w14:paraId="7C3722B2">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具有履行合同所必需的设备和专业技术能力；</w:t>
      </w:r>
    </w:p>
    <w:p w14:paraId="0F344725">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有依法缴纳税收和社会保障资金的良好记录；</w:t>
      </w:r>
    </w:p>
    <w:p w14:paraId="05C194A2">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5B6713C">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我单位不属于政府采购法律、行政法规规定的公益一类事业单位</w:t>
      </w:r>
      <w:r>
        <w:rPr>
          <w:rFonts w:hint="eastAsia" w:ascii="宋体" w:hAnsi="宋体" w:eastAsia="宋体" w:cs="宋体"/>
          <w:color w:val="auto"/>
          <w:sz w:val="24"/>
          <w:szCs w:val="22"/>
          <w:highlight w:val="none"/>
          <w:lang w:eastAsia="zh-CN"/>
        </w:rPr>
        <w:t>或</w:t>
      </w:r>
      <w:r>
        <w:rPr>
          <w:rFonts w:hint="eastAsia" w:ascii="宋体" w:hAnsi="宋体" w:eastAsia="宋体" w:cs="宋体"/>
          <w:color w:val="auto"/>
          <w:sz w:val="24"/>
          <w:szCs w:val="22"/>
          <w:highlight w:val="none"/>
        </w:rPr>
        <w:t>使用事业编制且由财政拨款保障的群团组织（仅适用于政府购买服务项目）；</w:t>
      </w:r>
    </w:p>
    <w:p w14:paraId="3505E29E">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我单位不存在为采购项目提供整体设计、规范编制或者项目管理、监理、检测等服务后，再参加该采购项目的其他采购活动的情形（单一来源采购项目除外）；</w:t>
      </w:r>
    </w:p>
    <w:p w14:paraId="3B586E18">
      <w:pPr>
        <w:pageBreakBefore w:val="0"/>
        <w:numPr>
          <w:ilvl w:val="0"/>
          <w:numId w:val="1"/>
        </w:numPr>
        <w:kinsoku/>
        <w:wordWrap w:val="0"/>
        <w:overflowPunct w:val="0"/>
        <w:topLinePunct w:val="0"/>
        <w:bidi w:val="0"/>
        <w:spacing w:line="360" w:lineRule="auto"/>
        <w:ind w:left="1134"/>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2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B33B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C00FE85">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4574" w:type="dxa"/>
            <w:noWrap w:val="0"/>
            <w:vAlign w:val="center"/>
          </w:tcPr>
          <w:p w14:paraId="4E3B05E9">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单位名称</w:t>
            </w:r>
          </w:p>
        </w:tc>
        <w:tc>
          <w:tcPr>
            <w:tcW w:w="2976" w:type="dxa"/>
            <w:noWrap w:val="0"/>
            <w:vAlign w:val="center"/>
          </w:tcPr>
          <w:p w14:paraId="5E2ED535">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相互关系</w:t>
            </w:r>
          </w:p>
        </w:tc>
      </w:tr>
      <w:tr w14:paraId="46CAC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74AFDA73">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4574" w:type="dxa"/>
            <w:noWrap w:val="0"/>
            <w:vAlign w:val="center"/>
          </w:tcPr>
          <w:p w14:paraId="2F9F12BA">
            <w:pPr>
              <w:pageBreakBefore w:val="0"/>
              <w:kinsoku/>
              <w:wordWrap w:val="0"/>
              <w:overflowPunct w:val="0"/>
              <w:topLinePunct w:val="0"/>
              <w:bidi w:val="0"/>
              <w:jc w:val="center"/>
              <w:rPr>
                <w:rFonts w:hint="eastAsia" w:ascii="宋体" w:hAnsi="宋体" w:eastAsia="宋体" w:cs="宋体"/>
                <w:color w:val="auto"/>
                <w:sz w:val="24"/>
                <w:highlight w:val="none"/>
              </w:rPr>
            </w:pPr>
          </w:p>
        </w:tc>
        <w:tc>
          <w:tcPr>
            <w:tcW w:w="2976" w:type="dxa"/>
            <w:noWrap w:val="0"/>
            <w:vAlign w:val="center"/>
          </w:tcPr>
          <w:p w14:paraId="04F8188E">
            <w:pPr>
              <w:pageBreakBefore w:val="0"/>
              <w:kinsoku/>
              <w:wordWrap w:val="0"/>
              <w:overflowPunct w:val="0"/>
              <w:topLinePunct w:val="0"/>
              <w:bidi w:val="0"/>
              <w:jc w:val="center"/>
              <w:rPr>
                <w:rFonts w:hint="eastAsia" w:ascii="宋体" w:hAnsi="宋体" w:eastAsia="宋体" w:cs="宋体"/>
                <w:color w:val="auto"/>
                <w:sz w:val="24"/>
                <w:highlight w:val="none"/>
              </w:rPr>
            </w:pPr>
          </w:p>
        </w:tc>
      </w:tr>
      <w:tr w14:paraId="6E014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A5EA78A">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4574" w:type="dxa"/>
            <w:noWrap w:val="0"/>
            <w:vAlign w:val="center"/>
          </w:tcPr>
          <w:p w14:paraId="341D738C">
            <w:pPr>
              <w:pageBreakBefore w:val="0"/>
              <w:kinsoku/>
              <w:wordWrap w:val="0"/>
              <w:overflowPunct w:val="0"/>
              <w:topLinePunct w:val="0"/>
              <w:bidi w:val="0"/>
              <w:jc w:val="center"/>
              <w:rPr>
                <w:rFonts w:hint="eastAsia" w:ascii="宋体" w:hAnsi="宋体" w:eastAsia="宋体" w:cs="宋体"/>
                <w:color w:val="auto"/>
                <w:sz w:val="24"/>
                <w:highlight w:val="none"/>
              </w:rPr>
            </w:pPr>
          </w:p>
        </w:tc>
        <w:tc>
          <w:tcPr>
            <w:tcW w:w="2976" w:type="dxa"/>
            <w:noWrap w:val="0"/>
            <w:vAlign w:val="center"/>
          </w:tcPr>
          <w:p w14:paraId="708C68F8">
            <w:pPr>
              <w:pageBreakBefore w:val="0"/>
              <w:kinsoku/>
              <w:wordWrap w:val="0"/>
              <w:overflowPunct w:val="0"/>
              <w:topLinePunct w:val="0"/>
              <w:bidi w:val="0"/>
              <w:jc w:val="center"/>
              <w:rPr>
                <w:rFonts w:hint="eastAsia" w:ascii="宋体" w:hAnsi="宋体" w:eastAsia="宋体" w:cs="宋体"/>
                <w:color w:val="auto"/>
                <w:sz w:val="24"/>
                <w:highlight w:val="none"/>
              </w:rPr>
            </w:pPr>
          </w:p>
        </w:tc>
      </w:tr>
      <w:tr w14:paraId="30CFC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C3349A1">
            <w:pPr>
              <w:pageBreakBefore w:val="0"/>
              <w:kinsoku/>
              <w:wordWrap w:val="0"/>
              <w:overflowPunct w:val="0"/>
              <w:topLinePunct w:val="0"/>
              <w:bidi w:val="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4574" w:type="dxa"/>
            <w:noWrap w:val="0"/>
            <w:vAlign w:val="center"/>
          </w:tcPr>
          <w:p w14:paraId="3CCD1944">
            <w:pPr>
              <w:pageBreakBefore w:val="0"/>
              <w:kinsoku/>
              <w:wordWrap w:val="0"/>
              <w:overflowPunct w:val="0"/>
              <w:topLinePunct w:val="0"/>
              <w:bidi w:val="0"/>
              <w:jc w:val="center"/>
              <w:rPr>
                <w:rFonts w:hint="eastAsia" w:ascii="宋体" w:hAnsi="宋体" w:eastAsia="宋体" w:cs="宋体"/>
                <w:color w:val="auto"/>
                <w:sz w:val="24"/>
                <w:highlight w:val="none"/>
              </w:rPr>
            </w:pPr>
          </w:p>
        </w:tc>
        <w:tc>
          <w:tcPr>
            <w:tcW w:w="2976" w:type="dxa"/>
            <w:noWrap w:val="0"/>
            <w:vAlign w:val="center"/>
          </w:tcPr>
          <w:p w14:paraId="657C6D75">
            <w:pPr>
              <w:pageBreakBefore w:val="0"/>
              <w:kinsoku/>
              <w:wordWrap w:val="0"/>
              <w:overflowPunct w:val="0"/>
              <w:topLinePunct w:val="0"/>
              <w:bidi w:val="0"/>
              <w:jc w:val="center"/>
              <w:rPr>
                <w:rFonts w:hint="eastAsia" w:ascii="宋体" w:hAnsi="宋体" w:eastAsia="宋体" w:cs="宋体"/>
                <w:color w:val="auto"/>
                <w:sz w:val="24"/>
                <w:highlight w:val="none"/>
              </w:rPr>
            </w:pPr>
          </w:p>
        </w:tc>
      </w:tr>
    </w:tbl>
    <w:p w14:paraId="1DCE9D55">
      <w:pPr>
        <w:pageBreakBefore w:val="0"/>
        <w:kinsoku/>
        <w:wordWrap w:val="0"/>
        <w:overflowPunct w:val="0"/>
        <w:topLinePunct w:val="0"/>
        <w:bidi w:val="0"/>
        <w:rPr>
          <w:rFonts w:hint="eastAsia" w:ascii="宋体" w:hAnsi="宋体" w:eastAsia="宋体" w:cs="宋体"/>
          <w:color w:val="auto"/>
          <w:highlight w:val="none"/>
        </w:rPr>
      </w:pPr>
    </w:p>
    <w:p w14:paraId="20A40D76">
      <w:pPr>
        <w:pageBreakBefore w:val="0"/>
        <w:kinsoku/>
        <w:wordWrap w:val="0"/>
        <w:overflowPunct w:val="0"/>
        <w:topLinePunct w:val="0"/>
        <w:bidi w:val="0"/>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上述声明真实有效，否则我方负全部责任。</w:t>
      </w:r>
    </w:p>
    <w:p w14:paraId="43A14601">
      <w:pPr>
        <w:pageBreakBefore w:val="0"/>
        <w:kinsoku/>
        <w:wordWrap w:val="0"/>
        <w:overflowPunct w:val="0"/>
        <w:topLinePunct w:val="0"/>
        <w:autoSpaceDE w:val="0"/>
        <w:autoSpaceDN w:val="0"/>
        <w:bidi w:val="0"/>
        <w:adjustRightInd w:val="0"/>
        <w:snapToGrid w:val="0"/>
        <w:spacing w:before="25" w:after="25" w:line="360" w:lineRule="auto"/>
        <w:jc w:val="righ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：____________</w:t>
      </w:r>
    </w:p>
    <w:p w14:paraId="4F152228">
      <w:pPr>
        <w:pageBreakBefore w:val="0"/>
        <w:kinsoku/>
        <w:wordWrap w:val="0"/>
        <w:overflowPunct w:val="0"/>
        <w:topLinePunct w:val="0"/>
        <w:bidi w:val="0"/>
        <w:spacing w:line="360" w:lineRule="auto"/>
        <w:ind w:right="360" w:firstLine="480"/>
        <w:jc w:val="right"/>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 xml:space="preserve">日期：_____年______月______日   </w:t>
      </w:r>
    </w:p>
    <w:p w14:paraId="3A983E5B">
      <w:pPr>
        <w:pageBreakBefore w:val="0"/>
        <w:kinsoku/>
        <w:wordWrap w:val="0"/>
        <w:overflowPunct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说明：供</w:t>
      </w: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承诺不实的，依据《政府采购法》第七十七条“提供虚假材料谋取中标、成交的”有关规定予以处理。</w:t>
      </w:r>
    </w:p>
    <w:p w14:paraId="6F7DEDB4">
      <w:pPr>
        <w:pageBreakBefore w:val="0"/>
        <w:tabs>
          <w:tab w:val="left" w:pos="5580"/>
        </w:tabs>
        <w:kinsoku/>
        <w:wordWrap w:val="0"/>
        <w:overflowPunct w:val="0"/>
        <w:topLinePunct w:val="0"/>
        <w:bidi w:val="0"/>
        <w:spacing w:line="360" w:lineRule="auto"/>
        <w:rPr>
          <w:rFonts w:hint="eastAsia" w:ascii="宋体" w:hAnsi="宋体" w:eastAsia="宋体" w:cs="宋体"/>
          <w:color w:val="auto"/>
          <w:sz w:val="24"/>
          <w:highlight w:val="none"/>
        </w:rPr>
        <w:sectPr>
          <w:pgSz w:w="11907" w:h="16840"/>
          <w:pgMar w:top="1440" w:right="1080" w:bottom="1440" w:left="1080" w:header="851" w:footer="851" w:gutter="0"/>
          <w:pgNumType w:fmt="decimal"/>
          <w:cols w:space="720" w:num="1"/>
          <w:docGrid w:linePitch="462" w:charSpace="0"/>
        </w:sectPr>
      </w:pPr>
    </w:p>
    <w:p w14:paraId="4C183C72">
      <w:pPr>
        <w:pageBreakBefore w:val="0"/>
        <w:kinsoku/>
        <w:wordWrap w:val="0"/>
        <w:overflowPunct w:val="0"/>
        <w:topLinePunct w:val="0"/>
        <w:bidi w:val="0"/>
        <w:adjustRightInd w:val="0"/>
        <w:snapToGrid w:val="0"/>
        <w:spacing w:line="400" w:lineRule="exact"/>
        <w:ind w:left="0" w:leftChars="0" w:right="0" w:rightChars="0" w:firstLine="0" w:firstLineChars="0"/>
        <w:jc w:val="center"/>
        <w:outlineLvl w:val="0"/>
        <w:rPr>
          <w:rFonts w:hint="eastAsia" w:ascii="宋体" w:hAnsi="宋体" w:eastAsia="宋体" w:cs="宋体"/>
          <w:b/>
          <w:color w:val="auto"/>
          <w:sz w:val="24"/>
          <w:szCs w:val="24"/>
          <w:lang w:val="en-US" w:eastAsia="zh-CN"/>
        </w:rPr>
      </w:pPr>
      <w:bookmarkStart w:id="69" w:name="_Toc10458"/>
      <w:bookmarkStart w:id="70" w:name="_Toc11983"/>
      <w:bookmarkStart w:id="71" w:name="_Toc22742"/>
      <w:bookmarkStart w:id="72" w:name="_Toc19020_WPSOffice_Level1"/>
      <w:bookmarkStart w:id="73" w:name="_Toc7428"/>
      <w:r>
        <w:rPr>
          <w:rFonts w:hint="eastAsia" w:ascii="宋体" w:hAnsi="宋体" w:eastAsia="宋体" w:cs="宋体"/>
          <w:b/>
          <w:color w:val="auto"/>
          <w:sz w:val="24"/>
          <w:szCs w:val="24"/>
          <w:lang w:val="en-US" w:eastAsia="zh-CN"/>
        </w:rPr>
        <w:t>诚信投标承诺书</w:t>
      </w:r>
      <w:bookmarkEnd w:id="69"/>
      <w:bookmarkEnd w:id="70"/>
      <w:bookmarkEnd w:id="71"/>
      <w:bookmarkEnd w:id="72"/>
      <w:bookmarkEnd w:id="73"/>
    </w:p>
    <w:p w14:paraId="1D3A3796">
      <w:pPr>
        <w:pStyle w:val="22"/>
        <w:pageBreakBefore w:val="0"/>
        <w:kinsoku/>
        <w:wordWrap w:val="0"/>
        <w:overflowPunct w:val="0"/>
        <w:topLinePunct w:val="0"/>
        <w:bidi w:val="0"/>
        <w:spacing w:before="0" w:beforeAutospacing="0" w:after="0" w:afterAutospacing="0" w:line="480" w:lineRule="exact"/>
        <w:rPr>
          <w:rFonts w:hint="eastAsia" w:ascii="宋体" w:hAnsi="宋体" w:eastAsia="宋体" w:cs="宋体"/>
          <w:color w:val="auto"/>
          <w:szCs w:val="24"/>
        </w:rPr>
      </w:pPr>
      <w:r>
        <w:rPr>
          <w:rFonts w:hint="eastAsia" w:ascii="宋体" w:hAnsi="宋体" w:eastAsia="宋体" w:cs="宋体"/>
          <w:color w:val="auto"/>
          <w:szCs w:val="24"/>
        </w:rPr>
        <w:t>本人以企业法定代表人的身份郑重承诺：</w:t>
      </w:r>
    </w:p>
    <w:p w14:paraId="09D2D4E9">
      <w:pPr>
        <w:pageBreakBefore w:val="0"/>
        <w:kinsoku/>
        <w:wordWrap w:val="0"/>
        <w:overflowPunct w:val="0"/>
        <w:topLinePunct w:val="0"/>
        <w:bidi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一、将遵循公开、公正和诚实信用的原则自愿参加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项目名称</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的投标；</w:t>
      </w:r>
    </w:p>
    <w:p w14:paraId="27367FA9">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二、所提供的一切材料都是真实、有效、合法的；</w:t>
      </w:r>
    </w:p>
    <w:p w14:paraId="72ADE2F9">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三、不出借、转让资质证书，不让他人挂靠投标，不以他人名义投标或者以其他方式弄虚作假，骗取中标；</w:t>
      </w:r>
    </w:p>
    <w:p w14:paraId="065F0A2E">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四、不与其他投标人相互串通投标报价，不排挤其他投标人的公平竞争、损害招标人的合法权益；</w:t>
      </w:r>
    </w:p>
    <w:p w14:paraId="515AB564">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五、不与招标人、招标代理机构或其他投标人串通投标，损害国家利益、社会公共利益或者他人的合法权益；</w:t>
      </w:r>
    </w:p>
    <w:p w14:paraId="119BB658">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六、严格遵守开标现场纪律，服从监管人员管理；</w:t>
      </w:r>
    </w:p>
    <w:p w14:paraId="6C740573">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七、保证中标后不转包，若有分包征得采购单位同意；</w:t>
      </w:r>
    </w:p>
    <w:p w14:paraId="61ADB6F6">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八、保证中标之后，按照投标文件承诺履约，如有违反，同意接受采购单位违约处罚；</w:t>
      </w:r>
    </w:p>
    <w:p w14:paraId="5E1B03D5">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lang w:eastAsia="zh-CN"/>
        </w:rPr>
      </w:pPr>
      <w:r>
        <w:rPr>
          <w:rFonts w:hint="eastAsia" w:ascii="宋体" w:hAnsi="宋体" w:eastAsia="宋体" w:cs="宋体"/>
          <w:color w:val="auto"/>
          <w:szCs w:val="24"/>
        </w:rPr>
        <w:t>九、保证企业及所属相关人员在本次投标中无行贿等犯罪行为</w:t>
      </w:r>
      <w:r>
        <w:rPr>
          <w:rFonts w:hint="eastAsia" w:ascii="宋体" w:hAnsi="宋体" w:eastAsia="宋体" w:cs="宋体"/>
          <w:color w:val="auto"/>
          <w:szCs w:val="24"/>
          <w:lang w:eastAsia="zh-CN"/>
        </w:rPr>
        <w:t>；</w:t>
      </w:r>
    </w:p>
    <w:p w14:paraId="4A9D2B3C">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十、如在投标过程和公示期间发生投诉行为，投诉内容符合要求，投诉材料加盖企业公章或由法定代表人授权委托人签字，并附有关身份证明复印件。不恶意投诉，对本公司提供的投诉线索的真实性负责，否则愿接受有关部门的处罚。</w:t>
      </w:r>
    </w:p>
    <w:p w14:paraId="2AF1C237">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以上内容我已仔细阅读，本公司若有违反承诺内容的行为，自愿依法接受取消投标资格、记入信用档案、取消中标资格、没收投标保证金等有关处理，愿意承担法律责任，给招标人造成损失的，依法承担赔偿责任。</w:t>
      </w:r>
    </w:p>
    <w:p w14:paraId="38FEB0CF">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开户银行：</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Cs w:val="24"/>
        </w:rPr>
        <w:t xml:space="preserve">        基本账户：</w:t>
      </w:r>
      <w:r>
        <w:rPr>
          <w:rFonts w:hint="eastAsia" w:ascii="宋体" w:hAnsi="宋体" w:eastAsia="宋体" w:cs="宋体"/>
          <w:color w:val="auto"/>
          <w:kern w:val="0"/>
          <w:sz w:val="24"/>
          <w:szCs w:val="24"/>
          <w:u w:val="single"/>
        </w:rPr>
        <w:t xml:space="preserve">                  </w:t>
      </w:r>
    </w:p>
    <w:p w14:paraId="5FAA5EC3">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投标单位（</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Cs w:val="24"/>
        </w:rPr>
        <w:t>）：</w:t>
      </w:r>
      <w:r>
        <w:rPr>
          <w:rFonts w:hint="eastAsia" w:ascii="宋体" w:hAnsi="宋体" w:eastAsia="宋体" w:cs="宋体"/>
          <w:color w:val="auto"/>
          <w:kern w:val="0"/>
          <w:sz w:val="24"/>
          <w:szCs w:val="24"/>
          <w:u w:val="single"/>
        </w:rPr>
        <w:t xml:space="preserve">                  </w:t>
      </w:r>
    </w:p>
    <w:p w14:paraId="5E724134">
      <w:pPr>
        <w:pStyle w:val="22"/>
        <w:pageBreakBefore w:val="0"/>
        <w:kinsoku/>
        <w:wordWrap w:val="0"/>
        <w:overflowPunct w:val="0"/>
        <w:topLinePunct w:val="0"/>
        <w:bidi w:val="0"/>
        <w:spacing w:before="0" w:beforeAutospacing="0" w:after="0" w:afterAutospacing="0" w:line="480" w:lineRule="exact"/>
        <w:ind w:firstLine="360" w:firstLineChars="150"/>
        <w:rPr>
          <w:rFonts w:hint="eastAsia" w:ascii="宋体" w:hAnsi="宋体" w:eastAsia="宋体" w:cs="宋体"/>
          <w:color w:val="auto"/>
          <w:szCs w:val="24"/>
        </w:rPr>
      </w:pPr>
      <w:r>
        <w:rPr>
          <w:rFonts w:hint="eastAsia" w:ascii="宋体" w:hAnsi="宋体" w:eastAsia="宋体" w:cs="宋体"/>
          <w:color w:val="auto"/>
          <w:szCs w:val="24"/>
        </w:rPr>
        <w:t>法定代表人</w:t>
      </w:r>
      <w:r>
        <w:rPr>
          <w:rFonts w:hint="eastAsia" w:ascii="宋体" w:hAnsi="宋体" w:eastAsia="宋体" w:cs="宋体"/>
          <w:color w:val="auto"/>
          <w:szCs w:val="24"/>
          <w:lang w:eastAsia="zh-CN"/>
        </w:rPr>
        <w:t>（</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lang w:val="en-US" w:eastAsia="zh-CN"/>
        </w:rPr>
        <w:t>）</w:t>
      </w:r>
      <w:r>
        <w:rPr>
          <w:rFonts w:hint="eastAsia" w:ascii="宋体" w:hAnsi="宋体" w:eastAsia="宋体" w:cs="宋体"/>
          <w:color w:val="auto"/>
          <w:szCs w:val="24"/>
        </w:rPr>
        <w:t>：</w:t>
      </w:r>
      <w:r>
        <w:rPr>
          <w:rFonts w:hint="eastAsia" w:ascii="宋体" w:hAnsi="宋体" w:eastAsia="宋体" w:cs="宋体"/>
          <w:color w:val="auto"/>
          <w:kern w:val="0"/>
          <w:sz w:val="24"/>
          <w:szCs w:val="24"/>
          <w:u w:val="single"/>
        </w:rPr>
        <w:t xml:space="preserve">                  </w:t>
      </w:r>
    </w:p>
    <w:p w14:paraId="31DD99A5">
      <w:pPr>
        <w:pageBreakBefore w:val="0"/>
        <w:tabs>
          <w:tab w:val="left" w:pos="5205"/>
        </w:tabs>
        <w:kinsoku/>
        <w:wordWrap w:val="0"/>
        <w:overflowPunct w:val="0"/>
        <w:topLinePunct w:val="0"/>
        <w:bidi w:val="0"/>
        <w:spacing w:line="480" w:lineRule="exact"/>
        <w:rPr>
          <w:rFonts w:hint="eastAsia" w:ascii="宋体" w:hAnsi="宋体" w:eastAsia="宋体" w:cs="宋体"/>
          <w:color w:val="auto"/>
          <w:sz w:val="24"/>
          <w:szCs w:val="24"/>
        </w:rPr>
      </w:pPr>
      <w:r>
        <w:rPr>
          <w:rFonts w:hint="eastAsia" w:ascii="宋体" w:hAnsi="宋体" w:eastAsia="宋体" w:cs="宋体"/>
          <w:color w:val="auto"/>
          <w:sz w:val="24"/>
          <w:szCs w:val="24"/>
        </w:rPr>
        <w:tab/>
      </w:r>
      <w:r>
        <w:rPr>
          <w:rFonts w:hint="eastAsia" w:ascii="宋体" w:hAnsi="宋体" w:eastAsia="宋体" w:cs="宋体"/>
          <w:color w:val="auto"/>
          <w:sz w:val="24"/>
          <w:szCs w:val="24"/>
        </w:rPr>
        <w:t xml:space="preserve">   日   期：年   月   日</w:t>
      </w:r>
    </w:p>
    <w:p w14:paraId="55A524ED">
      <w:pPr>
        <w:pStyle w:val="14"/>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kern w:val="0"/>
          <w:sz w:val="24"/>
          <w:szCs w:val="24"/>
          <w:lang w:eastAsia="zh-CN"/>
        </w:rPr>
        <w:sectPr>
          <w:pgSz w:w="11906" w:h="16838"/>
          <w:pgMar w:top="1440" w:right="1080" w:bottom="1440" w:left="1080" w:header="851" w:footer="1134" w:gutter="0"/>
          <w:pgNumType w:fmt="decimal"/>
          <w:cols w:space="720" w:num="1"/>
          <w:docGrid w:type="lines" w:linePitch="330" w:charSpace="0"/>
        </w:sectPr>
      </w:pPr>
    </w:p>
    <w:p w14:paraId="72597C44">
      <w:pPr>
        <w:pageBreakBefore w:val="0"/>
        <w:widowControl/>
        <w:numPr>
          <w:ilvl w:val="0"/>
          <w:numId w:val="0"/>
        </w:numPr>
        <w:kinsoku/>
        <w:wordWrap w:val="0"/>
        <w:overflowPunct w:val="0"/>
        <w:topLinePunct w:val="0"/>
        <w:bidi w:val="0"/>
        <w:spacing w:line="600" w:lineRule="exact"/>
        <w:ind w:left="0" w:leftChars="0" w:right="0" w:rightChars="0" w:firstLine="0" w:firstLineChars="0"/>
        <w:jc w:val="center"/>
        <w:outlineLvl w:val="0"/>
        <w:rPr>
          <w:rFonts w:hint="eastAsia" w:ascii="宋体" w:hAnsi="宋体" w:eastAsia="宋体" w:cs="宋体"/>
          <w:b/>
          <w:bCs/>
          <w:color w:val="auto"/>
          <w:sz w:val="24"/>
          <w:szCs w:val="24"/>
        </w:rPr>
      </w:pPr>
      <w:bookmarkStart w:id="74" w:name="_Toc24682"/>
      <w:bookmarkStart w:id="75" w:name="_Toc15021"/>
      <w:bookmarkStart w:id="76" w:name="_Toc27433"/>
      <w:bookmarkStart w:id="77" w:name="_Toc7239_WPSOffice_Level1"/>
      <w:bookmarkStart w:id="78" w:name="_Toc13298"/>
      <w:bookmarkStart w:id="79" w:name="_Toc25664"/>
      <w:bookmarkStart w:id="80" w:name="_Toc21391"/>
      <w:r>
        <w:rPr>
          <w:rFonts w:hint="eastAsia" w:ascii="宋体" w:hAnsi="宋体" w:eastAsia="宋体" w:cs="宋体"/>
          <w:b/>
          <w:bCs/>
          <w:color w:val="auto"/>
          <w:sz w:val="24"/>
          <w:szCs w:val="24"/>
        </w:rPr>
        <w:t>开标一览表</w:t>
      </w:r>
      <w:bookmarkEnd w:id="74"/>
      <w:bookmarkEnd w:id="75"/>
      <w:bookmarkEnd w:id="76"/>
      <w:bookmarkEnd w:id="77"/>
      <w:bookmarkEnd w:id="78"/>
      <w:bookmarkEnd w:id="79"/>
      <w:bookmarkEnd w:id="80"/>
    </w:p>
    <w:p w14:paraId="306E7CFE">
      <w:pPr>
        <w:pageBreakBefore w:val="0"/>
        <w:kinsoku/>
        <w:wordWrap w:val="0"/>
        <w:overflowPunct w:val="0"/>
        <w:topLinePunct w:val="0"/>
        <w:bidi w:val="0"/>
        <w:rPr>
          <w:rFonts w:hint="eastAsia" w:ascii="宋体" w:hAnsi="宋体" w:eastAsia="宋体" w:cs="宋体"/>
          <w:lang w:eastAsia="zh-CN"/>
        </w:rPr>
      </w:pPr>
    </w:p>
    <w:p w14:paraId="7DAA1336">
      <w:pPr>
        <w:pageBreakBefore w:val="0"/>
        <w:kinsoku/>
        <w:wordWrap w:val="0"/>
        <w:overflowPunct w:val="0"/>
        <w:topLinePunct w:val="0"/>
        <w:bidi w:val="0"/>
        <w:adjustRightInd w:val="0"/>
        <w:snapToGrid w:val="0"/>
        <w:spacing w:line="360" w:lineRule="auto"/>
        <w:ind w:left="-88" w:leftChars="-42" w:firstLine="96" w:firstLineChars="4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lang w:eastAsia="zh-CN"/>
        </w:rPr>
        <w:t>项目名称</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7B39998B">
      <w:pPr>
        <w:pageBreakBefore w:val="0"/>
        <w:kinsoku/>
        <w:wordWrap w:val="0"/>
        <w:overflowPunct w:val="0"/>
        <w:topLinePunct w:val="0"/>
        <w:bidi w:val="0"/>
        <w:adjustRightInd w:val="0"/>
        <w:snapToGrid w:val="0"/>
        <w:spacing w:line="360" w:lineRule="auto"/>
        <w:ind w:left="-88" w:leftChars="-42" w:firstLine="96" w:firstLineChars="40"/>
        <w:jc w:val="left"/>
        <w:rPr>
          <w:rFonts w:hint="eastAsia" w:ascii="宋体" w:hAnsi="宋体" w:eastAsia="宋体" w:cs="宋体"/>
          <w:color w:val="auto"/>
          <w:sz w:val="24"/>
          <w:szCs w:val="24"/>
          <w:u w:val="single"/>
        </w:rPr>
      </w:pPr>
      <w:r>
        <w:rPr>
          <w:rFonts w:hint="eastAsia" w:ascii="宋体" w:hAnsi="宋体" w:eastAsia="宋体" w:cs="宋体"/>
          <w:color w:val="auto"/>
          <w:sz w:val="24"/>
          <w:szCs w:val="24"/>
          <w:lang w:eastAsia="zh-CN"/>
        </w:rPr>
        <w:t>项目编号</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46D7CC86">
      <w:pPr>
        <w:pageBreakBefore w:val="0"/>
        <w:kinsoku/>
        <w:wordWrap w:val="0"/>
        <w:overflowPunct w:val="0"/>
        <w:topLinePunct w:val="0"/>
        <w:bidi w:val="0"/>
        <w:adjustRightInd w:val="0"/>
        <w:snapToGrid w:val="0"/>
        <w:spacing w:line="400" w:lineRule="exact"/>
        <w:jc w:val="left"/>
        <w:rPr>
          <w:rFonts w:hint="eastAsia" w:ascii="宋体" w:hAnsi="宋体" w:eastAsia="宋体" w:cs="宋体"/>
          <w:color w:val="auto"/>
          <w:sz w:val="24"/>
          <w:szCs w:val="24"/>
        </w:rPr>
      </w:pPr>
    </w:p>
    <w:tbl>
      <w:tblPr>
        <w:tblStyle w:val="26"/>
        <w:tblW w:w="9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6933"/>
      </w:tblGrid>
      <w:tr w14:paraId="6893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227" w:type="dxa"/>
            <w:noWrap w:val="0"/>
            <w:vAlign w:val="center"/>
          </w:tcPr>
          <w:p w14:paraId="3DDA738A">
            <w:pPr>
              <w:pageBreakBefore w:val="0"/>
              <w:kinsoku/>
              <w:wordWrap w:val="0"/>
              <w:overflowPunct w:val="0"/>
              <w:topLinePunct w:val="0"/>
              <w:bidi w:val="0"/>
              <w:jc w:val="center"/>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val="en-US" w:eastAsia="zh-CN"/>
              </w:rPr>
              <w:t>包 号</w:t>
            </w:r>
          </w:p>
        </w:tc>
        <w:tc>
          <w:tcPr>
            <w:tcW w:w="6933" w:type="dxa"/>
            <w:noWrap w:val="0"/>
            <w:vAlign w:val="center"/>
          </w:tcPr>
          <w:p w14:paraId="5ECBC98E">
            <w:pPr>
              <w:pageBreakBefore w:val="0"/>
              <w:kinsoku/>
              <w:wordWrap w:val="0"/>
              <w:overflowPunct w:val="0"/>
              <w:topLinePunct w:val="0"/>
              <w:bidi w:val="0"/>
              <w:jc w:val="center"/>
              <w:rPr>
                <w:rFonts w:hint="eastAsia" w:ascii="宋体" w:hAnsi="宋体" w:eastAsia="宋体" w:cs="宋体"/>
                <w:color w:val="auto"/>
                <w:sz w:val="24"/>
                <w:szCs w:val="24"/>
                <w:u w:val="single"/>
                <w:lang w:val="en-US" w:eastAsia="zh-CN"/>
              </w:rPr>
            </w:pPr>
          </w:p>
        </w:tc>
      </w:tr>
      <w:tr w14:paraId="395E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227" w:type="dxa"/>
            <w:noWrap w:val="0"/>
            <w:vAlign w:val="center"/>
          </w:tcPr>
          <w:p w14:paraId="1528CEAD">
            <w:pPr>
              <w:pageBreakBefore w:val="0"/>
              <w:kinsoku/>
              <w:wordWrap w:val="0"/>
              <w:overflowPunct w:val="0"/>
              <w:topLinePunct w:val="0"/>
              <w:bidi w:val="0"/>
              <w:jc w:val="center"/>
              <w:rPr>
                <w:rFonts w:hint="eastAsia" w:ascii="宋体" w:hAnsi="宋体" w:eastAsia="宋体" w:cs="宋体"/>
                <w:color w:val="auto"/>
                <w:sz w:val="24"/>
                <w:szCs w:val="24"/>
                <w:lang w:val="sq-AL" w:eastAsia="sq-AL"/>
              </w:rPr>
            </w:pPr>
            <w:r>
              <w:rPr>
                <w:rFonts w:hint="eastAsia" w:ascii="宋体" w:hAnsi="宋体" w:eastAsia="宋体" w:cs="宋体"/>
                <w:b/>
                <w:color w:val="auto"/>
                <w:sz w:val="24"/>
                <w:szCs w:val="24"/>
                <w:lang w:eastAsia="zh-CN"/>
              </w:rPr>
              <w:t>投标总价（元）</w:t>
            </w:r>
          </w:p>
        </w:tc>
        <w:tc>
          <w:tcPr>
            <w:tcW w:w="6933" w:type="dxa"/>
            <w:noWrap w:val="0"/>
            <w:vAlign w:val="center"/>
          </w:tcPr>
          <w:p w14:paraId="5E1B70D4">
            <w:pPr>
              <w:pageBreakBefore w:val="0"/>
              <w:kinsoku/>
              <w:wordWrap w:val="0"/>
              <w:overflowPunct w:val="0"/>
              <w:topLinePunct w:val="0"/>
              <w:bidi w:val="0"/>
              <w:ind w:firstLine="2520" w:firstLineChars="1200"/>
              <w:jc w:val="left"/>
              <w:rPr>
                <w:rFonts w:hint="eastAsia" w:ascii="宋体" w:hAnsi="宋体" w:eastAsia="宋体" w:cs="宋体"/>
                <w:color w:val="auto"/>
                <w:lang w:val="en-US" w:eastAsia="zh-CN"/>
              </w:rPr>
            </w:pPr>
          </w:p>
        </w:tc>
      </w:tr>
      <w:tr w14:paraId="750E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227" w:type="dxa"/>
            <w:noWrap w:val="0"/>
            <w:vAlign w:val="center"/>
          </w:tcPr>
          <w:p w14:paraId="5F6CCAD6">
            <w:pPr>
              <w:pageBreakBefore w:val="0"/>
              <w:kinsoku/>
              <w:wordWrap w:val="0"/>
              <w:overflowPunct w:val="0"/>
              <w:topLinePunct w:val="0"/>
              <w:bidi w:val="0"/>
              <w:jc w:val="center"/>
              <w:rPr>
                <w:rFonts w:hint="eastAsia" w:ascii="宋体" w:hAnsi="宋体" w:eastAsia="宋体" w:cs="宋体"/>
                <w:b/>
                <w:color w:val="auto"/>
                <w:sz w:val="24"/>
                <w:szCs w:val="24"/>
                <w:lang w:val="sq-AL" w:eastAsia="sq-AL"/>
              </w:rPr>
            </w:pPr>
            <w:r>
              <w:rPr>
                <w:rFonts w:hint="eastAsia" w:ascii="宋体" w:hAnsi="宋体" w:eastAsia="宋体" w:cs="宋体"/>
                <w:b/>
                <w:color w:val="auto"/>
                <w:sz w:val="24"/>
                <w:szCs w:val="24"/>
                <w:lang w:val="en-US" w:eastAsia="zh-CN"/>
              </w:rPr>
              <w:t>合同履约期限</w:t>
            </w:r>
          </w:p>
        </w:tc>
        <w:tc>
          <w:tcPr>
            <w:tcW w:w="6933" w:type="dxa"/>
            <w:noWrap w:val="0"/>
            <w:vAlign w:val="center"/>
          </w:tcPr>
          <w:p w14:paraId="48ABCF06">
            <w:pPr>
              <w:pageBreakBefore w:val="0"/>
              <w:kinsoku/>
              <w:wordWrap w:val="0"/>
              <w:overflowPunct w:val="0"/>
              <w:topLinePunct w:val="0"/>
              <w:bidi w:val="0"/>
              <w:jc w:val="center"/>
              <w:rPr>
                <w:rFonts w:hint="eastAsia" w:ascii="宋体" w:hAnsi="宋体" w:eastAsia="宋体" w:cs="宋体"/>
                <w:color w:val="auto"/>
                <w:sz w:val="24"/>
                <w:szCs w:val="24"/>
                <w:lang w:val="en-US" w:eastAsia="zh-CN"/>
              </w:rPr>
            </w:pPr>
          </w:p>
        </w:tc>
      </w:tr>
      <w:tr w14:paraId="646E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1" w:hRule="atLeast"/>
          <w:jc w:val="center"/>
        </w:trPr>
        <w:tc>
          <w:tcPr>
            <w:tcW w:w="2227" w:type="dxa"/>
            <w:noWrap w:val="0"/>
            <w:vAlign w:val="center"/>
          </w:tcPr>
          <w:p w14:paraId="2260A013">
            <w:pPr>
              <w:pageBreakBefore w:val="0"/>
              <w:kinsoku/>
              <w:wordWrap w:val="0"/>
              <w:overflowPunct w:val="0"/>
              <w:topLinePunct w:val="0"/>
              <w:bidi w:val="0"/>
              <w:jc w:val="center"/>
              <w:rPr>
                <w:rFonts w:hint="eastAsia" w:ascii="宋体" w:hAnsi="宋体" w:eastAsia="宋体" w:cs="宋体"/>
                <w:b/>
                <w:color w:val="auto"/>
                <w:sz w:val="24"/>
                <w:szCs w:val="24"/>
                <w:lang w:val="sq-AL" w:eastAsia="zh-CN"/>
              </w:rPr>
            </w:pPr>
            <w:r>
              <w:rPr>
                <w:rFonts w:hint="eastAsia" w:ascii="宋体" w:hAnsi="宋体" w:eastAsia="宋体" w:cs="宋体"/>
                <w:b/>
                <w:color w:val="auto"/>
                <w:sz w:val="24"/>
                <w:szCs w:val="24"/>
                <w:lang w:val="sq-AL" w:eastAsia="zh-CN"/>
              </w:rPr>
              <w:t>质量标准</w:t>
            </w:r>
          </w:p>
        </w:tc>
        <w:tc>
          <w:tcPr>
            <w:tcW w:w="6933" w:type="dxa"/>
            <w:noWrap w:val="0"/>
            <w:vAlign w:val="center"/>
          </w:tcPr>
          <w:p w14:paraId="4906E392">
            <w:pPr>
              <w:pageBreakBefore w:val="0"/>
              <w:kinsoku/>
              <w:wordWrap w:val="0"/>
              <w:overflowPunct w:val="0"/>
              <w:topLinePunct w:val="0"/>
              <w:bidi w:val="0"/>
              <w:jc w:val="center"/>
              <w:rPr>
                <w:rFonts w:hint="eastAsia" w:ascii="宋体" w:hAnsi="宋体" w:eastAsia="宋体" w:cs="宋体"/>
                <w:color w:val="auto"/>
                <w:sz w:val="24"/>
                <w:szCs w:val="24"/>
              </w:rPr>
            </w:pPr>
          </w:p>
        </w:tc>
      </w:tr>
      <w:tr w14:paraId="5B0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227" w:type="dxa"/>
            <w:noWrap w:val="0"/>
            <w:vAlign w:val="center"/>
          </w:tcPr>
          <w:p w14:paraId="6320F485">
            <w:pPr>
              <w:pageBreakBefore w:val="0"/>
              <w:kinsoku/>
              <w:wordWrap w:val="0"/>
              <w:overflowPunct w:val="0"/>
              <w:topLinePunct w:val="0"/>
              <w:bidi w:val="0"/>
              <w:jc w:val="center"/>
              <w:rPr>
                <w:rFonts w:hint="eastAsia" w:ascii="宋体" w:hAnsi="宋体" w:eastAsia="宋体" w:cs="宋体"/>
                <w:color w:val="auto"/>
                <w:sz w:val="24"/>
                <w:szCs w:val="24"/>
                <w:lang w:val="en-US" w:eastAsia="zh-CN"/>
              </w:rPr>
            </w:pPr>
            <w:r>
              <w:rPr>
                <w:rFonts w:hint="eastAsia" w:ascii="宋体" w:hAnsi="宋体" w:eastAsia="宋体" w:cs="宋体"/>
                <w:b/>
                <w:color w:val="auto"/>
                <w:sz w:val="24"/>
                <w:szCs w:val="24"/>
                <w:lang w:val="en-US" w:eastAsia="zh-CN"/>
              </w:rPr>
              <w:t>质保期</w:t>
            </w:r>
          </w:p>
        </w:tc>
        <w:tc>
          <w:tcPr>
            <w:tcW w:w="6933" w:type="dxa"/>
            <w:noWrap w:val="0"/>
            <w:vAlign w:val="center"/>
          </w:tcPr>
          <w:p w14:paraId="65D46D51">
            <w:pPr>
              <w:pageBreakBefore w:val="0"/>
              <w:kinsoku/>
              <w:wordWrap w:val="0"/>
              <w:overflowPunct w:val="0"/>
              <w:topLinePunct w:val="0"/>
              <w:bidi w:val="0"/>
              <w:jc w:val="center"/>
              <w:rPr>
                <w:rFonts w:hint="eastAsia" w:ascii="宋体" w:hAnsi="宋体" w:eastAsia="宋体" w:cs="宋体"/>
                <w:color w:val="auto"/>
                <w:sz w:val="24"/>
                <w:szCs w:val="24"/>
              </w:rPr>
            </w:pPr>
          </w:p>
        </w:tc>
      </w:tr>
      <w:tr w14:paraId="4408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227" w:type="dxa"/>
            <w:noWrap w:val="0"/>
            <w:vAlign w:val="center"/>
          </w:tcPr>
          <w:p w14:paraId="0805EEC0">
            <w:pPr>
              <w:pageBreakBefore w:val="0"/>
              <w:kinsoku/>
              <w:wordWrap w:val="0"/>
              <w:overflowPunct w:val="0"/>
              <w:topLinePunct w:val="0"/>
              <w:bidi w:val="0"/>
              <w:jc w:val="center"/>
              <w:rPr>
                <w:rFonts w:hint="eastAsia" w:ascii="宋体" w:hAnsi="宋体" w:eastAsia="宋体" w:cs="宋体"/>
                <w:color w:val="auto"/>
                <w:sz w:val="24"/>
                <w:szCs w:val="24"/>
                <w:lang w:val="sq-AL" w:eastAsia="sq-AL"/>
              </w:rPr>
            </w:pPr>
            <w:r>
              <w:rPr>
                <w:rFonts w:hint="eastAsia" w:ascii="宋体" w:hAnsi="宋体" w:eastAsia="宋体" w:cs="宋体"/>
                <w:b/>
                <w:bCs/>
                <w:color w:val="auto"/>
                <w:sz w:val="24"/>
                <w:szCs w:val="24"/>
                <w:lang w:val="sq-AL" w:eastAsia="sq-AL"/>
              </w:rPr>
              <w:t>备注</w:t>
            </w:r>
          </w:p>
        </w:tc>
        <w:tc>
          <w:tcPr>
            <w:tcW w:w="6933" w:type="dxa"/>
            <w:noWrap w:val="0"/>
            <w:vAlign w:val="center"/>
          </w:tcPr>
          <w:p w14:paraId="570F0A32">
            <w:pPr>
              <w:pageBreakBefore w:val="0"/>
              <w:kinsoku/>
              <w:wordWrap w:val="0"/>
              <w:overflowPunct w:val="0"/>
              <w:topLinePunct w:val="0"/>
              <w:bidi w:val="0"/>
              <w:rPr>
                <w:rFonts w:hint="eastAsia" w:ascii="宋体" w:hAnsi="宋体" w:eastAsia="宋体" w:cs="宋体"/>
                <w:color w:val="auto"/>
                <w:sz w:val="24"/>
                <w:szCs w:val="24"/>
              </w:rPr>
            </w:pPr>
          </w:p>
        </w:tc>
      </w:tr>
    </w:tbl>
    <w:p w14:paraId="6D34EA84">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p>
    <w:p w14:paraId="75F0BF44">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766D640B">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2793CEE">
      <w:pPr>
        <w:pageBreakBefore w:val="0"/>
        <w:kinsoku/>
        <w:wordWrap w:val="0"/>
        <w:overflowPunct w:val="0"/>
        <w:topLinePunct w:val="0"/>
        <w:bidi w:val="0"/>
        <w:adjustRightInd w:val="0"/>
        <w:snapToGrid w:val="0"/>
        <w:spacing w:line="520" w:lineRule="exact"/>
        <w:rPr>
          <w:rFonts w:hint="eastAsia" w:ascii="宋体" w:hAnsi="宋体" w:eastAsia="宋体" w:cs="宋体"/>
          <w:color w:val="auto"/>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7C33BCD5">
      <w:pPr>
        <w:pageBreakBefore w:val="0"/>
        <w:kinsoku/>
        <w:wordWrap w:val="0"/>
        <w:overflowPunct w:val="0"/>
        <w:topLinePunct w:val="0"/>
        <w:bidi w:val="0"/>
        <w:adjustRightInd w:val="0"/>
        <w:snapToGrid w:val="0"/>
        <w:spacing w:line="560" w:lineRule="exact"/>
        <w:ind w:firstLine="480" w:firstLineChars="200"/>
        <w:rPr>
          <w:rFonts w:hint="eastAsia" w:ascii="宋体" w:hAnsi="宋体" w:eastAsia="宋体" w:cs="宋体"/>
          <w:color w:val="auto"/>
          <w:sz w:val="24"/>
          <w:szCs w:val="24"/>
          <w:lang w:eastAsia="zh-CN"/>
        </w:rPr>
      </w:pPr>
    </w:p>
    <w:p w14:paraId="7B3C00CC">
      <w:pPr>
        <w:keepNext w:val="0"/>
        <w:keepLines w:val="0"/>
        <w:pageBreakBefore w:val="0"/>
        <w:widowControl/>
        <w:tabs>
          <w:tab w:val="left" w:pos="1440"/>
        </w:tabs>
        <w:kinsoku/>
        <w:wordWrap w:val="0"/>
        <w:overflowPunct w:val="0"/>
        <w:topLinePunct w:val="0"/>
        <w:autoSpaceDE/>
        <w:autoSpaceDN/>
        <w:bidi w:val="0"/>
        <w:snapToGrid w:val="0"/>
        <w:spacing w:line="500" w:lineRule="exact"/>
        <w:ind w:left="0" w:leftChars="0" w:right="0" w:rightChars="0" w:firstLine="0" w:firstLineChars="0"/>
        <w:jc w:val="center"/>
        <w:textAlignment w:val="auto"/>
        <w:outlineLvl w:val="9"/>
        <w:rPr>
          <w:rFonts w:hint="eastAsia" w:ascii="宋体" w:hAnsi="宋体" w:eastAsia="宋体" w:cs="宋体"/>
          <w:b/>
          <w:color w:val="auto"/>
          <w:kern w:val="0"/>
          <w:sz w:val="24"/>
          <w:szCs w:val="24"/>
          <w:lang w:eastAsia="zh-CN"/>
        </w:rPr>
        <w:sectPr>
          <w:pgSz w:w="11906" w:h="16838"/>
          <w:pgMar w:top="1440" w:right="1080" w:bottom="1440" w:left="1080" w:header="851" w:footer="1134" w:gutter="0"/>
          <w:pgNumType w:fmt="decimal"/>
          <w:cols w:space="720" w:num="1"/>
          <w:docGrid w:type="lines" w:linePitch="330" w:charSpace="0"/>
        </w:sectPr>
      </w:pPr>
      <w:bookmarkStart w:id="81" w:name="_Toc23370"/>
      <w:bookmarkStart w:id="82" w:name="_Toc15940"/>
    </w:p>
    <w:p w14:paraId="4F0E87AA">
      <w:pPr>
        <w:pageBreakBefore w:val="0"/>
        <w:widowControl/>
        <w:numPr>
          <w:ilvl w:val="0"/>
          <w:numId w:val="0"/>
        </w:numPr>
        <w:kinsoku/>
        <w:wordWrap w:val="0"/>
        <w:overflowPunct w:val="0"/>
        <w:topLinePunct w:val="0"/>
        <w:bidi w:val="0"/>
        <w:spacing w:line="600" w:lineRule="exact"/>
        <w:ind w:left="0" w:leftChars="0" w:right="0" w:rightChars="0" w:firstLine="0" w:firstLineChars="0"/>
        <w:jc w:val="center"/>
        <w:outlineLvl w:val="0"/>
        <w:rPr>
          <w:rFonts w:hint="eastAsia" w:ascii="宋体" w:hAnsi="宋体" w:eastAsia="宋体" w:cs="宋体"/>
          <w:color w:val="auto"/>
          <w:sz w:val="24"/>
          <w:szCs w:val="24"/>
          <w:lang w:eastAsia="zh-CN"/>
        </w:rPr>
      </w:pPr>
      <w:bookmarkStart w:id="83" w:name="_Toc23334"/>
      <w:bookmarkStart w:id="84" w:name="_Toc20579"/>
      <w:bookmarkStart w:id="85" w:name="_Toc26086"/>
      <w:bookmarkStart w:id="86" w:name="_Toc14336"/>
      <w:r>
        <w:rPr>
          <w:rFonts w:hint="eastAsia" w:ascii="宋体" w:hAnsi="宋体" w:eastAsia="宋体" w:cs="宋体"/>
          <w:b/>
          <w:bCs/>
          <w:color w:val="auto"/>
          <w:sz w:val="24"/>
          <w:szCs w:val="24"/>
          <w:lang w:eastAsia="zh-CN"/>
        </w:rPr>
        <w:t>分项报价</w:t>
      </w:r>
      <w:r>
        <w:rPr>
          <w:rFonts w:hint="eastAsia" w:ascii="宋体" w:hAnsi="宋体" w:eastAsia="宋体" w:cs="宋体"/>
          <w:b/>
          <w:bCs/>
          <w:color w:val="auto"/>
          <w:sz w:val="24"/>
          <w:szCs w:val="24"/>
        </w:rPr>
        <w:t>表</w:t>
      </w:r>
      <w:bookmarkEnd w:id="83"/>
      <w:bookmarkEnd w:id="84"/>
      <w:bookmarkEnd w:id="85"/>
      <w:bookmarkEnd w:id="86"/>
    </w:p>
    <w:p w14:paraId="77917490">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szCs w:val="24"/>
          <w:lang w:eastAsia="zh-CN"/>
        </w:rPr>
      </w:pPr>
    </w:p>
    <w:p w14:paraId="37C356AA">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项目名称：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kern w:val="0"/>
          <w:sz w:val="24"/>
          <w:szCs w:val="24"/>
          <w:u w:val="single"/>
        </w:rPr>
        <w:t xml:space="preserve">                  </w:t>
      </w:r>
    </w:p>
    <w:p w14:paraId="33DD64D5">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项目编号</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632D360C">
      <w:pPr>
        <w:keepNext w:val="0"/>
        <w:keepLines w:val="0"/>
        <w:pageBreakBefore w:val="0"/>
        <w:widowControl/>
        <w:kinsoku/>
        <w:wordWrap w:val="0"/>
        <w:overflowPunct w:val="0"/>
        <w:topLinePunct w:val="0"/>
        <w:autoSpaceDE/>
        <w:autoSpaceDN/>
        <w:bidi w:val="0"/>
        <w:snapToGrid w:val="0"/>
        <w:spacing w:line="5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包号：</w:t>
      </w:r>
      <w:r>
        <w:rPr>
          <w:rFonts w:hint="eastAsia" w:ascii="宋体" w:hAnsi="宋体" w:eastAsia="宋体" w:cs="宋体"/>
          <w:color w:val="auto"/>
          <w:kern w:val="0"/>
          <w:sz w:val="24"/>
          <w:szCs w:val="24"/>
          <w:u w:val="single"/>
        </w:rPr>
        <w:t xml:space="preserve">                  </w:t>
      </w:r>
    </w:p>
    <w:p w14:paraId="7172451A">
      <w:pPr>
        <w:pageBreakBefore w:val="0"/>
        <w:kinsoku/>
        <w:wordWrap w:val="0"/>
        <w:overflowPunct w:val="0"/>
        <w:topLinePunct w:val="0"/>
        <w:bidi w:val="0"/>
        <w:adjustRightInd w:val="0"/>
        <w:snapToGrid w:val="0"/>
        <w:spacing w:line="400" w:lineRule="exact"/>
        <w:ind w:left="-88" w:leftChars="-42" w:firstLine="96" w:firstLineChars="40"/>
        <w:jc w:val="righ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单位：元</w:t>
      </w:r>
    </w:p>
    <w:tbl>
      <w:tblPr>
        <w:tblStyle w:val="27"/>
        <w:tblpPr w:leftFromText="180" w:rightFromText="180" w:vertAnchor="text" w:horzAnchor="page" w:tblpXSpec="center" w:tblpY="214"/>
        <w:tblOverlap w:val="never"/>
        <w:tblW w:w="10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305"/>
        <w:gridCol w:w="1308"/>
        <w:gridCol w:w="938"/>
        <w:gridCol w:w="1621"/>
        <w:gridCol w:w="1350"/>
        <w:gridCol w:w="1285"/>
        <w:gridCol w:w="1312"/>
      </w:tblGrid>
      <w:tr w14:paraId="0F29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exact"/>
          <w:jc w:val="center"/>
        </w:trPr>
        <w:tc>
          <w:tcPr>
            <w:tcW w:w="1080" w:type="dxa"/>
            <w:vAlign w:val="center"/>
          </w:tcPr>
          <w:p w14:paraId="226C1D80">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序号</w:t>
            </w:r>
          </w:p>
        </w:tc>
        <w:tc>
          <w:tcPr>
            <w:tcW w:w="1305" w:type="dxa"/>
            <w:vAlign w:val="center"/>
          </w:tcPr>
          <w:p w14:paraId="7873A1EA">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名称</w:t>
            </w:r>
          </w:p>
        </w:tc>
        <w:tc>
          <w:tcPr>
            <w:tcW w:w="1308" w:type="dxa"/>
            <w:vAlign w:val="center"/>
          </w:tcPr>
          <w:p w14:paraId="75375C67">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数量</w:t>
            </w:r>
          </w:p>
        </w:tc>
        <w:tc>
          <w:tcPr>
            <w:tcW w:w="938" w:type="dxa"/>
            <w:vAlign w:val="center"/>
          </w:tcPr>
          <w:p w14:paraId="3F78C76C">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单位</w:t>
            </w:r>
          </w:p>
        </w:tc>
        <w:tc>
          <w:tcPr>
            <w:tcW w:w="1621" w:type="dxa"/>
            <w:vAlign w:val="center"/>
          </w:tcPr>
          <w:p w14:paraId="47229FD4">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技术参数</w:t>
            </w:r>
          </w:p>
        </w:tc>
        <w:tc>
          <w:tcPr>
            <w:tcW w:w="1350" w:type="dxa"/>
            <w:vAlign w:val="center"/>
          </w:tcPr>
          <w:p w14:paraId="401FECAD">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单价（元）</w:t>
            </w:r>
          </w:p>
        </w:tc>
        <w:tc>
          <w:tcPr>
            <w:tcW w:w="1285" w:type="dxa"/>
            <w:vAlign w:val="center"/>
          </w:tcPr>
          <w:p w14:paraId="528C397F">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总价（元）</w:t>
            </w:r>
          </w:p>
        </w:tc>
        <w:tc>
          <w:tcPr>
            <w:tcW w:w="1312" w:type="dxa"/>
            <w:vAlign w:val="center"/>
          </w:tcPr>
          <w:p w14:paraId="3D4DC65C">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04E5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80" w:type="dxa"/>
            <w:vAlign w:val="center"/>
          </w:tcPr>
          <w:p w14:paraId="70788F10">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0E99C290">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4FB34A9A">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06EFCAAF">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1F596361">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71196AC9">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1BED2150">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33648541">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79C7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80" w:type="dxa"/>
            <w:vAlign w:val="center"/>
          </w:tcPr>
          <w:p w14:paraId="69ED0CA6">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2DC116C8">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610BE25E">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21AAC4C3">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3EA3C5C2">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4B19C5DD">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0CDD52D6">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7480ADCF">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3B9B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80" w:type="dxa"/>
            <w:vAlign w:val="center"/>
          </w:tcPr>
          <w:p w14:paraId="784C36CA">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6B8E0B04">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5ED231C4">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45085D95">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1D2B1DF6">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4D17B85C">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6459FE12">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1E70D51A">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7262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80" w:type="dxa"/>
            <w:vAlign w:val="center"/>
          </w:tcPr>
          <w:p w14:paraId="1A30592F">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1C167463">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0203C70D">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29B085F3">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50D567AA">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1767EEF2">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6B5C8167">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5A9A12E2">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7D06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080" w:type="dxa"/>
            <w:vAlign w:val="center"/>
          </w:tcPr>
          <w:p w14:paraId="19539CDC">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6A287083">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46E16ACA">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5C4D2273">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7D1D9802">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4C22BA87">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3CFAB4E0">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669CE7FE">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5424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1080" w:type="dxa"/>
            <w:vAlign w:val="center"/>
          </w:tcPr>
          <w:p w14:paraId="588BB7DD">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5" w:type="dxa"/>
            <w:vAlign w:val="center"/>
          </w:tcPr>
          <w:p w14:paraId="75198B70">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5A321CEC">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26B82395">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273A841B">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2830EC92">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573E3B2C">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5657B5E8">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571A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1080" w:type="dxa"/>
            <w:vAlign w:val="center"/>
          </w:tcPr>
          <w:p w14:paraId="654856CC">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vertAlign w:val="baseline"/>
                <w:lang w:val="en-US" w:eastAsia="zh-CN"/>
              </w:rPr>
              <w:t>...</w:t>
            </w:r>
          </w:p>
        </w:tc>
        <w:tc>
          <w:tcPr>
            <w:tcW w:w="1305" w:type="dxa"/>
            <w:vAlign w:val="center"/>
          </w:tcPr>
          <w:p w14:paraId="12D84162">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08" w:type="dxa"/>
            <w:vAlign w:val="center"/>
          </w:tcPr>
          <w:p w14:paraId="5DBBCAE0">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938" w:type="dxa"/>
            <w:vAlign w:val="center"/>
          </w:tcPr>
          <w:p w14:paraId="79E1D47D">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621" w:type="dxa"/>
            <w:vAlign w:val="center"/>
          </w:tcPr>
          <w:p w14:paraId="77FD263D">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350" w:type="dxa"/>
            <w:vAlign w:val="center"/>
          </w:tcPr>
          <w:p w14:paraId="61204048">
            <w:pPr>
              <w:pStyle w:val="25"/>
              <w:pageBreakBefore w:val="0"/>
              <w:kinsoku/>
              <w:wordWrap w:val="0"/>
              <w:overflowPunct w:val="0"/>
              <w:topLinePunct w:val="0"/>
              <w:bidi w:val="0"/>
              <w:ind w:left="0" w:leftChars="0" w:right="0" w:rightChars="0" w:firstLine="0" w:firstLineChars="0"/>
              <w:jc w:val="center"/>
              <w:rPr>
                <w:rFonts w:hint="eastAsia" w:ascii="宋体" w:hAnsi="宋体" w:eastAsia="宋体" w:cs="宋体"/>
                <w:color w:val="auto"/>
                <w:sz w:val="22"/>
                <w:szCs w:val="22"/>
                <w:vertAlign w:val="baseline"/>
                <w:lang w:val="en-US" w:eastAsia="zh-CN"/>
              </w:rPr>
            </w:pPr>
          </w:p>
        </w:tc>
        <w:tc>
          <w:tcPr>
            <w:tcW w:w="1285" w:type="dxa"/>
            <w:vAlign w:val="center"/>
          </w:tcPr>
          <w:p w14:paraId="04C7C69A">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c>
          <w:tcPr>
            <w:tcW w:w="1312" w:type="dxa"/>
            <w:vAlign w:val="center"/>
          </w:tcPr>
          <w:p w14:paraId="57543BCF">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r w14:paraId="5BFC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7602" w:type="dxa"/>
            <w:gridSpan w:val="6"/>
            <w:vAlign w:val="center"/>
          </w:tcPr>
          <w:p w14:paraId="2FF88F88">
            <w:pPr>
              <w:pStyle w:val="25"/>
              <w:pageBreakBefore w:val="0"/>
              <w:kinsoku/>
              <w:wordWrap w:val="0"/>
              <w:overflowPunct w:val="0"/>
              <w:topLinePunct w:val="0"/>
              <w:bidi w:val="0"/>
              <w:spacing w:after="0"/>
              <w:ind w:left="0" w:leftChars="0" w:right="0" w:rightChars="0" w:firstLine="0" w:firstLineChars="0"/>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vertAlign w:val="baseline"/>
                <w:lang w:val="en-US" w:eastAsia="zh-CN"/>
              </w:rPr>
              <w:t>总价（元）：</w:t>
            </w:r>
          </w:p>
        </w:tc>
        <w:tc>
          <w:tcPr>
            <w:tcW w:w="2597" w:type="dxa"/>
            <w:gridSpan w:val="2"/>
            <w:vAlign w:val="center"/>
          </w:tcPr>
          <w:p w14:paraId="58B949C3">
            <w:pPr>
              <w:keepNext w:val="0"/>
              <w:keepLines w:val="0"/>
              <w:pageBreakBefore w:val="0"/>
              <w:widowControl/>
              <w:suppressLineNumbers w:val="0"/>
              <w:kinsoku/>
              <w:wordWrap w:val="0"/>
              <w:overflowPunct w:val="0"/>
              <w:topLinePunct w:val="0"/>
              <w:bidi w:val="0"/>
              <w:jc w:val="center"/>
              <w:textAlignment w:val="center"/>
              <w:rPr>
                <w:rFonts w:hint="eastAsia" w:ascii="宋体" w:hAnsi="宋体" w:eastAsia="宋体" w:cs="宋体"/>
                <w:color w:val="auto"/>
                <w:sz w:val="22"/>
                <w:szCs w:val="22"/>
                <w:vertAlign w:val="baseline"/>
                <w:lang w:val="en-US" w:eastAsia="zh-CN"/>
              </w:rPr>
            </w:pPr>
          </w:p>
        </w:tc>
      </w:tr>
    </w:tbl>
    <w:p w14:paraId="34A6DC91">
      <w:pPr>
        <w:pageBreakBefore w:val="0"/>
        <w:kinsoku/>
        <w:wordWrap w:val="0"/>
        <w:overflowPunct w:val="0"/>
        <w:topLinePunct w:val="0"/>
        <w:bidi w:val="0"/>
        <w:adjustRightInd w:val="0"/>
        <w:snapToGrid w:val="0"/>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注：按采购需求清单逐一报价，不得有空项。</w:t>
      </w:r>
    </w:p>
    <w:p w14:paraId="2BC1DB4A">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p>
    <w:p w14:paraId="46C3BB7F">
      <w:pPr>
        <w:pageBreakBefore w:val="0"/>
        <w:kinsoku/>
        <w:wordWrap w:val="0"/>
        <w:overflowPunct w:val="0"/>
        <w:topLinePunct w:val="0"/>
        <w:bidi w:val="0"/>
        <w:adjustRightInd w:val="0"/>
        <w:snapToGrid w:val="0"/>
        <w:spacing w:line="520" w:lineRule="exact"/>
        <w:rPr>
          <w:rFonts w:hint="eastAsia" w:ascii="宋体" w:hAnsi="宋体" w:eastAsia="宋体" w:cs="宋体"/>
          <w:color w:val="auto"/>
          <w:sz w:val="24"/>
          <w:szCs w:val="24"/>
        </w:rPr>
      </w:pPr>
    </w:p>
    <w:p w14:paraId="2D137D9F">
      <w:pPr>
        <w:pageBreakBefore w:val="0"/>
        <w:kinsoku/>
        <w:wordWrap w:val="0"/>
        <w:overflowPunct w:val="0"/>
        <w:topLinePunct w:val="0"/>
        <w:bidi w:val="0"/>
        <w:adjustRightInd w:val="0"/>
        <w:snapToGrid w:val="0"/>
        <w:spacing w:line="52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75FCD458">
      <w:pPr>
        <w:pageBreakBefore w:val="0"/>
        <w:kinsoku/>
        <w:wordWrap w:val="0"/>
        <w:overflowPunct w:val="0"/>
        <w:topLinePunct w:val="0"/>
        <w:bidi w:val="0"/>
        <w:adjustRightInd w:val="0"/>
        <w:snapToGrid w:val="0"/>
        <w:spacing w:line="52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A0FCC9D">
      <w:pPr>
        <w:keepNext w:val="0"/>
        <w:keepLines w:val="0"/>
        <w:pageBreakBefore w:val="0"/>
        <w:widowControl/>
        <w:tabs>
          <w:tab w:val="left" w:pos="1440"/>
        </w:tabs>
        <w:kinsoku/>
        <w:wordWrap w:val="0"/>
        <w:overflowPunct w:val="0"/>
        <w:topLinePunct w:val="0"/>
        <w:autoSpaceDE/>
        <w:autoSpaceDN/>
        <w:bidi w:val="0"/>
        <w:snapToGrid w:val="0"/>
        <w:spacing w:line="500" w:lineRule="exact"/>
        <w:ind w:left="0" w:leftChars="0" w:right="0" w:rightChars="0" w:firstLine="0" w:firstLineChars="0"/>
        <w:jc w:val="right"/>
        <w:textAlignment w:val="auto"/>
        <w:outlineLvl w:val="0"/>
        <w:rPr>
          <w:rFonts w:hint="eastAsia" w:ascii="宋体" w:hAnsi="宋体" w:eastAsia="宋体" w:cs="宋体"/>
          <w:b/>
          <w:color w:val="auto"/>
          <w:kern w:val="0"/>
          <w:sz w:val="24"/>
          <w:szCs w:val="24"/>
          <w:lang w:eastAsia="zh-CN"/>
        </w:rPr>
        <w:sectPr>
          <w:pgSz w:w="11906" w:h="16838"/>
          <w:pgMar w:top="1440" w:right="1080" w:bottom="1440" w:left="1080" w:header="851" w:footer="1134" w:gutter="0"/>
          <w:pgNumType w:fmt="decimal"/>
          <w:cols w:space="720" w:num="1"/>
          <w:docGrid w:type="lines" w:linePitch="330" w:charSpace="0"/>
        </w:sectPr>
      </w:pPr>
      <w:bookmarkStart w:id="87" w:name="_Toc24702"/>
      <w:bookmarkStart w:id="88" w:name="_Toc11168"/>
      <w:bookmarkStart w:id="89" w:name="_Toc5251"/>
      <w:bookmarkStart w:id="90" w:name="_Toc8817"/>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bookmarkEnd w:id="87"/>
      <w:bookmarkEnd w:id="88"/>
      <w:bookmarkEnd w:id="89"/>
      <w:bookmarkEnd w:id="90"/>
    </w:p>
    <w:bookmarkEnd w:id="81"/>
    <w:bookmarkEnd w:id="82"/>
    <w:p w14:paraId="558140DC">
      <w:pPr>
        <w:pStyle w:val="14"/>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投标人企业简况</w:t>
      </w:r>
    </w:p>
    <w:tbl>
      <w:tblPr>
        <w:tblStyle w:val="26"/>
        <w:tblW w:w="953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918"/>
        <w:gridCol w:w="1078"/>
        <w:gridCol w:w="2396"/>
        <w:gridCol w:w="1297"/>
        <w:gridCol w:w="1850"/>
      </w:tblGrid>
      <w:tr w14:paraId="045FE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noWrap w:val="0"/>
            <w:vAlign w:val="center"/>
          </w:tcPr>
          <w:p w14:paraId="2545B5D3">
            <w:pPr>
              <w:pageBreakBefore w:val="0"/>
              <w:widowControl w:val="0"/>
              <w:kinsoku/>
              <w:wordWrap w:val="0"/>
              <w:overflowPunct w:val="0"/>
              <w:topLinePunct w:val="0"/>
              <w:autoSpaceDE w:val="0"/>
              <w:autoSpaceDN w:val="0"/>
              <w:bidi w:val="0"/>
              <w:spacing w:before="105" w:after="0" w:line="240" w:lineRule="auto"/>
              <w:ind w:left="112" w:right="97"/>
              <w:jc w:val="center"/>
              <w:rPr>
                <w:rFonts w:hint="eastAsia" w:ascii="宋体" w:hAnsi="宋体" w:eastAsia="宋体" w:cs="宋体"/>
                <w:caps w:val="0"/>
                <w:smallCaps w:val="0"/>
                <w:color w:val="auto"/>
                <w:spacing w:val="0"/>
                <w:sz w:val="21"/>
                <w:szCs w:val="22"/>
                <w:lang w:val="zh-CN" w:eastAsia="zh-CN" w:bidi="zh-CN"/>
              </w:rPr>
            </w:pPr>
            <w:bookmarkStart w:id="91" w:name="_Toc294186064"/>
            <w:bookmarkStart w:id="92" w:name="_Toc294206747"/>
            <w:r>
              <w:rPr>
                <w:rFonts w:hint="eastAsia" w:ascii="宋体" w:hAnsi="宋体" w:eastAsia="宋体" w:cs="宋体"/>
                <w:caps w:val="0"/>
                <w:smallCaps w:val="0"/>
                <w:color w:val="auto"/>
                <w:spacing w:val="0"/>
                <w:sz w:val="21"/>
                <w:szCs w:val="22"/>
                <w:lang w:val="zh-CN" w:eastAsia="zh-CN" w:bidi="zh-CN"/>
              </w:rPr>
              <w:t>投标人名称</w:t>
            </w:r>
          </w:p>
        </w:tc>
        <w:tc>
          <w:tcPr>
            <w:tcW w:w="6621" w:type="dxa"/>
            <w:gridSpan w:val="4"/>
            <w:noWrap w:val="0"/>
            <w:vAlign w:val="center"/>
          </w:tcPr>
          <w:p w14:paraId="4D38C446">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52161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noWrap w:val="0"/>
            <w:vAlign w:val="center"/>
          </w:tcPr>
          <w:p w14:paraId="500EEAF2">
            <w:pPr>
              <w:pageBreakBefore w:val="0"/>
              <w:widowControl w:val="0"/>
              <w:kinsoku/>
              <w:wordWrap w:val="0"/>
              <w:overflowPunct w:val="0"/>
              <w:topLinePunct w:val="0"/>
              <w:autoSpaceDE w:val="0"/>
              <w:autoSpaceDN w:val="0"/>
              <w:bidi w:val="0"/>
              <w:spacing w:before="105" w:after="0" w:line="240" w:lineRule="auto"/>
              <w:ind w:left="112" w:right="97"/>
              <w:jc w:val="center"/>
              <w:rPr>
                <w:rFonts w:hint="eastAsia" w:ascii="宋体" w:hAnsi="宋体" w:eastAsia="宋体" w:cs="宋体"/>
                <w:caps w:val="0"/>
                <w:smallCaps w:val="0"/>
                <w:color w:val="auto"/>
                <w:spacing w:val="0"/>
                <w:sz w:val="21"/>
                <w:szCs w:val="22"/>
                <w:lang w:val="en-US" w:eastAsia="zh-CN" w:bidi="zh-CN"/>
              </w:rPr>
            </w:pPr>
            <w:r>
              <w:rPr>
                <w:rFonts w:hint="eastAsia" w:ascii="宋体" w:hAnsi="宋体" w:eastAsia="宋体" w:cs="宋体"/>
                <w:caps w:val="0"/>
                <w:smallCaps w:val="0"/>
                <w:color w:val="auto"/>
                <w:spacing w:val="0"/>
                <w:sz w:val="21"/>
                <w:szCs w:val="22"/>
                <w:lang w:val="en-US" w:eastAsia="zh-CN" w:bidi="zh-CN"/>
              </w:rPr>
              <w:t>统一信用代码</w:t>
            </w:r>
          </w:p>
        </w:tc>
        <w:tc>
          <w:tcPr>
            <w:tcW w:w="6621" w:type="dxa"/>
            <w:gridSpan w:val="4"/>
            <w:noWrap w:val="0"/>
            <w:vAlign w:val="center"/>
          </w:tcPr>
          <w:p w14:paraId="2DC626B1">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3609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2918" w:type="dxa"/>
            <w:noWrap w:val="0"/>
            <w:vAlign w:val="center"/>
          </w:tcPr>
          <w:p w14:paraId="4920A9BE">
            <w:pPr>
              <w:pageBreakBefore w:val="0"/>
              <w:widowControl w:val="0"/>
              <w:kinsoku/>
              <w:wordWrap w:val="0"/>
              <w:overflowPunct w:val="0"/>
              <w:topLinePunct w:val="0"/>
              <w:autoSpaceDE w:val="0"/>
              <w:autoSpaceDN w:val="0"/>
              <w:bidi w:val="0"/>
              <w:spacing w:before="105" w:after="0" w:line="240" w:lineRule="auto"/>
              <w:ind w:left="112" w:right="96"/>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注册资金</w:t>
            </w:r>
          </w:p>
        </w:tc>
        <w:tc>
          <w:tcPr>
            <w:tcW w:w="3474" w:type="dxa"/>
            <w:gridSpan w:val="2"/>
            <w:noWrap w:val="0"/>
            <w:vAlign w:val="center"/>
          </w:tcPr>
          <w:p w14:paraId="2C94EF8F">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c>
          <w:tcPr>
            <w:tcW w:w="1297" w:type="dxa"/>
            <w:noWrap w:val="0"/>
            <w:vAlign w:val="center"/>
          </w:tcPr>
          <w:p w14:paraId="5E57B125">
            <w:pPr>
              <w:pageBreakBefore w:val="0"/>
              <w:widowControl w:val="0"/>
              <w:kinsoku/>
              <w:wordWrap w:val="0"/>
              <w:overflowPunct w:val="0"/>
              <w:topLinePunct w:val="0"/>
              <w:autoSpaceDE w:val="0"/>
              <w:autoSpaceDN w:val="0"/>
              <w:bidi w:val="0"/>
              <w:spacing w:before="105" w:after="0" w:line="240" w:lineRule="auto"/>
              <w:ind w:left="138"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成立时间</w:t>
            </w:r>
          </w:p>
        </w:tc>
        <w:tc>
          <w:tcPr>
            <w:tcW w:w="1850" w:type="dxa"/>
            <w:noWrap w:val="0"/>
            <w:vAlign w:val="center"/>
          </w:tcPr>
          <w:p w14:paraId="749D4403">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4F0E6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noWrap w:val="0"/>
            <w:vAlign w:val="center"/>
          </w:tcPr>
          <w:p w14:paraId="66672179">
            <w:pPr>
              <w:pageBreakBefore w:val="0"/>
              <w:widowControl w:val="0"/>
              <w:kinsoku/>
              <w:wordWrap w:val="0"/>
              <w:overflowPunct w:val="0"/>
              <w:topLinePunct w:val="0"/>
              <w:autoSpaceDE w:val="0"/>
              <w:autoSpaceDN w:val="0"/>
              <w:bidi w:val="0"/>
              <w:spacing w:before="105" w:after="0" w:line="240" w:lineRule="auto"/>
              <w:ind w:left="112" w:right="96"/>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注册地址</w:t>
            </w:r>
          </w:p>
        </w:tc>
        <w:tc>
          <w:tcPr>
            <w:tcW w:w="6621" w:type="dxa"/>
            <w:gridSpan w:val="4"/>
            <w:noWrap w:val="0"/>
            <w:vAlign w:val="center"/>
          </w:tcPr>
          <w:p w14:paraId="4FE5E8D5">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67459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noWrap w:val="0"/>
            <w:vAlign w:val="center"/>
          </w:tcPr>
          <w:p w14:paraId="04091630">
            <w:pPr>
              <w:pageBreakBefore w:val="0"/>
              <w:widowControl w:val="0"/>
              <w:kinsoku/>
              <w:wordWrap w:val="0"/>
              <w:overflowPunct w:val="0"/>
              <w:topLinePunct w:val="0"/>
              <w:autoSpaceDE w:val="0"/>
              <w:autoSpaceDN w:val="0"/>
              <w:bidi w:val="0"/>
              <w:spacing w:before="105" w:after="0" w:line="240" w:lineRule="auto"/>
              <w:ind w:left="112" w:right="96"/>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邮政编码</w:t>
            </w:r>
          </w:p>
        </w:tc>
        <w:tc>
          <w:tcPr>
            <w:tcW w:w="3474" w:type="dxa"/>
            <w:gridSpan w:val="2"/>
            <w:noWrap w:val="0"/>
            <w:vAlign w:val="center"/>
          </w:tcPr>
          <w:p w14:paraId="4AFE65AC">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c>
          <w:tcPr>
            <w:tcW w:w="1297" w:type="dxa"/>
            <w:noWrap w:val="0"/>
            <w:vAlign w:val="center"/>
          </w:tcPr>
          <w:p w14:paraId="7C2A5B43">
            <w:pPr>
              <w:pageBreakBefore w:val="0"/>
              <w:widowControl w:val="0"/>
              <w:kinsoku/>
              <w:wordWrap w:val="0"/>
              <w:overflowPunct w:val="0"/>
              <w:topLinePunct w:val="0"/>
              <w:autoSpaceDE w:val="0"/>
              <w:autoSpaceDN w:val="0"/>
              <w:bidi w:val="0"/>
              <w:spacing w:before="105" w:after="0" w:line="240" w:lineRule="auto"/>
              <w:ind w:left="138"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员工总数</w:t>
            </w:r>
          </w:p>
        </w:tc>
        <w:tc>
          <w:tcPr>
            <w:tcW w:w="1850" w:type="dxa"/>
            <w:noWrap w:val="0"/>
            <w:vAlign w:val="center"/>
          </w:tcPr>
          <w:p w14:paraId="3A749E91">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14358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2918" w:type="dxa"/>
            <w:vMerge w:val="restart"/>
            <w:noWrap w:val="0"/>
            <w:vAlign w:val="center"/>
          </w:tcPr>
          <w:p w14:paraId="393BE7DF">
            <w:pPr>
              <w:pageBreakBefore w:val="0"/>
              <w:widowControl w:val="0"/>
              <w:kinsoku/>
              <w:wordWrap w:val="0"/>
              <w:overflowPunct w:val="0"/>
              <w:topLinePunct w:val="0"/>
              <w:autoSpaceDE w:val="0"/>
              <w:autoSpaceDN w:val="0"/>
              <w:bidi w:val="0"/>
              <w:spacing w:before="0" w:after="0" w:line="240" w:lineRule="auto"/>
              <w:ind w:right="96"/>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联系方式</w:t>
            </w:r>
          </w:p>
        </w:tc>
        <w:tc>
          <w:tcPr>
            <w:tcW w:w="1078" w:type="dxa"/>
            <w:noWrap w:val="0"/>
            <w:vAlign w:val="center"/>
          </w:tcPr>
          <w:p w14:paraId="10BD3D77">
            <w:pPr>
              <w:pageBreakBefore w:val="0"/>
              <w:widowControl w:val="0"/>
              <w:kinsoku/>
              <w:wordWrap w:val="0"/>
              <w:overflowPunct w:val="0"/>
              <w:topLinePunct w:val="0"/>
              <w:autoSpaceDE w:val="0"/>
              <w:autoSpaceDN w:val="0"/>
              <w:bidi w:val="0"/>
              <w:spacing w:before="90" w:after="0" w:line="240" w:lineRule="auto"/>
              <w:ind w:left="152"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联系人</w:t>
            </w:r>
          </w:p>
        </w:tc>
        <w:tc>
          <w:tcPr>
            <w:tcW w:w="2396" w:type="dxa"/>
            <w:noWrap w:val="0"/>
            <w:vAlign w:val="center"/>
          </w:tcPr>
          <w:p w14:paraId="38EDB42F">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c>
          <w:tcPr>
            <w:tcW w:w="1297" w:type="dxa"/>
            <w:noWrap w:val="0"/>
            <w:vAlign w:val="center"/>
          </w:tcPr>
          <w:p w14:paraId="7CCC5C0D">
            <w:pPr>
              <w:pageBreakBefore w:val="0"/>
              <w:widowControl w:val="0"/>
              <w:kinsoku/>
              <w:wordWrap w:val="0"/>
              <w:overflowPunct w:val="0"/>
              <w:topLinePunct w:val="0"/>
              <w:autoSpaceDE w:val="0"/>
              <w:autoSpaceDN w:val="0"/>
              <w:bidi w:val="0"/>
              <w:spacing w:before="90" w:after="0" w:line="240" w:lineRule="auto"/>
              <w:ind w:left="138"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电话</w:t>
            </w:r>
          </w:p>
        </w:tc>
        <w:tc>
          <w:tcPr>
            <w:tcW w:w="1850" w:type="dxa"/>
            <w:noWrap w:val="0"/>
            <w:vAlign w:val="center"/>
          </w:tcPr>
          <w:p w14:paraId="143207FF">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6DEAF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vMerge w:val="continue"/>
            <w:tcBorders>
              <w:top w:val="nil"/>
            </w:tcBorders>
            <w:noWrap w:val="0"/>
            <w:vAlign w:val="center"/>
          </w:tcPr>
          <w:p w14:paraId="456387C3">
            <w:pPr>
              <w:pageBreakBefore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kern w:val="0"/>
                <w:sz w:val="2"/>
                <w:szCs w:val="2"/>
                <w:lang w:val="zh-CN" w:bidi="zh-CN"/>
              </w:rPr>
            </w:pPr>
          </w:p>
        </w:tc>
        <w:tc>
          <w:tcPr>
            <w:tcW w:w="1078" w:type="dxa"/>
            <w:noWrap w:val="0"/>
            <w:vAlign w:val="center"/>
          </w:tcPr>
          <w:p w14:paraId="76104175">
            <w:pPr>
              <w:pageBreakBefore w:val="0"/>
              <w:widowControl w:val="0"/>
              <w:kinsoku/>
              <w:wordWrap w:val="0"/>
              <w:overflowPunct w:val="0"/>
              <w:topLinePunct w:val="0"/>
              <w:autoSpaceDE w:val="0"/>
              <w:autoSpaceDN w:val="0"/>
              <w:bidi w:val="0"/>
              <w:spacing w:before="105" w:after="0" w:line="240" w:lineRule="auto"/>
              <w:ind w:left="152"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网址</w:t>
            </w:r>
          </w:p>
        </w:tc>
        <w:tc>
          <w:tcPr>
            <w:tcW w:w="2396" w:type="dxa"/>
            <w:noWrap w:val="0"/>
            <w:vAlign w:val="center"/>
          </w:tcPr>
          <w:p w14:paraId="21CEBF55">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c>
          <w:tcPr>
            <w:tcW w:w="1297" w:type="dxa"/>
            <w:noWrap w:val="0"/>
            <w:vAlign w:val="center"/>
          </w:tcPr>
          <w:p w14:paraId="67C7EDB1">
            <w:pPr>
              <w:pageBreakBefore w:val="0"/>
              <w:widowControl w:val="0"/>
              <w:kinsoku/>
              <w:wordWrap w:val="0"/>
              <w:overflowPunct w:val="0"/>
              <w:topLinePunct w:val="0"/>
              <w:autoSpaceDE w:val="0"/>
              <w:autoSpaceDN w:val="0"/>
              <w:bidi w:val="0"/>
              <w:spacing w:before="105" w:after="0" w:line="240" w:lineRule="auto"/>
              <w:ind w:left="138"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传真</w:t>
            </w:r>
          </w:p>
        </w:tc>
        <w:tc>
          <w:tcPr>
            <w:tcW w:w="1850" w:type="dxa"/>
            <w:noWrap w:val="0"/>
            <w:vAlign w:val="center"/>
          </w:tcPr>
          <w:p w14:paraId="358361C5">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319B8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2918" w:type="dxa"/>
            <w:noWrap w:val="0"/>
            <w:vAlign w:val="center"/>
          </w:tcPr>
          <w:p w14:paraId="24D5EBB2">
            <w:pPr>
              <w:pageBreakBefore w:val="0"/>
              <w:widowControl w:val="0"/>
              <w:kinsoku/>
              <w:wordWrap w:val="0"/>
              <w:overflowPunct w:val="0"/>
              <w:topLinePunct w:val="0"/>
              <w:autoSpaceDE w:val="0"/>
              <w:autoSpaceDN w:val="0"/>
              <w:bidi w:val="0"/>
              <w:spacing w:before="90" w:after="0" w:line="240" w:lineRule="auto"/>
              <w:ind w:left="112" w:right="-29"/>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法定代表人（单位负责人）</w:t>
            </w:r>
          </w:p>
        </w:tc>
        <w:tc>
          <w:tcPr>
            <w:tcW w:w="1078" w:type="dxa"/>
            <w:noWrap w:val="0"/>
            <w:vAlign w:val="center"/>
          </w:tcPr>
          <w:p w14:paraId="109100E5">
            <w:pPr>
              <w:pageBreakBefore w:val="0"/>
              <w:widowControl w:val="0"/>
              <w:kinsoku/>
              <w:wordWrap w:val="0"/>
              <w:overflowPunct w:val="0"/>
              <w:topLinePunct w:val="0"/>
              <w:autoSpaceDE w:val="0"/>
              <w:autoSpaceDN w:val="0"/>
              <w:bidi w:val="0"/>
              <w:spacing w:before="90" w:after="0" w:line="240" w:lineRule="auto"/>
              <w:ind w:left="152"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姓名</w:t>
            </w:r>
          </w:p>
        </w:tc>
        <w:tc>
          <w:tcPr>
            <w:tcW w:w="2396" w:type="dxa"/>
            <w:noWrap w:val="0"/>
            <w:vAlign w:val="center"/>
          </w:tcPr>
          <w:p w14:paraId="2B5AE6EC">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c>
          <w:tcPr>
            <w:tcW w:w="1297" w:type="dxa"/>
            <w:noWrap w:val="0"/>
            <w:vAlign w:val="center"/>
          </w:tcPr>
          <w:p w14:paraId="50EB1645">
            <w:pPr>
              <w:pageBreakBefore w:val="0"/>
              <w:widowControl w:val="0"/>
              <w:kinsoku/>
              <w:wordWrap w:val="0"/>
              <w:overflowPunct w:val="0"/>
              <w:topLinePunct w:val="0"/>
              <w:autoSpaceDE w:val="0"/>
              <w:autoSpaceDN w:val="0"/>
              <w:bidi w:val="0"/>
              <w:spacing w:before="90" w:after="0" w:line="240" w:lineRule="auto"/>
              <w:ind w:left="138" w:right="123"/>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电话</w:t>
            </w:r>
          </w:p>
        </w:tc>
        <w:tc>
          <w:tcPr>
            <w:tcW w:w="1850" w:type="dxa"/>
            <w:noWrap w:val="0"/>
            <w:vAlign w:val="center"/>
          </w:tcPr>
          <w:p w14:paraId="4B5A4CBB">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2BEED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2918" w:type="dxa"/>
            <w:noWrap w:val="0"/>
            <w:vAlign w:val="center"/>
          </w:tcPr>
          <w:p w14:paraId="7B7DDABC">
            <w:pPr>
              <w:pageBreakBefore w:val="0"/>
              <w:widowControl w:val="0"/>
              <w:kinsoku/>
              <w:wordWrap w:val="0"/>
              <w:overflowPunct w:val="0"/>
              <w:topLinePunct w:val="0"/>
              <w:autoSpaceDE w:val="0"/>
              <w:autoSpaceDN w:val="0"/>
              <w:bidi w:val="0"/>
              <w:spacing w:before="90" w:after="0" w:line="240" w:lineRule="auto"/>
              <w:ind w:left="112" w:right="95"/>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基本账户开户银行</w:t>
            </w:r>
          </w:p>
        </w:tc>
        <w:tc>
          <w:tcPr>
            <w:tcW w:w="6621" w:type="dxa"/>
            <w:gridSpan w:val="4"/>
            <w:noWrap w:val="0"/>
            <w:vAlign w:val="center"/>
          </w:tcPr>
          <w:p w14:paraId="693CE519">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6D39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4" w:hRule="atLeast"/>
          <w:jc w:val="center"/>
        </w:trPr>
        <w:tc>
          <w:tcPr>
            <w:tcW w:w="2918" w:type="dxa"/>
            <w:noWrap w:val="0"/>
            <w:vAlign w:val="center"/>
          </w:tcPr>
          <w:p w14:paraId="52D0BF70">
            <w:pPr>
              <w:pageBreakBefore w:val="0"/>
              <w:widowControl w:val="0"/>
              <w:kinsoku/>
              <w:wordWrap w:val="0"/>
              <w:overflowPunct w:val="0"/>
              <w:topLinePunct w:val="0"/>
              <w:autoSpaceDE w:val="0"/>
              <w:autoSpaceDN w:val="0"/>
              <w:bidi w:val="0"/>
              <w:spacing w:before="105" w:after="0" w:line="240" w:lineRule="auto"/>
              <w:ind w:left="112" w:right="95"/>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基本账户银行账号</w:t>
            </w:r>
          </w:p>
        </w:tc>
        <w:tc>
          <w:tcPr>
            <w:tcW w:w="6621" w:type="dxa"/>
            <w:gridSpan w:val="4"/>
            <w:noWrap w:val="0"/>
            <w:vAlign w:val="center"/>
          </w:tcPr>
          <w:p w14:paraId="6B06B8BB">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23B81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jc w:val="center"/>
        </w:trPr>
        <w:tc>
          <w:tcPr>
            <w:tcW w:w="2918" w:type="dxa"/>
            <w:noWrap w:val="0"/>
            <w:vAlign w:val="center"/>
          </w:tcPr>
          <w:p w14:paraId="52128D40">
            <w:pPr>
              <w:pageBreakBefore w:val="0"/>
              <w:widowControl w:val="0"/>
              <w:kinsoku/>
              <w:wordWrap w:val="0"/>
              <w:overflowPunct w:val="0"/>
              <w:topLinePunct w:val="0"/>
              <w:autoSpaceDE w:val="0"/>
              <w:autoSpaceDN w:val="0"/>
              <w:bidi w:val="0"/>
              <w:spacing w:before="105" w:after="0" w:line="240" w:lineRule="auto"/>
              <w:ind w:left="112" w:right="97"/>
              <w:jc w:val="center"/>
              <w:rPr>
                <w:rFonts w:hint="eastAsia" w:ascii="宋体" w:hAnsi="宋体" w:eastAsia="宋体" w:cs="宋体"/>
                <w:caps w:val="0"/>
                <w:smallCaps w:val="0"/>
                <w:color w:val="auto"/>
                <w:spacing w:val="0"/>
                <w:sz w:val="21"/>
                <w:szCs w:val="22"/>
                <w:lang w:val="en-US" w:eastAsia="zh-CN" w:bidi="zh-CN"/>
              </w:rPr>
            </w:pPr>
            <w:r>
              <w:rPr>
                <w:rFonts w:hint="eastAsia" w:ascii="宋体" w:hAnsi="宋体" w:eastAsia="宋体" w:cs="宋体"/>
                <w:caps w:val="0"/>
                <w:smallCaps w:val="0"/>
                <w:color w:val="auto"/>
                <w:spacing w:val="0"/>
                <w:sz w:val="21"/>
                <w:szCs w:val="22"/>
                <w:lang w:val="en-US" w:eastAsia="zh-CN" w:bidi="zh-CN"/>
              </w:rPr>
              <w:t>经营范围</w:t>
            </w:r>
          </w:p>
        </w:tc>
        <w:tc>
          <w:tcPr>
            <w:tcW w:w="6621" w:type="dxa"/>
            <w:gridSpan w:val="4"/>
            <w:noWrap w:val="0"/>
            <w:vAlign w:val="center"/>
          </w:tcPr>
          <w:p w14:paraId="48839055">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r w14:paraId="5F7AB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9" w:hRule="atLeast"/>
          <w:jc w:val="center"/>
        </w:trPr>
        <w:tc>
          <w:tcPr>
            <w:tcW w:w="2918" w:type="dxa"/>
            <w:noWrap w:val="0"/>
            <w:vAlign w:val="center"/>
          </w:tcPr>
          <w:p w14:paraId="2D312212">
            <w:pPr>
              <w:pageBreakBefore w:val="0"/>
              <w:widowControl w:val="0"/>
              <w:kinsoku/>
              <w:wordWrap w:val="0"/>
              <w:overflowPunct w:val="0"/>
              <w:topLinePunct w:val="0"/>
              <w:autoSpaceDE w:val="0"/>
              <w:autoSpaceDN w:val="0"/>
              <w:bidi w:val="0"/>
              <w:spacing w:before="90" w:after="0" w:line="240" w:lineRule="auto"/>
              <w:ind w:left="112" w:right="97"/>
              <w:jc w:val="center"/>
              <w:rPr>
                <w:rFonts w:hint="eastAsia" w:ascii="宋体" w:hAnsi="宋体" w:eastAsia="宋体" w:cs="宋体"/>
                <w:caps w:val="0"/>
                <w:smallCaps w:val="0"/>
                <w:color w:val="auto"/>
                <w:spacing w:val="0"/>
                <w:sz w:val="21"/>
                <w:szCs w:val="22"/>
                <w:lang w:val="zh-CN" w:eastAsia="zh-CN" w:bidi="zh-CN"/>
              </w:rPr>
            </w:pPr>
            <w:r>
              <w:rPr>
                <w:rFonts w:hint="eastAsia" w:ascii="宋体" w:hAnsi="宋体" w:eastAsia="宋体" w:cs="宋体"/>
                <w:caps w:val="0"/>
                <w:smallCaps w:val="0"/>
                <w:color w:val="auto"/>
                <w:spacing w:val="0"/>
                <w:sz w:val="21"/>
                <w:szCs w:val="22"/>
                <w:lang w:val="zh-CN" w:eastAsia="zh-CN" w:bidi="zh-CN"/>
              </w:rPr>
              <w:t>备注</w:t>
            </w:r>
          </w:p>
        </w:tc>
        <w:tc>
          <w:tcPr>
            <w:tcW w:w="6621" w:type="dxa"/>
            <w:gridSpan w:val="4"/>
            <w:noWrap w:val="0"/>
            <w:vAlign w:val="center"/>
          </w:tcPr>
          <w:p w14:paraId="7C026496">
            <w:pPr>
              <w:pageBreakBefore w:val="0"/>
              <w:widowControl w:val="0"/>
              <w:kinsoku/>
              <w:wordWrap w:val="0"/>
              <w:overflowPunct w:val="0"/>
              <w:topLinePunct w:val="0"/>
              <w:autoSpaceDE w:val="0"/>
              <w:autoSpaceDN w:val="0"/>
              <w:bidi w:val="0"/>
              <w:spacing w:before="0" w:after="0" w:line="240" w:lineRule="auto"/>
              <w:ind w:left="0" w:right="0"/>
              <w:jc w:val="center"/>
              <w:rPr>
                <w:rFonts w:hint="eastAsia" w:ascii="宋体" w:hAnsi="宋体" w:eastAsia="宋体" w:cs="宋体"/>
                <w:caps w:val="0"/>
                <w:smallCaps w:val="0"/>
                <w:color w:val="auto"/>
                <w:spacing w:val="0"/>
                <w:sz w:val="20"/>
                <w:szCs w:val="22"/>
                <w:lang w:val="zh-CN" w:eastAsia="zh-CN" w:bidi="zh-CN"/>
              </w:rPr>
            </w:pPr>
          </w:p>
        </w:tc>
      </w:tr>
    </w:tbl>
    <w:p w14:paraId="1E0E9FA3">
      <w:pPr>
        <w:pageBreakBefore w:val="0"/>
        <w:kinsoku/>
        <w:wordWrap w:val="0"/>
        <w:overflowPunct w:val="0"/>
        <w:topLinePunct w:val="0"/>
        <w:bidi w:val="0"/>
        <w:adjustRightInd w:val="0"/>
        <w:snapToGrid w:val="0"/>
        <w:spacing w:line="480" w:lineRule="exact"/>
        <w:rPr>
          <w:rFonts w:hint="eastAsia" w:ascii="宋体" w:hAnsi="宋体" w:eastAsia="宋体" w:cs="宋体"/>
          <w:color w:val="auto"/>
          <w:sz w:val="24"/>
          <w:szCs w:val="24"/>
        </w:rPr>
      </w:pPr>
    </w:p>
    <w:p w14:paraId="76424DAF">
      <w:pPr>
        <w:pageBreakBefore w:val="0"/>
        <w:kinsoku/>
        <w:wordWrap w:val="0"/>
        <w:overflowPunct w:val="0"/>
        <w:topLinePunct w:val="0"/>
        <w:bidi w:val="0"/>
        <w:adjustRightInd w:val="0"/>
        <w:snapToGrid w:val="0"/>
        <w:spacing w:line="480" w:lineRule="exact"/>
        <w:rPr>
          <w:rFonts w:hint="eastAsia" w:ascii="宋体" w:hAnsi="宋体" w:eastAsia="宋体" w:cs="宋体"/>
          <w:color w:val="auto"/>
          <w:sz w:val="24"/>
          <w:szCs w:val="24"/>
        </w:rPr>
      </w:pPr>
    </w:p>
    <w:p w14:paraId="22682BB1">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100784E6">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34AE2EE">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lang w:eastAsia="zh-CN"/>
        </w:rPr>
        <w:sectPr>
          <w:pgSz w:w="11906" w:h="16838"/>
          <w:pgMar w:top="1440" w:right="1080" w:bottom="1440" w:left="1080" w:header="851" w:footer="1134" w:gutter="0"/>
          <w:pgNumType w:fmt="decimal"/>
          <w:cols w:space="720" w:num="1"/>
          <w:docGrid w:type="lines" w:linePitch="330" w:charSpace="0"/>
        </w:sect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日</w:t>
      </w:r>
    </w:p>
    <w:bookmarkEnd w:id="91"/>
    <w:bookmarkEnd w:id="92"/>
    <w:p w14:paraId="156D2222">
      <w:pPr>
        <w:pStyle w:val="14"/>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kern w:val="0"/>
          <w:sz w:val="24"/>
          <w:szCs w:val="24"/>
          <w:lang w:eastAsia="zh-CN"/>
        </w:rPr>
        <w:t>投标人同类型业绩一览表</w:t>
      </w:r>
    </w:p>
    <w:p w14:paraId="5F3C683C">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tbl>
      <w:tblPr>
        <w:tblStyle w:val="2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44"/>
        <w:gridCol w:w="1581"/>
        <w:gridCol w:w="1333"/>
        <w:gridCol w:w="1725"/>
        <w:gridCol w:w="1638"/>
      </w:tblGrid>
      <w:tr w14:paraId="09B4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004290E9">
            <w:pPr>
              <w:pageBreakBefore w:val="0"/>
              <w:widowControl/>
              <w:kinsoku/>
              <w:wordWrap w:val="0"/>
              <w:overflowPunct w:val="0"/>
              <w:topLinePunct w:val="0"/>
              <w:bidi w:val="0"/>
              <w:snapToGrid w:val="0"/>
              <w:ind w:left="480" w:hanging="480" w:hanging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944" w:type="dxa"/>
            <w:noWrap w:val="0"/>
            <w:vAlign w:val="center"/>
          </w:tcPr>
          <w:p w14:paraId="062F09A4">
            <w:pPr>
              <w:pageBreakBefore w:val="0"/>
              <w:widowControl/>
              <w:kinsoku/>
              <w:wordWrap w:val="0"/>
              <w:overflowPunct w:val="0"/>
              <w:topLinePunct w:val="0"/>
              <w:bidi w:val="0"/>
              <w:snapToGrid w:val="0"/>
              <w:ind w:left="480" w:hanging="480" w:hanging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1581" w:type="dxa"/>
            <w:noWrap w:val="0"/>
            <w:vAlign w:val="center"/>
          </w:tcPr>
          <w:p w14:paraId="0A78B277">
            <w:pPr>
              <w:pageBreakBefore w:val="0"/>
              <w:widowControl/>
              <w:kinsoku/>
              <w:wordWrap w:val="0"/>
              <w:overflowPunct w:val="0"/>
              <w:topLinePunct w:val="0"/>
              <w:bidi w:val="0"/>
              <w:snapToGrid w:val="0"/>
              <w:ind w:left="480" w:hanging="480" w:hangingChars="20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业主</w:t>
            </w:r>
            <w:r>
              <w:rPr>
                <w:rFonts w:hint="eastAsia" w:ascii="宋体" w:hAnsi="宋体" w:eastAsia="宋体" w:cs="宋体"/>
                <w:color w:val="auto"/>
                <w:sz w:val="24"/>
                <w:szCs w:val="24"/>
              </w:rPr>
              <w:t>单位</w:t>
            </w:r>
          </w:p>
        </w:tc>
        <w:tc>
          <w:tcPr>
            <w:tcW w:w="1333" w:type="dxa"/>
            <w:noWrap w:val="0"/>
            <w:vAlign w:val="center"/>
          </w:tcPr>
          <w:p w14:paraId="5D1AB1DB">
            <w:pPr>
              <w:pageBreakBefore w:val="0"/>
              <w:widowControl/>
              <w:kinsoku/>
              <w:wordWrap w:val="0"/>
              <w:overflowPunct w:val="0"/>
              <w:topLinePunct w:val="0"/>
              <w:bidi w:val="0"/>
              <w:snapToGrid w:val="0"/>
              <w:ind w:left="480" w:hanging="480" w:hangingChars="200"/>
              <w:rPr>
                <w:rFonts w:hint="eastAsia" w:ascii="宋体" w:hAnsi="宋体" w:eastAsia="宋体" w:cs="宋体"/>
                <w:color w:val="auto"/>
                <w:sz w:val="24"/>
                <w:szCs w:val="24"/>
              </w:rPr>
            </w:pPr>
            <w:r>
              <w:rPr>
                <w:rFonts w:hint="eastAsia" w:ascii="宋体" w:hAnsi="宋体" w:eastAsia="宋体" w:cs="宋体"/>
                <w:color w:val="auto"/>
                <w:sz w:val="24"/>
                <w:szCs w:val="24"/>
              </w:rPr>
              <w:t>合同金额</w:t>
            </w:r>
          </w:p>
        </w:tc>
        <w:tc>
          <w:tcPr>
            <w:tcW w:w="1725" w:type="dxa"/>
            <w:noWrap w:val="0"/>
            <w:vAlign w:val="center"/>
          </w:tcPr>
          <w:p w14:paraId="32D3A52C">
            <w:pPr>
              <w:pageBreakBefore w:val="0"/>
              <w:widowControl/>
              <w:kinsoku/>
              <w:wordWrap w:val="0"/>
              <w:overflowPunct w:val="0"/>
              <w:topLinePunct w:val="0"/>
              <w:bidi w:val="0"/>
              <w:snapToGrid w:val="0"/>
              <w:ind w:left="480" w:hanging="480" w:hanging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签订时间</w:t>
            </w:r>
          </w:p>
        </w:tc>
        <w:tc>
          <w:tcPr>
            <w:tcW w:w="1638" w:type="dxa"/>
            <w:noWrap w:val="0"/>
            <w:vAlign w:val="center"/>
          </w:tcPr>
          <w:p w14:paraId="6672FAF3">
            <w:pPr>
              <w:pageBreakBefore w:val="0"/>
              <w:widowControl/>
              <w:kinsoku/>
              <w:wordWrap w:val="0"/>
              <w:overflowPunct w:val="0"/>
              <w:topLinePunct w:val="0"/>
              <w:bidi w:val="0"/>
              <w:snapToGrid w:val="0"/>
              <w:ind w:left="480" w:hanging="480" w:hanging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1D1C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41C30224">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22503B04">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2A1C7C0E">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7B3309AE">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1CC3423D">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34E09513">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r w14:paraId="1B44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63CF4729">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2CDED2D2">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1F4CB857">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49EF2AA2">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4DFBBEAF">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535FB0EF">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r w14:paraId="4156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645B8909">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607A0DB2">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3BFF32AD">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71F8E516">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3FE5F298">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76686CEF">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r w14:paraId="4C77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2103EE49">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094DD169">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40DE4665">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65A24414">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74400CDA">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268FE6AD">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r w14:paraId="5C00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59" w:type="dxa"/>
            <w:noWrap w:val="0"/>
            <w:vAlign w:val="center"/>
          </w:tcPr>
          <w:p w14:paraId="72841EC8">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7D140DA9">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6CB8E582">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5D323F7A">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304AB696">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52595FEA">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r w14:paraId="1F5E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59" w:type="dxa"/>
            <w:noWrap w:val="0"/>
            <w:vAlign w:val="center"/>
          </w:tcPr>
          <w:p w14:paraId="7126E55B">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944" w:type="dxa"/>
            <w:noWrap w:val="0"/>
            <w:vAlign w:val="center"/>
          </w:tcPr>
          <w:p w14:paraId="46C8C240">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581" w:type="dxa"/>
            <w:noWrap w:val="0"/>
            <w:vAlign w:val="center"/>
          </w:tcPr>
          <w:p w14:paraId="10A67FA1">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333" w:type="dxa"/>
            <w:noWrap w:val="0"/>
            <w:vAlign w:val="center"/>
          </w:tcPr>
          <w:p w14:paraId="04A6C083">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725" w:type="dxa"/>
            <w:noWrap w:val="0"/>
            <w:vAlign w:val="center"/>
          </w:tcPr>
          <w:p w14:paraId="1BDA9282">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c>
          <w:tcPr>
            <w:tcW w:w="1638" w:type="dxa"/>
            <w:noWrap w:val="0"/>
            <w:vAlign w:val="center"/>
          </w:tcPr>
          <w:p w14:paraId="21E75B83">
            <w:pPr>
              <w:pageBreakBefore w:val="0"/>
              <w:widowControl/>
              <w:kinsoku/>
              <w:wordWrap w:val="0"/>
              <w:overflowPunct w:val="0"/>
              <w:topLinePunct w:val="0"/>
              <w:bidi w:val="0"/>
              <w:snapToGrid w:val="0"/>
              <w:ind w:left="560" w:hanging="560" w:hangingChars="200"/>
              <w:jc w:val="center"/>
              <w:rPr>
                <w:rFonts w:hint="eastAsia" w:ascii="宋体" w:hAnsi="宋体" w:eastAsia="宋体" w:cs="宋体"/>
                <w:color w:val="auto"/>
                <w:sz w:val="28"/>
                <w:szCs w:val="28"/>
              </w:rPr>
            </w:pPr>
          </w:p>
        </w:tc>
      </w:tr>
    </w:tbl>
    <w:p w14:paraId="55045A49">
      <w:pPr>
        <w:keepNext w:val="0"/>
        <w:keepLines w:val="0"/>
        <w:pageBreakBefore w:val="0"/>
        <w:widowControl/>
        <w:kinsoku/>
        <w:wordWrap w:val="0"/>
        <w:overflowPunct w:val="0"/>
        <w:topLinePunct w:val="0"/>
        <w:autoSpaceDE/>
        <w:autoSpaceDN/>
        <w:bidi w:val="0"/>
        <w:adjustRightInd/>
        <w:snapToGrid/>
        <w:spacing w:line="46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注：</w:t>
      </w:r>
      <w:r>
        <w:rPr>
          <w:rFonts w:hint="eastAsia" w:ascii="宋体" w:hAnsi="宋体" w:eastAsia="宋体" w:cs="宋体"/>
          <w:color w:val="auto"/>
          <w:sz w:val="24"/>
          <w:szCs w:val="24"/>
          <w:lang w:val="en-US" w:eastAsia="zh-CN"/>
        </w:rPr>
        <w:t>后附相关证明材料并加盖投标人公章</w:t>
      </w:r>
    </w:p>
    <w:p w14:paraId="689BA12E">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57B93B82">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19BE2C79">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58973381">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2D4F4695">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49F83EF3">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6EDA28FC">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7D311135">
      <w:pPr>
        <w:pStyle w:val="14"/>
        <w:pageBreakBefore w:val="0"/>
        <w:kinsoku/>
        <w:wordWrap w:val="0"/>
        <w:overflowPunct w:val="0"/>
        <w:topLinePunct w:val="0"/>
        <w:bidi w:val="0"/>
        <w:adjustRightInd w:val="0"/>
        <w:snapToGrid w:val="0"/>
        <w:spacing w:line="400" w:lineRule="exact"/>
        <w:rPr>
          <w:rFonts w:hint="eastAsia" w:ascii="宋体" w:hAnsi="宋体" w:eastAsia="宋体" w:cs="宋体"/>
          <w:color w:val="auto"/>
          <w:sz w:val="24"/>
          <w:szCs w:val="24"/>
        </w:rPr>
      </w:pPr>
    </w:p>
    <w:p w14:paraId="23562BB4">
      <w:pPr>
        <w:pStyle w:val="14"/>
        <w:pageBreakBefore w:val="0"/>
        <w:kinsoku/>
        <w:wordWrap w:val="0"/>
        <w:overflowPunct w:val="0"/>
        <w:topLinePunct w:val="0"/>
        <w:bidi w:val="0"/>
        <w:adjustRightInd w:val="0"/>
        <w:snapToGrid w:val="0"/>
        <w:spacing w:line="400" w:lineRule="exact"/>
        <w:ind w:left="0" w:leftChars="0" w:right="0" w:rightChars="0" w:firstLine="0" w:firstLineChars="0"/>
        <w:jc w:val="center"/>
        <w:rPr>
          <w:rFonts w:hint="eastAsia" w:ascii="宋体" w:hAnsi="宋体" w:eastAsia="宋体" w:cs="宋体"/>
          <w:b/>
          <w:bCs/>
          <w:color w:val="auto"/>
          <w:sz w:val="24"/>
          <w:szCs w:val="24"/>
          <w:lang w:val="en-US" w:eastAsia="zh-CN"/>
        </w:rPr>
        <w:sectPr>
          <w:pgSz w:w="11906" w:h="16838"/>
          <w:pgMar w:top="1440" w:right="1080" w:bottom="1440" w:left="1080" w:header="851" w:footer="1134" w:gutter="0"/>
          <w:pgNumType w:fmt="decimal"/>
          <w:cols w:space="720" w:num="1"/>
          <w:docGrid w:type="lines" w:linePitch="330" w:charSpace="0"/>
        </w:sectPr>
      </w:pPr>
      <w:bookmarkStart w:id="93" w:name="_Toc294186060"/>
      <w:bookmarkStart w:id="94" w:name="_Toc294206743"/>
    </w:p>
    <w:bookmarkEnd w:id="93"/>
    <w:bookmarkEnd w:id="94"/>
    <w:p w14:paraId="15392890">
      <w:pPr>
        <w:pageBreakBefore w:val="0"/>
        <w:kinsoku/>
        <w:wordWrap w:val="0"/>
        <w:overflowPunct w:val="0"/>
        <w:topLinePunct w:val="0"/>
        <w:bidi w:val="0"/>
        <w:adjustRightInd w:val="0"/>
        <w:snapToGrid w:val="0"/>
        <w:spacing w:line="360" w:lineRule="auto"/>
        <w:ind w:left="0" w:leftChars="0" w:right="0" w:rightChars="0" w:firstLine="0" w:firstLineChars="0"/>
        <w:jc w:val="center"/>
        <w:outlineLvl w:val="0"/>
        <w:rPr>
          <w:rFonts w:hint="eastAsia" w:ascii="宋体" w:hAnsi="宋体" w:eastAsia="宋体" w:cs="宋体"/>
          <w:b/>
          <w:bCs/>
          <w:color w:val="auto"/>
          <w:sz w:val="24"/>
          <w:szCs w:val="24"/>
          <w:lang w:val="en-US" w:eastAsia="zh-CN"/>
        </w:rPr>
      </w:pPr>
      <w:bookmarkStart w:id="95" w:name="_Toc24023"/>
      <w:bookmarkStart w:id="96" w:name="_Toc24099"/>
      <w:bookmarkStart w:id="97" w:name="_Toc16157"/>
      <w:bookmarkStart w:id="98" w:name="_Toc12179"/>
      <w:bookmarkStart w:id="99" w:name="_Toc13849"/>
      <w:bookmarkStart w:id="100" w:name="_Toc21086"/>
      <w:r>
        <w:rPr>
          <w:rFonts w:hint="eastAsia" w:ascii="宋体" w:hAnsi="宋体" w:eastAsia="宋体" w:cs="宋体"/>
          <w:b/>
          <w:bCs/>
          <w:color w:val="auto"/>
          <w:kern w:val="0"/>
          <w:sz w:val="24"/>
          <w:szCs w:val="24"/>
          <w:lang w:val="en-US" w:eastAsia="zh-CN"/>
        </w:rPr>
        <w:t>商务、技术偏离表</w:t>
      </w:r>
      <w:bookmarkEnd w:id="95"/>
      <w:bookmarkEnd w:id="96"/>
      <w:bookmarkEnd w:id="97"/>
      <w:bookmarkEnd w:id="98"/>
      <w:bookmarkEnd w:id="99"/>
      <w:bookmarkEnd w:id="100"/>
    </w:p>
    <w:p w14:paraId="61BAC123">
      <w:pPr>
        <w:pageBreakBefore w:val="0"/>
        <w:kinsoku/>
        <w:wordWrap w:val="0"/>
        <w:overflowPunct w:val="0"/>
        <w:topLinePunct w:val="0"/>
        <w:bidi w:val="0"/>
        <w:spacing w:line="360" w:lineRule="auto"/>
        <w:ind w:left="360" w:hanging="361" w:hangingChars="150"/>
        <w:jc w:val="center"/>
        <w:outlineLvl w:val="0"/>
        <w:rPr>
          <w:rFonts w:hint="eastAsia" w:ascii="宋体" w:hAnsi="宋体" w:eastAsia="宋体" w:cs="宋体"/>
          <w:b/>
          <w:sz w:val="24"/>
          <w:lang w:eastAsia="zh-CN"/>
        </w:rPr>
      </w:pPr>
      <w:bookmarkStart w:id="101" w:name="_Toc4518"/>
      <w:r>
        <w:rPr>
          <w:rFonts w:hint="eastAsia" w:ascii="宋体" w:hAnsi="宋体" w:eastAsia="宋体" w:cs="宋体"/>
          <w:b/>
          <w:sz w:val="24"/>
        </w:rPr>
        <w:t>商务响应</w:t>
      </w:r>
      <w:r>
        <w:rPr>
          <w:rFonts w:hint="eastAsia" w:ascii="宋体" w:hAnsi="宋体" w:eastAsia="宋体" w:cs="宋体"/>
          <w:b/>
          <w:sz w:val="24"/>
          <w:lang w:val="en-US" w:eastAsia="zh-CN"/>
        </w:rPr>
        <w:t>偏离表</w:t>
      </w:r>
      <w:bookmarkEnd w:id="101"/>
    </w:p>
    <w:p w14:paraId="17320E3A">
      <w:pPr>
        <w:pageBreakBefore w:val="0"/>
        <w:kinsoku/>
        <w:wordWrap w:val="0"/>
        <w:overflowPunct w:val="0"/>
        <w:topLinePunct w:val="0"/>
        <w:bidi w:val="0"/>
        <w:spacing w:line="440" w:lineRule="exact"/>
        <w:ind w:leftChars="200"/>
        <w:rPr>
          <w:rFonts w:hint="eastAsia" w:ascii="宋体" w:hAnsi="宋体" w:eastAsia="宋体" w:cs="宋体"/>
          <w:sz w:val="24"/>
          <w:szCs w:val="24"/>
          <w:u w:val="single"/>
        </w:rPr>
      </w:pP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p>
    <w:p w14:paraId="76C64E39">
      <w:pPr>
        <w:pageBreakBefore w:val="0"/>
        <w:kinsoku/>
        <w:wordWrap w:val="0"/>
        <w:overflowPunct w:val="0"/>
        <w:topLinePunct w:val="0"/>
        <w:bidi w:val="0"/>
        <w:spacing w:line="440" w:lineRule="exact"/>
        <w:ind w:leftChars="200"/>
        <w:rPr>
          <w:rFonts w:hint="eastAsia" w:ascii="宋体" w:hAnsi="宋体" w:eastAsia="宋体" w:cs="宋体"/>
          <w:sz w:val="24"/>
          <w:szCs w:val="24"/>
          <w:u w:val="single"/>
        </w:rPr>
      </w:pP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p>
    <w:tbl>
      <w:tblPr>
        <w:tblStyle w:val="2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145"/>
        <w:gridCol w:w="2945"/>
        <w:gridCol w:w="2359"/>
        <w:gridCol w:w="1662"/>
        <w:gridCol w:w="1167"/>
      </w:tblGrid>
      <w:tr w14:paraId="5BFE2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85" w:hRule="atLeast"/>
          <w:jc w:val="center"/>
        </w:trPr>
        <w:tc>
          <w:tcPr>
            <w:tcW w:w="1145" w:type="dxa"/>
            <w:tcBorders>
              <w:right w:val="single" w:color="auto" w:sz="4" w:space="0"/>
            </w:tcBorders>
            <w:vAlign w:val="center"/>
          </w:tcPr>
          <w:p w14:paraId="68D18156">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945" w:type="dxa"/>
            <w:vAlign w:val="center"/>
          </w:tcPr>
          <w:p w14:paraId="6B646793">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招标文件商务要求</w:t>
            </w:r>
          </w:p>
        </w:tc>
        <w:tc>
          <w:tcPr>
            <w:tcW w:w="2359" w:type="dxa"/>
            <w:vAlign w:val="center"/>
          </w:tcPr>
          <w:p w14:paraId="4F5B5AF1">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投标文件响应情况</w:t>
            </w:r>
          </w:p>
        </w:tc>
        <w:tc>
          <w:tcPr>
            <w:tcW w:w="1662" w:type="dxa"/>
            <w:vAlign w:val="center"/>
          </w:tcPr>
          <w:p w14:paraId="34861BB5">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偏离情况</w:t>
            </w:r>
          </w:p>
        </w:tc>
        <w:tc>
          <w:tcPr>
            <w:tcW w:w="1167" w:type="dxa"/>
            <w:vAlign w:val="center"/>
          </w:tcPr>
          <w:p w14:paraId="14C1BB1D">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5DA05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85" w:hRule="atLeast"/>
          <w:jc w:val="center"/>
        </w:trPr>
        <w:tc>
          <w:tcPr>
            <w:tcW w:w="1145" w:type="dxa"/>
            <w:tcBorders>
              <w:right w:val="single" w:color="auto" w:sz="4" w:space="0"/>
            </w:tcBorders>
            <w:vAlign w:val="center"/>
          </w:tcPr>
          <w:p w14:paraId="5C56F25E">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945" w:type="dxa"/>
            <w:vAlign w:val="center"/>
          </w:tcPr>
          <w:p w14:paraId="1A1F1B05">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359" w:type="dxa"/>
            <w:vAlign w:val="center"/>
          </w:tcPr>
          <w:p w14:paraId="323F9AE9">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662" w:type="dxa"/>
            <w:vAlign w:val="center"/>
          </w:tcPr>
          <w:p w14:paraId="525B2DDE">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167" w:type="dxa"/>
            <w:vAlign w:val="center"/>
          </w:tcPr>
          <w:p w14:paraId="60A20B9F">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5F943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85" w:hRule="atLeast"/>
          <w:jc w:val="center"/>
        </w:trPr>
        <w:tc>
          <w:tcPr>
            <w:tcW w:w="1145" w:type="dxa"/>
            <w:tcBorders>
              <w:right w:val="single" w:color="auto" w:sz="4" w:space="0"/>
            </w:tcBorders>
            <w:vAlign w:val="center"/>
          </w:tcPr>
          <w:p w14:paraId="68BE02F4">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945" w:type="dxa"/>
            <w:vAlign w:val="center"/>
          </w:tcPr>
          <w:p w14:paraId="4B9AD2C9">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359" w:type="dxa"/>
            <w:vAlign w:val="center"/>
          </w:tcPr>
          <w:p w14:paraId="54FBC756">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662" w:type="dxa"/>
            <w:vAlign w:val="center"/>
          </w:tcPr>
          <w:p w14:paraId="636FD981">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167" w:type="dxa"/>
            <w:vAlign w:val="center"/>
          </w:tcPr>
          <w:p w14:paraId="305739F2">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65368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06" w:hRule="atLeast"/>
          <w:jc w:val="center"/>
        </w:trPr>
        <w:tc>
          <w:tcPr>
            <w:tcW w:w="1145" w:type="dxa"/>
            <w:tcBorders>
              <w:right w:val="single" w:color="auto" w:sz="4" w:space="0"/>
            </w:tcBorders>
            <w:vAlign w:val="center"/>
          </w:tcPr>
          <w:p w14:paraId="019B1DAE">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sz w:val="24"/>
                <w:szCs w:val="24"/>
              </w:rPr>
            </w:pPr>
          </w:p>
        </w:tc>
        <w:tc>
          <w:tcPr>
            <w:tcW w:w="2945" w:type="dxa"/>
            <w:vAlign w:val="center"/>
          </w:tcPr>
          <w:p w14:paraId="754021CE">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359" w:type="dxa"/>
            <w:vAlign w:val="center"/>
          </w:tcPr>
          <w:p w14:paraId="45A84F48">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662" w:type="dxa"/>
            <w:vAlign w:val="center"/>
          </w:tcPr>
          <w:p w14:paraId="098D303B">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167" w:type="dxa"/>
            <w:vAlign w:val="center"/>
          </w:tcPr>
          <w:p w14:paraId="11F7C971">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35E9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06" w:hRule="atLeast"/>
          <w:jc w:val="center"/>
        </w:trPr>
        <w:tc>
          <w:tcPr>
            <w:tcW w:w="1145" w:type="dxa"/>
            <w:tcBorders>
              <w:right w:val="single" w:color="auto" w:sz="4" w:space="0"/>
            </w:tcBorders>
            <w:vAlign w:val="center"/>
          </w:tcPr>
          <w:p w14:paraId="4163CE34">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kern w:val="0"/>
                <w:sz w:val="24"/>
                <w:szCs w:val="24"/>
                <w:lang w:val="en-US" w:eastAsia="zh-CN"/>
              </w:rPr>
            </w:pPr>
          </w:p>
        </w:tc>
        <w:tc>
          <w:tcPr>
            <w:tcW w:w="2945" w:type="dxa"/>
            <w:vAlign w:val="center"/>
          </w:tcPr>
          <w:p w14:paraId="64A541A6">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359" w:type="dxa"/>
            <w:vAlign w:val="center"/>
          </w:tcPr>
          <w:p w14:paraId="4CFEEC90">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662" w:type="dxa"/>
            <w:vAlign w:val="center"/>
          </w:tcPr>
          <w:p w14:paraId="5599FD0F">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167" w:type="dxa"/>
            <w:vAlign w:val="center"/>
          </w:tcPr>
          <w:p w14:paraId="0ED02260">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0F2EF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24" w:hRule="atLeast"/>
          <w:jc w:val="center"/>
        </w:trPr>
        <w:tc>
          <w:tcPr>
            <w:tcW w:w="1145" w:type="dxa"/>
            <w:tcBorders>
              <w:right w:val="single" w:color="auto" w:sz="4" w:space="0"/>
            </w:tcBorders>
            <w:vAlign w:val="center"/>
          </w:tcPr>
          <w:p w14:paraId="3B8996AF">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kern w:val="0"/>
                <w:sz w:val="24"/>
                <w:szCs w:val="24"/>
                <w:lang w:val="en-US" w:eastAsia="zh-CN"/>
              </w:rPr>
            </w:pPr>
          </w:p>
        </w:tc>
        <w:tc>
          <w:tcPr>
            <w:tcW w:w="2945" w:type="dxa"/>
            <w:vAlign w:val="center"/>
          </w:tcPr>
          <w:p w14:paraId="5C3DB556">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359" w:type="dxa"/>
            <w:vAlign w:val="center"/>
          </w:tcPr>
          <w:p w14:paraId="688341E5">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662" w:type="dxa"/>
            <w:vAlign w:val="center"/>
          </w:tcPr>
          <w:p w14:paraId="6AAFC31C">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167" w:type="dxa"/>
            <w:vAlign w:val="center"/>
          </w:tcPr>
          <w:p w14:paraId="7EF29C64">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bl>
    <w:p w14:paraId="6640997E">
      <w:pPr>
        <w:pageBreakBefore w:val="0"/>
        <w:kinsoku/>
        <w:wordWrap w:val="0"/>
        <w:overflowPunct w:val="0"/>
        <w:topLinePunct w:val="0"/>
        <w:bidi w:val="0"/>
        <w:spacing w:line="360" w:lineRule="auto"/>
        <w:rPr>
          <w:rFonts w:hint="eastAsia" w:ascii="宋体" w:hAnsi="宋体" w:eastAsia="宋体" w:cs="宋体"/>
          <w:sz w:val="24"/>
          <w:szCs w:val="24"/>
        </w:rPr>
      </w:pPr>
    </w:p>
    <w:p w14:paraId="59D6B03D">
      <w:pPr>
        <w:pageBreakBefore w:val="0"/>
        <w:kinsoku/>
        <w:wordWrap w:val="0"/>
        <w:overflowPunct w:val="0"/>
        <w:topLinePunct w:val="0"/>
        <w:bidi w:val="0"/>
        <w:spacing w:line="360" w:lineRule="auto"/>
        <w:rPr>
          <w:rFonts w:hint="eastAsia" w:ascii="宋体" w:hAnsi="宋体" w:eastAsia="宋体" w:cs="宋体"/>
          <w:sz w:val="24"/>
          <w:szCs w:val="24"/>
        </w:rPr>
      </w:pPr>
    </w:p>
    <w:p w14:paraId="03ECF9C1">
      <w:pPr>
        <w:pageBreakBefore w:val="0"/>
        <w:kinsoku/>
        <w:wordWrap w:val="0"/>
        <w:overflowPunct w:val="0"/>
        <w:topLinePunct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sz w:val="24"/>
          <w:szCs w:val="24"/>
        </w:rPr>
        <w:t>说明：</w:t>
      </w:r>
      <w:r>
        <w:rPr>
          <w:rFonts w:hint="eastAsia" w:ascii="宋体" w:hAnsi="宋体" w:eastAsia="宋体" w:cs="宋体"/>
          <w:sz w:val="24"/>
          <w:szCs w:val="24"/>
          <w:lang w:val="zh-CN"/>
        </w:rPr>
        <w:t>投标人应根据</w:t>
      </w:r>
      <w:r>
        <w:rPr>
          <w:rFonts w:hint="eastAsia" w:ascii="宋体" w:hAnsi="宋体" w:eastAsia="宋体" w:cs="宋体"/>
          <w:sz w:val="24"/>
          <w:szCs w:val="24"/>
          <w:lang w:val="en-US" w:eastAsia="zh-CN"/>
        </w:rPr>
        <w:t>采购需求中的商务要求</w:t>
      </w:r>
      <w:r>
        <w:rPr>
          <w:rFonts w:hint="eastAsia" w:ascii="宋体" w:hAnsi="宋体" w:eastAsia="宋体" w:cs="宋体"/>
          <w:sz w:val="24"/>
          <w:szCs w:val="24"/>
          <w:lang w:val="zh-CN"/>
        </w:rPr>
        <w:t>，如实填写响应情况</w:t>
      </w:r>
      <w:r>
        <w:rPr>
          <w:rFonts w:hint="eastAsia" w:ascii="宋体" w:hAnsi="宋体" w:eastAsia="宋体" w:cs="宋体"/>
          <w:color w:val="auto"/>
          <w:sz w:val="24"/>
          <w:highlight w:val="none"/>
        </w:rPr>
        <w:t>。</w:t>
      </w:r>
    </w:p>
    <w:p w14:paraId="4FBB1BC1">
      <w:pPr>
        <w:pageBreakBefore w:val="0"/>
        <w:kinsoku/>
        <w:wordWrap w:val="0"/>
        <w:overflowPunct w:val="0"/>
        <w:topLinePunct w:val="0"/>
        <w:bidi w:val="0"/>
        <w:spacing w:line="360" w:lineRule="auto"/>
        <w:rPr>
          <w:rFonts w:hint="eastAsia" w:ascii="宋体" w:hAnsi="宋体" w:eastAsia="宋体" w:cs="宋体"/>
          <w:color w:val="auto"/>
          <w:sz w:val="22"/>
          <w:szCs w:val="22"/>
        </w:rPr>
      </w:pPr>
      <w:r>
        <w:rPr>
          <w:rFonts w:hint="eastAsia" w:ascii="宋体" w:hAnsi="宋体" w:eastAsia="宋体" w:cs="宋体"/>
          <w:b/>
          <w:bCs/>
          <w:color w:val="auto"/>
          <w:sz w:val="24"/>
          <w:highlight w:val="none"/>
        </w:rPr>
        <w:t>注：如无偏差填“无”。此表不能删除。</w:t>
      </w:r>
    </w:p>
    <w:p w14:paraId="691E17DB">
      <w:pPr>
        <w:pageBreakBefore w:val="0"/>
        <w:kinsoku/>
        <w:wordWrap w:val="0"/>
        <w:overflowPunct w:val="0"/>
        <w:topLinePunct w:val="0"/>
        <w:bidi w:val="0"/>
        <w:spacing w:line="440" w:lineRule="exact"/>
        <w:ind w:firstLine="440" w:firstLineChars="200"/>
        <w:rPr>
          <w:rFonts w:hint="eastAsia" w:ascii="宋体" w:hAnsi="宋体" w:eastAsia="宋体" w:cs="宋体"/>
          <w:color w:val="auto"/>
          <w:sz w:val="22"/>
          <w:szCs w:val="22"/>
        </w:rPr>
      </w:pPr>
    </w:p>
    <w:p w14:paraId="5C4A9EF5">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5B13893F">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41830B71">
      <w:pPr>
        <w:pageBreakBefore w:val="0"/>
        <w:kinsoku/>
        <w:wordWrap w:val="0"/>
        <w:overflowPunct w:val="0"/>
        <w:topLinePunct w:val="0"/>
        <w:bidi w:val="0"/>
        <w:adjustRightInd w:val="0"/>
        <w:snapToGrid w:val="0"/>
        <w:spacing w:line="480" w:lineRule="exact"/>
        <w:ind w:leftChars="1100"/>
        <w:jc w:val="right"/>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日</w:t>
      </w:r>
    </w:p>
    <w:p w14:paraId="05508815">
      <w:pPr>
        <w:pageBreakBefore w:val="0"/>
        <w:kinsoku/>
        <w:wordWrap w:val="0"/>
        <w:overflowPunct w:val="0"/>
        <w:topLinePunct w:val="0"/>
        <w:bidi w:val="0"/>
        <w:jc w:val="right"/>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br w:type="page"/>
      </w:r>
    </w:p>
    <w:p w14:paraId="13FE010F">
      <w:pPr>
        <w:pageBreakBefore w:val="0"/>
        <w:kinsoku/>
        <w:wordWrap w:val="0"/>
        <w:overflowPunct w:val="0"/>
        <w:topLinePunct w:val="0"/>
        <w:bidi w:val="0"/>
        <w:jc w:val="center"/>
        <w:rPr>
          <w:rFonts w:hint="eastAsia" w:ascii="宋体" w:hAnsi="宋体" w:eastAsia="宋体" w:cs="宋体"/>
          <w:color w:val="auto"/>
          <w:sz w:val="24"/>
          <w:szCs w:val="24"/>
          <w:u w:val="none"/>
          <w:lang w:eastAsia="zh-CN"/>
        </w:rPr>
      </w:pPr>
      <w:r>
        <w:rPr>
          <w:rFonts w:hint="eastAsia" w:ascii="宋体" w:hAnsi="宋体" w:eastAsia="宋体" w:cs="宋体"/>
          <w:b/>
          <w:sz w:val="24"/>
          <w:lang w:val="en-US" w:eastAsia="zh-CN"/>
        </w:rPr>
        <w:t>规格技术</w:t>
      </w:r>
      <w:r>
        <w:rPr>
          <w:rFonts w:hint="eastAsia" w:ascii="宋体" w:hAnsi="宋体" w:eastAsia="宋体" w:cs="宋体"/>
          <w:b/>
          <w:sz w:val="24"/>
        </w:rPr>
        <w:t>响应</w:t>
      </w:r>
      <w:r>
        <w:rPr>
          <w:rFonts w:hint="eastAsia" w:ascii="宋体" w:hAnsi="宋体" w:eastAsia="宋体" w:cs="宋体"/>
          <w:b/>
          <w:sz w:val="24"/>
          <w:lang w:val="en-US" w:eastAsia="zh-CN"/>
        </w:rPr>
        <w:t>偏离表</w:t>
      </w:r>
    </w:p>
    <w:p w14:paraId="2ABAD07B">
      <w:pPr>
        <w:pageBreakBefore w:val="0"/>
        <w:kinsoku/>
        <w:wordWrap w:val="0"/>
        <w:overflowPunct w:val="0"/>
        <w:topLinePunct w:val="0"/>
        <w:bidi w:val="0"/>
        <w:rPr>
          <w:rFonts w:hint="eastAsia" w:ascii="宋体" w:hAnsi="宋体" w:eastAsia="宋体" w:cs="宋体"/>
          <w:color w:val="auto"/>
          <w:sz w:val="24"/>
          <w:szCs w:val="24"/>
          <w:u w:val="none"/>
          <w:lang w:eastAsia="zh-CN"/>
        </w:rPr>
      </w:pPr>
    </w:p>
    <w:p w14:paraId="4F27C2F0">
      <w:pPr>
        <w:pageBreakBefore w:val="0"/>
        <w:kinsoku/>
        <w:wordWrap w:val="0"/>
        <w:overflowPunct w:val="0"/>
        <w:topLinePunct w:val="0"/>
        <w:bidi w:val="0"/>
        <w:rPr>
          <w:rFonts w:hint="eastAsia" w:ascii="宋体" w:hAnsi="宋体" w:eastAsia="宋体" w:cs="宋体"/>
          <w:color w:val="auto"/>
          <w:sz w:val="24"/>
          <w:szCs w:val="24"/>
          <w:u w:val="none"/>
          <w:lang w:eastAsia="zh-CN"/>
        </w:rPr>
      </w:pPr>
    </w:p>
    <w:p w14:paraId="499FDB69">
      <w:pPr>
        <w:pageBreakBefore w:val="0"/>
        <w:kinsoku/>
        <w:wordWrap w:val="0"/>
        <w:overflowPunct w:val="0"/>
        <w:topLinePunct w:val="0"/>
        <w:bidi w:val="0"/>
        <w:spacing w:line="440" w:lineRule="exact"/>
        <w:ind w:leftChars="200"/>
        <w:rPr>
          <w:rFonts w:hint="eastAsia" w:ascii="宋体" w:hAnsi="宋体" w:eastAsia="宋体" w:cs="宋体"/>
          <w:sz w:val="24"/>
          <w:szCs w:val="24"/>
          <w:u w:val="single"/>
        </w:rPr>
      </w:pP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p>
    <w:p w14:paraId="493786B0">
      <w:pPr>
        <w:pageBreakBefore w:val="0"/>
        <w:kinsoku/>
        <w:wordWrap w:val="0"/>
        <w:overflowPunct w:val="0"/>
        <w:topLinePunct w:val="0"/>
        <w:bidi w:val="0"/>
        <w:spacing w:line="440" w:lineRule="exact"/>
        <w:ind w:leftChars="200"/>
        <w:rPr>
          <w:rFonts w:hint="eastAsia" w:ascii="宋体" w:hAnsi="宋体" w:eastAsia="宋体" w:cs="宋体"/>
          <w:sz w:val="24"/>
          <w:szCs w:val="24"/>
          <w:u w:val="single"/>
        </w:rPr>
      </w:pP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p>
    <w:tbl>
      <w:tblPr>
        <w:tblStyle w:val="2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195"/>
        <w:gridCol w:w="3072"/>
        <w:gridCol w:w="2460"/>
        <w:gridCol w:w="1734"/>
        <w:gridCol w:w="1217"/>
      </w:tblGrid>
      <w:tr w14:paraId="2333A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45" w:hRule="atLeast"/>
          <w:jc w:val="center"/>
        </w:trPr>
        <w:tc>
          <w:tcPr>
            <w:tcW w:w="1195" w:type="dxa"/>
            <w:tcBorders>
              <w:right w:val="single" w:color="auto" w:sz="4" w:space="0"/>
            </w:tcBorders>
            <w:vAlign w:val="center"/>
          </w:tcPr>
          <w:p w14:paraId="46BB0799">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3072" w:type="dxa"/>
            <w:vAlign w:val="center"/>
          </w:tcPr>
          <w:p w14:paraId="79DBDBF1">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招标文件</w:t>
            </w:r>
            <w:r>
              <w:rPr>
                <w:rFonts w:hint="eastAsia" w:ascii="宋体" w:hAnsi="宋体" w:eastAsia="宋体" w:cs="宋体"/>
                <w:color w:val="auto"/>
                <w:sz w:val="24"/>
                <w:szCs w:val="24"/>
                <w:lang w:val="en-US" w:eastAsia="zh-CN"/>
              </w:rPr>
              <w:t>技术</w:t>
            </w:r>
            <w:r>
              <w:rPr>
                <w:rFonts w:hint="eastAsia" w:ascii="宋体" w:hAnsi="宋体" w:eastAsia="宋体" w:cs="宋体"/>
                <w:color w:val="auto"/>
                <w:sz w:val="24"/>
                <w:szCs w:val="24"/>
              </w:rPr>
              <w:t>要求</w:t>
            </w:r>
          </w:p>
        </w:tc>
        <w:tc>
          <w:tcPr>
            <w:tcW w:w="2460" w:type="dxa"/>
            <w:vAlign w:val="center"/>
          </w:tcPr>
          <w:p w14:paraId="7F97B4F2">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投标文件响应情况</w:t>
            </w:r>
          </w:p>
        </w:tc>
        <w:tc>
          <w:tcPr>
            <w:tcW w:w="1734" w:type="dxa"/>
            <w:vAlign w:val="center"/>
          </w:tcPr>
          <w:p w14:paraId="442E2D60">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偏离情况</w:t>
            </w:r>
          </w:p>
        </w:tc>
        <w:tc>
          <w:tcPr>
            <w:tcW w:w="1217" w:type="dxa"/>
            <w:vAlign w:val="center"/>
          </w:tcPr>
          <w:p w14:paraId="64816501">
            <w:pPr>
              <w:pageBreakBefore w:val="0"/>
              <w:kinsoku/>
              <w:wordWrap w:val="0"/>
              <w:overflowPunct w:val="0"/>
              <w:topLinePunct w:val="0"/>
              <w:bidi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D118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45" w:hRule="atLeast"/>
          <w:jc w:val="center"/>
        </w:trPr>
        <w:tc>
          <w:tcPr>
            <w:tcW w:w="1195" w:type="dxa"/>
            <w:tcBorders>
              <w:right w:val="single" w:color="auto" w:sz="4" w:space="0"/>
            </w:tcBorders>
            <w:vAlign w:val="center"/>
          </w:tcPr>
          <w:p w14:paraId="003D63F0">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3072" w:type="dxa"/>
            <w:vAlign w:val="center"/>
          </w:tcPr>
          <w:p w14:paraId="359DE1F3">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460" w:type="dxa"/>
            <w:vAlign w:val="center"/>
          </w:tcPr>
          <w:p w14:paraId="2F0B09D7">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734" w:type="dxa"/>
            <w:vAlign w:val="center"/>
          </w:tcPr>
          <w:p w14:paraId="556432AF">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217" w:type="dxa"/>
            <w:vAlign w:val="center"/>
          </w:tcPr>
          <w:p w14:paraId="5D96911A">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5907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45" w:hRule="atLeast"/>
          <w:jc w:val="center"/>
        </w:trPr>
        <w:tc>
          <w:tcPr>
            <w:tcW w:w="1195" w:type="dxa"/>
            <w:tcBorders>
              <w:right w:val="single" w:color="auto" w:sz="4" w:space="0"/>
            </w:tcBorders>
            <w:vAlign w:val="center"/>
          </w:tcPr>
          <w:p w14:paraId="22AF1D6F">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3072" w:type="dxa"/>
            <w:vAlign w:val="center"/>
          </w:tcPr>
          <w:p w14:paraId="1B32C35E">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460" w:type="dxa"/>
            <w:vAlign w:val="center"/>
          </w:tcPr>
          <w:p w14:paraId="4CD28E43">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734" w:type="dxa"/>
            <w:vAlign w:val="center"/>
          </w:tcPr>
          <w:p w14:paraId="7D0DA0F9">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217" w:type="dxa"/>
            <w:vAlign w:val="center"/>
          </w:tcPr>
          <w:p w14:paraId="744FBA51">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3B7C7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51" w:hRule="atLeast"/>
          <w:jc w:val="center"/>
        </w:trPr>
        <w:tc>
          <w:tcPr>
            <w:tcW w:w="1195" w:type="dxa"/>
            <w:tcBorders>
              <w:right w:val="single" w:color="auto" w:sz="4" w:space="0"/>
            </w:tcBorders>
            <w:vAlign w:val="center"/>
          </w:tcPr>
          <w:p w14:paraId="5B9F9B51">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sz w:val="24"/>
                <w:szCs w:val="24"/>
              </w:rPr>
            </w:pPr>
          </w:p>
        </w:tc>
        <w:tc>
          <w:tcPr>
            <w:tcW w:w="3072" w:type="dxa"/>
            <w:vAlign w:val="center"/>
          </w:tcPr>
          <w:p w14:paraId="7356F546">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460" w:type="dxa"/>
            <w:vAlign w:val="center"/>
          </w:tcPr>
          <w:p w14:paraId="25770090">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734" w:type="dxa"/>
            <w:vAlign w:val="center"/>
          </w:tcPr>
          <w:p w14:paraId="1A6D8E57">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217" w:type="dxa"/>
            <w:vAlign w:val="center"/>
          </w:tcPr>
          <w:p w14:paraId="3D6F0A16">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5A24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51" w:hRule="atLeast"/>
          <w:jc w:val="center"/>
        </w:trPr>
        <w:tc>
          <w:tcPr>
            <w:tcW w:w="1195" w:type="dxa"/>
            <w:tcBorders>
              <w:right w:val="single" w:color="auto" w:sz="4" w:space="0"/>
            </w:tcBorders>
            <w:vAlign w:val="center"/>
          </w:tcPr>
          <w:p w14:paraId="69309375">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kern w:val="0"/>
                <w:sz w:val="24"/>
                <w:szCs w:val="24"/>
                <w:lang w:val="en-US" w:eastAsia="zh-CN"/>
              </w:rPr>
            </w:pPr>
          </w:p>
        </w:tc>
        <w:tc>
          <w:tcPr>
            <w:tcW w:w="3072" w:type="dxa"/>
            <w:vAlign w:val="center"/>
          </w:tcPr>
          <w:p w14:paraId="76995D56">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460" w:type="dxa"/>
            <w:vAlign w:val="center"/>
          </w:tcPr>
          <w:p w14:paraId="01ADAD47">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734" w:type="dxa"/>
            <w:vAlign w:val="center"/>
          </w:tcPr>
          <w:p w14:paraId="4E276349">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217" w:type="dxa"/>
            <w:vAlign w:val="center"/>
          </w:tcPr>
          <w:p w14:paraId="64B3B237">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r w14:paraId="7C4A5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68" w:hRule="atLeast"/>
          <w:jc w:val="center"/>
        </w:trPr>
        <w:tc>
          <w:tcPr>
            <w:tcW w:w="1195" w:type="dxa"/>
            <w:tcBorders>
              <w:right w:val="single" w:color="auto" w:sz="4" w:space="0"/>
            </w:tcBorders>
            <w:vAlign w:val="center"/>
          </w:tcPr>
          <w:p w14:paraId="614BFEC9">
            <w:pPr>
              <w:pageBreakBefore w:val="0"/>
              <w:widowControl/>
              <w:kinsoku/>
              <w:wordWrap w:val="0"/>
              <w:overflowPunct w:val="0"/>
              <w:topLinePunct w:val="0"/>
              <w:bidi w:val="0"/>
              <w:spacing w:line="480" w:lineRule="auto"/>
              <w:ind w:firstLine="240" w:firstLineChars="100"/>
              <w:jc w:val="left"/>
              <w:rPr>
                <w:rFonts w:hint="eastAsia" w:ascii="宋体" w:hAnsi="宋体" w:eastAsia="宋体" w:cs="宋体"/>
                <w:color w:val="auto"/>
                <w:kern w:val="0"/>
                <w:sz w:val="24"/>
                <w:szCs w:val="24"/>
                <w:lang w:val="en-US" w:eastAsia="zh-CN"/>
              </w:rPr>
            </w:pPr>
          </w:p>
        </w:tc>
        <w:tc>
          <w:tcPr>
            <w:tcW w:w="3072" w:type="dxa"/>
            <w:vAlign w:val="center"/>
          </w:tcPr>
          <w:p w14:paraId="5AE1538F">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2460" w:type="dxa"/>
            <w:vAlign w:val="center"/>
          </w:tcPr>
          <w:p w14:paraId="691C0A5F">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734" w:type="dxa"/>
            <w:vAlign w:val="center"/>
          </w:tcPr>
          <w:p w14:paraId="708079CE">
            <w:pPr>
              <w:pageBreakBefore w:val="0"/>
              <w:kinsoku/>
              <w:wordWrap w:val="0"/>
              <w:overflowPunct w:val="0"/>
              <w:topLinePunct w:val="0"/>
              <w:bidi w:val="0"/>
              <w:snapToGrid w:val="0"/>
              <w:jc w:val="center"/>
              <w:rPr>
                <w:rFonts w:hint="eastAsia" w:ascii="宋体" w:hAnsi="宋体" w:eastAsia="宋体" w:cs="宋体"/>
                <w:color w:val="auto"/>
                <w:sz w:val="24"/>
                <w:szCs w:val="24"/>
              </w:rPr>
            </w:pPr>
          </w:p>
        </w:tc>
        <w:tc>
          <w:tcPr>
            <w:tcW w:w="1217" w:type="dxa"/>
            <w:vAlign w:val="center"/>
          </w:tcPr>
          <w:p w14:paraId="5EBA3C74">
            <w:pPr>
              <w:pageBreakBefore w:val="0"/>
              <w:kinsoku/>
              <w:wordWrap w:val="0"/>
              <w:overflowPunct w:val="0"/>
              <w:topLinePunct w:val="0"/>
              <w:bidi w:val="0"/>
              <w:snapToGrid w:val="0"/>
              <w:jc w:val="center"/>
              <w:rPr>
                <w:rFonts w:hint="eastAsia" w:ascii="宋体" w:hAnsi="宋体" w:eastAsia="宋体" w:cs="宋体"/>
                <w:color w:val="auto"/>
                <w:sz w:val="24"/>
                <w:szCs w:val="24"/>
              </w:rPr>
            </w:pPr>
          </w:p>
        </w:tc>
      </w:tr>
    </w:tbl>
    <w:p w14:paraId="442099CD">
      <w:pPr>
        <w:pageBreakBefore w:val="0"/>
        <w:kinsoku/>
        <w:wordWrap w:val="0"/>
        <w:overflowPunct w:val="0"/>
        <w:topLinePunct w:val="0"/>
        <w:bidi w:val="0"/>
        <w:spacing w:line="360" w:lineRule="auto"/>
        <w:rPr>
          <w:rFonts w:hint="eastAsia" w:ascii="宋体" w:hAnsi="宋体" w:eastAsia="宋体" w:cs="宋体"/>
          <w:sz w:val="24"/>
          <w:szCs w:val="24"/>
        </w:rPr>
      </w:pPr>
    </w:p>
    <w:p w14:paraId="0F0F2022">
      <w:pPr>
        <w:pageBreakBefore w:val="0"/>
        <w:kinsoku/>
        <w:wordWrap w:val="0"/>
        <w:overflowPunct w:val="0"/>
        <w:topLinePunct w:val="0"/>
        <w:bidi w:val="0"/>
        <w:spacing w:line="360" w:lineRule="auto"/>
        <w:rPr>
          <w:rFonts w:hint="eastAsia" w:ascii="宋体" w:hAnsi="宋体" w:eastAsia="宋体" w:cs="宋体"/>
          <w:sz w:val="24"/>
          <w:szCs w:val="24"/>
        </w:rPr>
      </w:pPr>
    </w:p>
    <w:p w14:paraId="5C34FCC6">
      <w:pPr>
        <w:pageBreakBefore w:val="0"/>
        <w:kinsoku/>
        <w:wordWrap w:val="0"/>
        <w:overflowPunct w:val="0"/>
        <w:topLinePunct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sz w:val="24"/>
          <w:szCs w:val="24"/>
        </w:rPr>
        <w:t>说明：</w:t>
      </w:r>
      <w:r>
        <w:rPr>
          <w:rFonts w:hint="eastAsia" w:ascii="宋体" w:hAnsi="宋体" w:eastAsia="宋体" w:cs="宋体"/>
          <w:sz w:val="24"/>
          <w:szCs w:val="24"/>
          <w:lang w:val="zh-CN"/>
        </w:rPr>
        <w:t>投标人应根据</w:t>
      </w:r>
      <w:r>
        <w:rPr>
          <w:rFonts w:hint="eastAsia" w:ascii="宋体" w:hAnsi="宋体" w:eastAsia="宋体" w:cs="宋体"/>
          <w:sz w:val="24"/>
          <w:szCs w:val="24"/>
          <w:lang w:val="en-US" w:eastAsia="zh-CN"/>
        </w:rPr>
        <w:t>采购需求中的规格技术要求</w:t>
      </w:r>
      <w:r>
        <w:rPr>
          <w:rFonts w:hint="eastAsia" w:ascii="宋体" w:hAnsi="宋体" w:eastAsia="宋体" w:cs="宋体"/>
          <w:sz w:val="24"/>
          <w:szCs w:val="24"/>
          <w:lang w:val="zh-CN"/>
        </w:rPr>
        <w:t>，如实填写响应情况，如有指标为</w:t>
      </w:r>
      <w:r>
        <w:rPr>
          <w:rFonts w:hint="eastAsia" w:ascii="宋体" w:hAnsi="宋体" w:eastAsia="宋体" w:cs="宋体"/>
          <w:sz w:val="24"/>
          <w:szCs w:val="24"/>
          <w:lang w:val="en-US" w:eastAsia="zh-CN"/>
        </w:rPr>
        <w:t>正偏离，</w:t>
      </w:r>
      <w:r>
        <w:rPr>
          <w:rFonts w:hint="eastAsia" w:ascii="宋体" w:hAnsi="宋体" w:eastAsia="宋体" w:cs="宋体"/>
          <w:sz w:val="24"/>
          <w:szCs w:val="24"/>
        </w:rPr>
        <w:t>请投标人在“偏离情况”一栏详细描述正偏离，</w:t>
      </w:r>
      <w:r>
        <w:rPr>
          <w:rFonts w:hint="eastAsia" w:ascii="宋体" w:hAnsi="宋体" w:eastAsia="宋体" w:cs="宋体"/>
          <w:sz w:val="24"/>
          <w:szCs w:val="24"/>
          <w:lang w:val="en-US" w:eastAsia="zh-CN"/>
        </w:rPr>
        <w:t>需提供相关证明材料由评标委员会共同认定</w:t>
      </w:r>
      <w:r>
        <w:rPr>
          <w:rFonts w:hint="eastAsia" w:ascii="宋体" w:hAnsi="宋体" w:eastAsia="宋体" w:cs="宋体"/>
          <w:sz w:val="24"/>
          <w:szCs w:val="24"/>
          <w:lang w:eastAsia="zh-CN"/>
        </w:rPr>
        <w:t>。</w:t>
      </w:r>
      <w:r>
        <w:rPr>
          <w:rFonts w:hint="eastAsia" w:ascii="宋体" w:hAnsi="宋体" w:eastAsia="宋体" w:cs="宋体"/>
          <w:sz w:val="24"/>
          <w:szCs w:val="24"/>
          <w:lang w:val="zh-CN"/>
        </w:rPr>
        <w:t>如有指标为负偏离，评标委员会有权视其</w:t>
      </w:r>
      <w:r>
        <w:rPr>
          <w:rFonts w:hint="eastAsia" w:ascii="宋体" w:hAnsi="宋体" w:eastAsia="宋体" w:cs="宋体"/>
          <w:sz w:val="24"/>
          <w:szCs w:val="24"/>
          <w:lang w:val="en-US" w:eastAsia="zh-CN"/>
        </w:rPr>
        <w:t>无效响应</w:t>
      </w:r>
      <w:r>
        <w:rPr>
          <w:rFonts w:hint="eastAsia" w:ascii="宋体" w:hAnsi="宋体" w:eastAsia="宋体" w:cs="宋体"/>
          <w:color w:val="auto"/>
          <w:sz w:val="24"/>
          <w:highlight w:val="none"/>
        </w:rPr>
        <w:t>。</w:t>
      </w:r>
    </w:p>
    <w:p w14:paraId="67698307">
      <w:pPr>
        <w:pageBreakBefore w:val="0"/>
        <w:kinsoku/>
        <w:wordWrap w:val="0"/>
        <w:overflowPunct w:val="0"/>
        <w:topLinePunct w:val="0"/>
        <w:bidi w:val="0"/>
        <w:spacing w:line="360" w:lineRule="auto"/>
        <w:rPr>
          <w:rFonts w:hint="eastAsia" w:ascii="宋体" w:hAnsi="宋体" w:eastAsia="宋体" w:cs="宋体"/>
          <w:color w:val="auto"/>
          <w:sz w:val="22"/>
          <w:szCs w:val="22"/>
        </w:rPr>
      </w:pPr>
      <w:r>
        <w:rPr>
          <w:rFonts w:hint="eastAsia" w:ascii="宋体" w:hAnsi="宋体" w:eastAsia="宋体" w:cs="宋体"/>
          <w:b/>
          <w:bCs/>
          <w:color w:val="auto"/>
          <w:sz w:val="24"/>
          <w:highlight w:val="none"/>
        </w:rPr>
        <w:t>注：如无偏差填“无”。此表不能删除。</w:t>
      </w:r>
    </w:p>
    <w:p w14:paraId="172F202A">
      <w:pPr>
        <w:pageBreakBefore w:val="0"/>
        <w:kinsoku/>
        <w:wordWrap w:val="0"/>
        <w:overflowPunct w:val="0"/>
        <w:topLinePunct w:val="0"/>
        <w:bidi w:val="0"/>
        <w:spacing w:line="440" w:lineRule="exact"/>
        <w:ind w:firstLine="440" w:firstLineChars="200"/>
        <w:rPr>
          <w:rFonts w:hint="eastAsia" w:ascii="宋体" w:hAnsi="宋体" w:eastAsia="宋体" w:cs="宋体"/>
          <w:color w:val="auto"/>
          <w:sz w:val="22"/>
          <w:szCs w:val="22"/>
        </w:rPr>
      </w:pPr>
    </w:p>
    <w:p w14:paraId="4488E7D9">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p>
    <w:p w14:paraId="11FD2FD5">
      <w:pPr>
        <w:pageBreakBefore w:val="0"/>
        <w:kinsoku/>
        <w:wordWrap w:val="0"/>
        <w:overflowPunct w:val="0"/>
        <w:topLinePunct w:val="0"/>
        <w:bidi w:val="0"/>
        <w:adjustRightInd w:val="0"/>
        <w:snapToGrid w:val="0"/>
        <w:spacing w:line="480" w:lineRule="exact"/>
        <w:jc w:val="righ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法定代表人或其授权的代理人</w:t>
      </w:r>
      <w:r>
        <w:rPr>
          <w:rFonts w:hint="eastAsia" w:ascii="宋体" w:hAnsi="宋体" w:eastAsia="宋体" w:cs="宋体"/>
          <w:color w:val="auto"/>
          <w:sz w:val="24"/>
          <w:szCs w:val="24"/>
          <w:lang w:eastAsia="zh-CN"/>
        </w:rPr>
        <w:t>（盖个人CA电子印章或电子签名章）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436649E1">
      <w:pPr>
        <w:pageBreakBefore w:val="0"/>
        <w:kinsoku/>
        <w:wordWrap w:val="0"/>
        <w:overflowPunct w:val="0"/>
        <w:topLinePunct w:val="0"/>
        <w:bidi w:val="0"/>
        <w:adjustRightInd w:val="0"/>
        <w:snapToGrid w:val="0"/>
        <w:spacing w:line="480" w:lineRule="exact"/>
        <w:ind w:leftChars="1100"/>
        <w:jc w:val="right"/>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日</w:t>
      </w:r>
    </w:p>
    <w:p w14:paraId="3AD4B7B9">
      <w:pPr>
        <w:pageBreakBefore w:val="0"/>
        <w:kinsoku/>
        <w:wordWrap w:val="0"/>
        <w:overflowPunct w:val="0"/>
        <w:topLinePunct w:val="0"/>
        <w:bidi w:val="0"/>
        <w:adjustRightInd w:val="0"/>
        <w:snapToGrid w:val="0"/>
        <w:spacing w:line="480" w:lineRule="exact"/>
        <w:rPr>
          <w:rFonts w:hint="eastAsia" w:ascii="宋体" w:hAnsi="宋体" w:eastAsia="宋体" w:cs="宋体"/>
          <w:color w:val="auto"/>
          <w:sz w:val="24"/>
          <w:szCs w:val="24"/>
          <w:lang w:eastAsia="zh-CN"/>
        </w:rPr>
        <w:sectPr>
          <w:pgSz w:w="11906" w:h="16838"/>
          <w:pgMar w:top="1440" w:right="1080" w:bottom="1440" w:left="1080" w:header="851" w:footer="1134" w:gutter="0"/>
          <w:pgNumType w:fmt="decimal"/>
          <w:cols w:space="720" w:num="1"/>
          <w:docGrid w:type="lines" w:linePitch="330" w:charSpace="0"/>
        </w:sectPr>
      </w:pPr>
    </w:p>
    <w:p w14:paraId="3054BF4A">
      <w:pPr>
        <w:pageBreakBefore w:val="0"/>
        <w:kinsoku/>
        <w:wordWrap w:val="0"/>
        <w:overflowPunct w:val="0"/>
        <w:topLinePunct w:val="0"/>
        <w:bidi w:val="0"/>
        <w:adjustRightInd w:val="0"/>
        <w:snapToGrid w:val="0"/>
        <w:spacing w:line="400" w:lineRule="exact"/>
        <w:ind w:left="0" w:leftChars="0" w:right="0" w:rightChars="0" w:firstLine="0" w:firstLineChars="0"/>
        <w:jc w:val="center"/>
        <w:outlineLvl w:val="0"/>
        <w:rPr>
          <w:rFonts w:hint="eastAsia" w:ascii="宋体" w:hAnsi="宋体" w:eastAsia="宋体" w:cs="宋体"/>
          <w:b/>
          <w:color w:val="auto"/>
          <w:sz w:val="24"/>
          <w:szCs w:val="24"/>
          <w:lang w:val="en-US" w:eastAsia="zh-CN"/>
        </w:rPr>
      </w:pPr>
      <w:bookmarkStart w:id="102" w:name="_Toc5238"/>
      <w:bookmarkStart w:id="103" w:name="_Toc2097"/>
      <w:bookmarkStart w:id="104" w:name="_Toc31558"/>
      <w:bookmarkStart w:id="105" w:name="_Toc5695"/>
      <w:bookmarkStart w:id="106" w:name="_Toc15910"/>
      <w:bookmarkStart w:id="107" w:name="_Toc10261"/>
      <w:r>
        <w:rPr>
          <w:rFonts w:hint="eastAsia" w:ascii="宋体" w:hAnsi="宋体" w:eastAsia="宋体" w:cs="宋体"/>
          <w:b/>
          <w:color w:val="auto"/>
          <w:sz w:val="24"/>
          <w:szCs w:val="24"/>
          <w:lang w:val="en-US" w:eastAsia="zh-CN"/>
        </w:rPr>
        <w:t>技术方案</w:t>
      </w:r>
      <w:bookmarkEnd w:id="102"/>
      <w:bookmarkEnd w:id="103"/>
      <w:bookmarkEnd w:id="104"/>
      <w:bookmarkEnd w:id="105"/>
      <w:bookmarkEnd w:id="106"/>
      <w:bookmarkEnd w:id="107"/>
    </w:p>
    <w:p w14:paraId="29C0656B">
      <w:pPr>
        <w:pageBreakBefore w:val="0"/>
        <w:kinsoku/>
        <w:wordWrap w:val="0"/>
        <w:overflowPunct w:val="0"/>
        <w:topLinePunct w:val="0"/>
        <w:bidi w:val="0"/>
        <w:adjustRightInd w:val="0"/>
        <w:snapToGrid w:val="0"/>
        <w:spacing w:line="400" w:lineRule="exact"/>
        <w:ind w:left="0" w:leftChars="0" w:right="0" w:rightChars="0" w:firstLine="0" w:firstLineChars="0"/>
        <w:jc w:val="center"/>
        <w:outlineLvl w:val="0"/>
        <w:rPr>
          <w:rFonts w:hint="eastAsia" w:ascii="宋体" w:hAnsi="宋体" w:eastAsia="宋体" w:cs="宋体"/>
          <w:b/>
          <w:color w:val="auto"/>
          <w:sz w:val="24"/>
          <w:szCs w:val="24"/>
          <w:lang w:eastAsia="zh-CN"/>
        </w:rPr>
      </w:pPr>
      <w:bookmarkStart w:id="108" w:name="_Toc23752"/>
      <w:bookmarkStart w:id="109" w:name="_Toc30369"/>
      <w:bookmarkStart w:id="110" w:name="_Toc11450"/>
      <w:bookmarkStart w:id="111" w:name="_Toc4339"/>
      <w:bookmarkStart w:id="112" w:name="_Toc2513"/>
      <w:bookmarkStart w:id="113" w:name="_Toc17437"/>
      <w:r>
        <w:rPr>
          <w:rFonts w:hint="eastAsia" w:ascii="宋体" w:hAnsi="宋体" w:eastAsia="宋体" w:cs="宋体"/>
          <w:b/>
          <w:color w:val="auto"/>
          <w:sz w:val="24"/>
          <w:szCs w:val="24"/>
          <w:lang w:eastAsia="zh-CN"/>
        </w:rPr>
        <w:t>投标人可参照评定内容及标准的技术部分进行编写</w:t>
      </w:r>
      <w:bookmarkEnd w:id="108"/>
      <w:bookmarkEnd w:id="109"/>
      <w:bookmarkEnd w:id="110"/>
      <w:bookmarkEnd w:id="111"/>
      <w:bookmarkEnd w:id="112"/>
      <w:bookmarkEnd w:id="113"/>
    </w:p>
    <w:p w14:paraId="612B5B54">
      <w:pPr>
        <w:pageBreakBefore w:val="0"/>
        <w:kinsoku/>
        <w:wordWrap w:val="0"/>
        <w:overflowPunct w:val="0"/>
        <w:topLinePunct w:val="0"/>
        <w:bidi w:val="0"/>
        <w:adjustRightInd w:val="0"/>
        <w:snapToGrid w:val="0"/>
        <w:spacing w:line="400" w:lineRule="exact"/>
        <w:rPr>
          <w:rFonts w:hint="eastAsia" w:ascii="宋体" w:hAnsi="宋体" w:eastAsia="宋体" w:cs="宋体"/>
          <w:b/>
          <w:color w:val="auto"/>
          <w:sz w:val="24"/>
          <w:szCs w:val="24"/>
        </w:rPr>
      </w:pPr>
    </w:p>
    <w:p w14:paraId="68332569">
      <w:pPr>
        <w:pageBreakBefore w:val="0"/>
        <w:kinsoku/>
        <w:wordWrap w:val="0"/>
        <w:overflowPunct w:val="0"/>
        <w:topLinePunct w:val="0"/>
        <w:bidi w:val="0"/>
        <w:adjustRightInd w:val="0"/>
        <w:snapToGrid w:val="0"/>
        <w:spacing w:line="400" w:lineRule="exact"/>
        <w:rPr>
          <w:rFonts w:hint="eastAsia" w:ascii="宋体" w:hAnsi="宋体" w:eastAsia="宋体" w:cs="宋体"/>
          <w:b/>
          <w:color w:val="auto"/>
          <w:sz w:val="24"/>
          <w:szCs w:val="24"/>
        </w:rPr>
        <w:sectPr>
          <w:pgSz w:w="11906" w:h="16838"/>
          <w:pgMar w:top="1440" w:right="1080" w:bottom="1440" w:left="1080" w:header="851" w:footer="1134" w:gutter="0"/>
          <w:pgNumType w:fmt="decimal"/>
          <w:cols w:space="720" w:num="1"/>
          <w:docGrid w:type="lines" w:linePitch="330" w:charSpace="0"/>
        </w:sectPr>
      </w:pPr>
    </w:p>
    <w:p w14:paraId="1EEEE0A5">
      <w:pPr>
        <w:pStyle w:val="22"/>
        <w:pageBreakBefore w:val="0"/>
        <w:kinsoku/>
        <w:wordWrap w:val="0"/>
        <w:overflowPunct w:val="0"/>
        <w:topLinePunct w:val="0"/>
        <w:bidi w:val="0"/>
        <w:spacing w:before="0" w:beforeAutospacing="0" w:after="120" w:afterLines="50" w:afterAutospacing="0" w:line="360" w:lineRule="auto"/>
        <w:ind w:left="0" w:leftChars="0" w:right="0" w:rightChars="0" w:firstLine="0" w:firstLineChars="0"/>
        <w:jc w:val="center"/>
        <w:outlineLvl w:val="0"/>
        <w:rPr>
          <w:rFonts w:hint="eastAsia" w:ascii="宋体" w:hAnsi="宋体" w:eastAsia="宋体" w:cs="宋体"/>
          <w:color w:val="auto"/>
          <w:kern w:val="0"/>
          <w:sz w:val="24"/>
          <w:szCs w:val="24"/>
        </w:rPr>
      </w:pPr>
      <w:bookmarkStart w:id="114" w:name="_Toc5976"/>
      <w:bookmarkStart w:id="115" w:name="_Toc32273"/>
      <w:bookmarkStart w:id="116" w:name="_Toc24476"/>
      <w:bookmarkStart w:id="117" w:name="_Toc32166"/>
      <w:bookmarkStart w:id="118" w:name="_Toc30052"/>
      <w:bookmarkStart w:id="119" w:name="_Toc25024"/>
      <w:bookmarkStart w:id="120" w:name="_Toc4262"/>
      <w:bookmarkStart w:id="121" w:name="_Toc30706"/>
      <w:bookmarkStart w:id="122" w:name="_Toc28797"/>
      <w:bookmarkStart w:id="123" w:name="_Toc22646"/>
      <w:r>
        <w:rPr>
          <w:rFonts w:hint="eastAsia" w:ascii="宋体" w:hAnsi="宋体" w:eastAsia="宋体" w:cs="宋体"/>
          <w:b/>
          <w:color w:val="auto"/>
        </w:rPr>
        <w:t>中小企业声明函</w:t>
      </w:r>
      <w:r>
        <w:rPr>
          <w:rFonts w:hint="eastAsia" w:ascii="宋体" w:hAnsi="宋体" w:eastAsia="宋体" w:cs="宋体"/>
          <w:b/>
          <w:color w:val="auto"/>
          <w:lang w:eastAsia="zh-CN"/>
        </w:rPr>
        <w:t>（如有）</w:t>
      </w:r>
      <w:bookmarkEnd w:id="114"/>
      <w:bookmarkEnd w:id="115"/>
      <w:bookmarkEnd w:id="116"/>
      <w:bookmarkEnd w:id="117"/>
    </w:p>
    <w:p w14:paraId="055E7BB8">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本公司郑重声明，根据《政府采购促进中小企业发展管理办法》（财库﹝2020﹞46 号）的规定，本公司参加</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（单位名称）</w:t>
      </w:r>
      <w:r>
        <w:rPr>
          <w:rFonts w:hint="eastAsia" w:ascii="宋体" w:hAnsi="宋体" w:eastAsia="宋体" w:cs="宋体"/>
          <w:color w:val="auto"/>
          <w:kern w:val="0"/>
          <w:sz w:val="24"/>
          <w:szCs w:val="24"/>
        </w:rPr>
        <w:t>的</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（项目名称）</w:t>
      </w:r>
      <w:r>
        <w:rPr>
          <w:rFonts w:hint="eastAsia" w:ascii="宋体" w:hAnsi="宋体" w:eastAsia="宋体" w:cs="宋体"/>
          <w:color w:val="auto"/>
          <w:kern w:val="0"/>
          <w:sz w:val="24"/>
          <w:szCs w:val="24"/>
        </w:rPr>
        <w:t xml:space="preserve">采购活动，提供的货物全部由符合政策要求的中小企业制造。相关企业的具体情况如下： </w:t>
      </w:r>
    </w:p>
    <w:p w14:paraId="69D05959">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 xml:space="preserve">1. </w:t>
      </w:r>
      <w:r>
        <w:rPr>
          <w:rFonts w:hint="eastAsia" w:ascii="宋体" w:hAnsi="宋体" w:eastAsia="宋体" w:cs="宋体"/>
          <w:color w:val="auto"/>
          <w:kern w:val="0"/>
          <w:sz w:val="24"/>
          <w:szCs w:val="24"/>
          <w:u w:val="single"/>
        </w:rPr>
        <w:t>（标的名称）</w:t>
      </w:r>
      <w:r>
        <w:rPr>
          <w:rFonts w:hint="eastAsia" w:ascii="宋体" w:hAnsi="宋体" w:eastAsia="宋体" w:cs="宋体"/>
          <w:color w:val="auto"/>
          <w:kern w:val="0"/>
          <w:sz w:val="24"/>
          <w:szCs w:val="24"/>
        </w:rPr>
        <w:t>，属于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行业；制造商为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（企业名称）</w:t>
      </w:r>
      <w:r>
        <w:rPr>
          <w:rFonts w:hint="eastAsia" w:ascii="宋体" w:hAnsi="宋体" w:eastAsia="宋体" w:cs="宋体"/>
          <w:color w:val="auto"/>
          <w:kern w:val="0"/>
          <w:sz w:val="24"/>
          <w:szCs w:val="24"/>
        </w:rPr>
        <w:t>，从业人员</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人，营业收入为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万元，资产总额为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万元，属于</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（中型企业、小型企业、微型企业）； </w:t>
      </w:r>
    </w:p>
    <w:p w14:paraId="1E60F412">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u w:val="single"/>
        </w:rPr>
        <w:t>（标的名称）</w:t>
      </w:r>
      <w:r>
        <w:rPr>
          <w:rFonts w:hint="eastAsia" w:ascii="宋体" w:hAnsi="宋体" w:eastAsia="宋体" w:cs="宋体"/>
          <w:color w:val="auto"/>
          <w:kern w:val="0"/>
          <w:sz w:val="24"/>
          <w:szCs w:val="24"/>
        </w:rPr>
        <w:t>，属于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行业；制造商为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（企业名称）</w:t>
      </w:r>
      <w:r>
        <w:rPr>
          <w:rFonts w:hint="eastAsia" w:ascii="宋体" w:hAnsi="宋体" w:eastAsia="宋体" w:cs="宋体"/>
          <w:color w:val="auto"/>
          <w:kern w:val="0"/>
          <w:sz w:val="24"/>
          <w:szCs w:val="24"/>
        </w:rPr>
        <w:t>，从业人员</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人，营业收入为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万元，资产总额为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万元，属于</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（中型企业、小型企业、微型企业）；</w:t>
      </w:r>
    </w:p>
    <w:p w14:paraId="6152FB14">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p w14:paraId="5B99616C">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以上企业，不属于大企业的分支机构，不存在控股股东为大企业的情形，也不存在与大企业的负责人为同一人的情形。</w:t>
      </w:r>
    </w:p>
    <w:p w14:paraId="7618505F">
      <w:pPr>
        <w:pageBreakBefore w:val="0"/>
        <w:widowControl/>
        <w:kinsoku/>
        <w:wordWrap w:val="0"/>
        <w:overflowPunct w:val="0"/>
        <w:topLinePunct w:val="0"/>
        <w:bidi w:val="0"/>
        <w:spacing w:line="48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本企业对上述声明内容的真实性负责。如有虚假，将依法承担相应责任。 </w:t>
      </w:r>
    </w:p>
    <w:p w14:paraId="65689D7C">
      <w:pPr>
        <w:pageBreakBefore w:val="0"/>
        <w:widowControl/>
        <w:kinsoku/>
        <w:wordWrap w:val="0"/>
        <w:overflowPunct w:val="0"/>
        <w:topLinePunct w:val="0"/>
        <w:bidi w:val="0"/>
        <w:spacing w:line="480" w:lineRule="auto"/>
        <w:ind w:firstLine="3840" w:firstLineChars="16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企业名称（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kern w:val="0"/>
          <w:sz w:val="24"/>
          <w:szCs w:val="24"/>
        </w:rPr>
        <w:t xml:space="preserve">）： </w:t>
      </w:r>
    </w:p>
    <w:p w14:paraId="032D647A">
      <w:pPr>
        <w:pageBreakBefore w:val="0"/>
        <w:widowControl/>
        <w:kinsoku/>
        <w:wordWrap w:val="0"/>
        <w:overflowPunct w:val="0"/>
        <w:topLinePunct w:val="0"/>
        <w:bidi w:val="0"/>
        <w:spacing w:line="480" w:lineRule="auto"/>
        <w:ind w:firstLine="3840" w:firstLineChars="16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日 期：</w:t>
      </w:r>
    </w:p>
    <w:p w14:paraId="4D9994EA">
      <w:pPr>
        <w:pageBreakBefore w:val="0"/>
        <w:widowControl/>
        <w:kinsoku/>
        <w:wordWrap w:val="0"/>
        <w:overflowPunct w:val="0"/>
        <w:topLinePunct w:val="0"/>
        <w:bidi w:val="0"/>
        <w:adjustRightInd w:val="0"/>
        <w:snapToGrid w:val="0"/>
        <w:spacing w:line="520" w:lineRule="exact"/>
        <w:ind w:firstLine="504" w:firstLineChars="200"/>
        <w:jc w:val="left"/>
        <w:rPr>
          <w:rFonts w:hint="eastAsia" w:ascii="宋体" w:hAnsi="宋体" w:eastAsia="宋体" w:cs="宋体"/>
          <w:color w:val="auto"/>
          <w:spacing w:val="6"/>
          <w:kern w:val="0"/>
          <w:sz w:val="24"/>
        </w:rPr>
      </w:pPr>
      <w:r>
        <w:rPr>
          <w:rFonts w:hint="eastAsia" w:ascii="宋体" w:hAnsi="宋体" w:eastAsia="宋体" w:cs="宋体"/>
          <w:color w:val="auto"/>
          <w:spacing w:val="6"/>
          <w:kern w:val="0"/>
          <w:sz w:val="24"/>
        </w:rPr>
        <w:t>备注：（1）从业人员、营业收入、资产总额填报上一年度数据，无上一年度数据的新成立企业可不填报。</w:t>
      </w:r>
    </w:p>
    <w:p w14:paraId="44F5DEDC">
      <w:pPr>
        <w:pageBreakBefore w:val="0"/>
        <w:widowControl/>
        <w:kinsoku/>
        <w:wordWrap w:val="0"/>
        <w:overflowPunct w:val="0"/>
        <w:topLinePunct w:val="0"/>
        <w:bidi w:val="0"/>
        <w:adjustRightInd w:val="0"/>
        <w:snapToGrid w:val="0"/>
        <w:spacing w:line="520" w:lineRule="exact"/>
        <w:ind w:firstLine="1260" w:firstLineChars="500"/>
        <w:jc w:val="left"/>
        <w:rPr>
          <w:rFonts w:hint="eastAsia" w:ascii="宋体" w:hAnsi="宋体" w:eastAsia="宋体" w:cs="宋体"/>
          <w:color w:val="auto"/>
          <w:spacing w:val="6"/>
          <w:kern w:val="0"/>
          <w:sz w:val="24"/>
        </w:rPr>
        <w:sectPr>
          <w:pgSz w:w="11906" w:h="16838"/>
          <w:pgMar w:top="1440" w:right="1080" w:bottom="1440" w:left="1080" w:header="851" w:footer="1134" w:gutter="0"/>
          <w:pgNumType w:fmt="decimal"/>
          <w:cols w:space="720" w:num="1"/>
          <w:docGrid w:linePitch="312" w:charSpace="0"/>
        </w:sectPr>
      </w:pPr>
      <w:r>
        <w:rPr>
          <w:rFonts w:hint="eastAsia" w:ascii="宋体" w:hAnsi="宋体" w:eastAsia="宋体" w:cs="宋体"/>
          <w:color w:val="auto"/>
          <w:spacing w:val="6"/>
          <w:kern w:val="0"/>
          <w:sz w:val="24"/>
        </w:rPr>
        <w:t>（2）中、小、微企业划分标准执行《中小企业划型标准规定》（工信部联企业〔2011〕300号文件）</w:t>
      </w:r>
    </w:p>
    <w:p w14:paraId="6F9F2CBC">
      <w:pPr>
        <w:pageBreakBefore w:val="0"/>
        <w:kinsoku/>
        <w:wordWrap w:val="0"/>
        <w:overflowPunct w:val="0"/>
        <w:topLinePunct w:val="0"/>
        <w:bidi w:val="0"/>
        <w:spacing w:line="360" w:lineRule="auto"/>
        <w:ind w:left="0" w:leftChars="0" w:right="0" w:rightChars="0" w:firstLine="0" w:firstLineChars="0"/>
        <w:jc w:val="center"/>
        <w:outlineLvl w:val="0"/>
        <w:rPr>
          <w:rFonts w:hint="eastAsia" w:ascii="宋体" w:hAnsi="宋体" w:eastAsia="宋体" w:cs="宋体"/>
          <w:b/>
          <w:bCs/>
          <w:color w:val="auto"/>
          <w:sz w:val="28"/>
          <w:szCs w:val="28"/>
        </w:rPr>
      </w:pPr>
      <w:bookmarkStart w:id="124" w:name="_Toc5065"/>
      <w:bookmarkStart w:id="125" w:name="_Toc15599"/>
      <w:bookmarkStart w:id="126" w:name="_Toc20128"/>
      <w:bookmarkStart w:id="127" w:name="_Toc6286"/>
      <w:bookmarkStart w:id="128" w:name="_Toc3937"/>
      <w:bookmarkStart w:id="129" w:name="_Toc8568"/>
      <w:r>
        <w:rPr>
          <w:rFonts w:hint="eastAsia" w:ascii="宋体" w:hAnsi="宋体" w:eastAsia="宋体" w:cs="宋体"/>
          <w:b/>
          <w:color w:val="auto"/>
          <w:kern w:val="0"/>
          <w:sz w:val="24"/>
          <w:szCs w:val="24"/>
        </w:rPr>
        <w:t>残疾人福利性单位声明函（如有）</w:t>
      </w:r>
      <w:bookmarkEnd w:id="124"/>
      <w:bookmarkEnd w:id="125"/>
      <w:bookmarkEnd w:id="126"/>
      <w:bookmarkEnd w:id="127"/>
      <w:bookmarkEnd w:id="128"/>
      <w:bookmarkEnd w:id="129"/>
    </w:p>
    <w:p w14:paraId="14A9643D">
      <w:pPr>
        <w:pageBreakBefore w:val="0"/>
        <w:kinsoku/>
        <w:wordWrap w:val="0"/>
        <w:overflowPunct w:val="0"/>
        <w:topLinePunct w:val="0"/>
        <w:bidi w:val="0"/>
        <w:spacing w:line="588" w:lineRule="exact"/>
        <w:ind w:firstLine="504"/>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 141</w:t>
      </w:r>
      <w:r>
        <w:rPr>
          <w:rFonts w:hint="eastAsia" w:ascii="宋体" w:hAnsi="宋体" w:eastAsia="宋体" w:cs="宋体"/>
          <w:color w:val="auto"/>
          <w:spacing w:val="6"/>
          <w:sz w:val="24"/>
          <w:highlight w:val="none"/>
        </w:rPr>
        <w:t>号）的规定，本单位</w:t>
      </w:r>
      <w:r>
        <w:rPr>
          <w:rFonts w:hint="eastAsia" w:ascii="宋体" w:hAnsi="宋体" w:eastAsia="宋体" w:cs="宋体"/>
          <w:b/>
          <w:color w:val="auto"/>
          <w:sz w:val="24"/>
          <w:highlight w:val="none"/>
        </w:rPr>
        <w:t>（请进行勾选）</w:t>
      </w:r>
      <w:r>
        <w:rPr>
          <w:rFonts w:hint="eastAsia" w:ascii="宋体" w:hAnsi="宋体" w:eastAsia="宋体" w:cs="宋体"/>
          <w:color w:val="auto"/>
          <w:spacing w:val="6"/>
          <w:sz w:val="24"/>
          <w:highlight w:val="none"/>
        </w:rPr>
        <w:t>：</w:t>
      </w:r>
    </w:p>
    <w:p w14:paraId="21DB3F8F">
      <w:pPr>
        <w:pageBreakBefore w:val="0"/>
        <w:kinsoku/>
        <w:wordWrap w:val="0"/>
        <w:overflowPunct w:val="0"/>
        <w:topLinePunct w:val="0"/>
        <w:bidi w:val="0"/>
        <w:spacing w:line="588" w:lineRule="exact"/>
        <w:ind w:firstLine="482"/>
        <w:rPr>
          <w:rFonts w:hint="eastAsia" w:ascii="宋体" w:hAnsi="宋体" w:eastAsia="宋体" w:cs="宋体"/>
          <w:b/>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不属于符合条件的残疾人福利性单位。</w:t>
      </w:r>
    </w:p>
    <w:p w14:paraId="61E7CBEC">
      <w:pPr>
        <w:pageBreakBefore w:val="0"/>
        <w:kinsoku/>
        <w:wordWrap w:val="0"/>
        <w:overflowPunct w:val="0"/>
        <w:topLinePunct w:val="0"/>
        <w:bidi w:val="0"/>
        <w:spacing w:line="588" w:lineRule="exact"/>
        <w:ind w:firstLine="482"/>
        <w:rPr>
          <w:rFonts w:hint="eastAsia" w:ascii="宋体" w:hAnsi="宋体" w:eastAsia="宋体" w:cs="宋体"/>
          <w:color w:val="auto"/>
          <w:spacing w:val="6"/>
          <w:sz w:val="24"/>
          <w:highlight w:val="none"/>
        </w:rPr>
      </w:pPr>
      <w:r>
        <w:rPr>
          <w:rFonts w:hint="eastAsia" w:ascii="宋体" w:hAnsi="宋体" w:eastAsia="宋体" w:cs="宋体"/>
          <w:b/>
          <w:color w:val="auto"/>
          <w:sz w:val="24"/>
          <w:highlight w:val="none"/>
        </w:rPr>
        <w:t>□</w:t>
      </w:r>
      <w:r>
        <w:rPr>
          <w:rFonts w:hint="eastAsia" w:ascii="宋体" w:hAnsi="宋体" w:eastAsia="宋体" w:cs="宋体"/>
          <w:b/>
          <w:color w:val="auto"/>
          <w:spacing w:val="6"/>
          <w:sz w:val="24"/>
          <w:highlight w:val="none"/>
        </w:rPr>
        <w:t>属于符合条件的残疾人福利性单位，</w:t>
      </w:r>
      <w:r>
        <w:rPr>
          <w:rFonts w:hint="eastAsia" w:ascii="宋体" w:hAnsi="宋体" w:eastAsia="宋体" w:cs="宋体"/>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0088419">
      <w:pPr>
        <w:pageBreakBefore w:val="0"/>
        <w:kinsoku/>
        <w:wordWrap w:val="0"/>
        <w:overflowPunct w:val="0"/>
        <w:topLinePunct w:val="0"/>
        <w:bidi w:val="0"/>
        <w:spacing w:line="588" w:lineRule="exact"/>
        <w:ind w:firstLine="506" w:firstLineChars="200"/>
        <w:rPr>
          <w:rFonts w:hint="eastAsia" w:ascii="宋体" w:hAnsi="宋体" w:eastAsia="宋体" w:cs="宋体"/>
          <w:color w:val="auto"/>
          <w:spacing w:val="6"/>
          <w:sz w:val="24"/>
          <w:highlight w:val="none"/>
        </w:rPr>
      </w:pPr>
      <w:r>
        <w:rPr>
          <w:rFonts w:hint="eastAsia" w:ascii="宋体" w:hAnsi="宋体" w:eastAsia="宋体" w:cs="宋体"/>
          <w:b/>
          <w:color w:val="auto"/>
          <w:spacing w:val="6"/>
          <w:sz w:val="24"/>
          <w:highlight w:val="none"/>
        </w:rPr>
        <w:t>本单位对上述声明的真实性负责。如有虚假，将依法承担相应责任。</w:t>
      </w:r>
    </w:p>
    <w:p w14:paraId="42253756">
      <w:pPr>
        <w:pageBreakBefore w:val="0"/>
        <w:kinsoku/>
        <w:wordWrap w:val="0"/>
        <w:overflowPunct w:val="0"/>
        <w:topLinePunct w:val="0"/>
        <w:bidi w:val="0"/>
        <w:spacing w:line="588" w:lineRule="exact"/>
        <w:ind w:firstLine="504" w:firstLineChars="200"/>
        <w:rPr>
          <w:rFonts w:hint="eastAsia" w:ascii="宋体" w:hAnsi="宋体" w:eastAsia="宋体" w:cs="宋体"/>
          <w:color w:val="auto"/>
          <w:spacing w:val="6"/>
          <w:sz w:val="24"/>
          <w:highlight w:val="none"/>
        </w:rPr>
      </w:pPr>
    </w:p>
    <w:p w14:paraId="59379975">
      <w:pPr>
        <w:pageBreakBefore w:val="0"/>
        <w:kinsoku/>
        <w:wordWrap w:val="0"/>
        <w:overflowPunct w:val="0"/>
        <w:topLinePunct w:val="0"/>
        <w:bidi w:val="0"/>
        <w:spacing w:line="588" w:lineRule="exact"/>
        <w:ind w:firstLine="504" w:firstLineChars="200"/>
        <w:rPr>
          <w:rFonts w:hint="eastAsia" w:ascii="宋体" w:hAnsi="宋体" w:eastAsia="宋体" w:cs="宋体"/>
          <w:color w:val="auto"/>
          <w:spacing w:val="6"/>
          <w:sz w:val="24"/>
          <w:highlight w:val="none"/>
        </w:rPr>
      </w:pPr>
    </w:p>
    <w:p w14:paraId="4C6E7B4E">
      <w:pPr>
        <w:pageBreakBefore w:val="0"/>
        <w:tabs>
          <w:tab w:val="left" w:pos="4860"/>
        </w:tabs>
        <w:kinsoku/>
        <w:wordWrap w:val="0"/>
        <w:overflowPunct w:val="0"/>
        <w:topLinePunct w:val="0"/>
        <w:bidi w:val="0"/>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单位名称（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auto"/>
          <w:spacing w:val="6"/>
          <w:sz w:val="24"/>
          <w:highlight w:val="none"/>
        </w:rPr>
        <w:t>）：</w:t>
      </w:r>
    </w:p>
    <w:p w14:paraId="030E58D3">
      <w:pPr>
        <w:pageBreakBefore w:val="0"/>
        <w:tabs>
          <w:tab w:val="left" w:pos="4860"/>
        </w:tabs>
        <w:kinsoku/>
        <w:wordWrap w:val="0"/>
        <w:overflowPunct w:val="0"/>
        <w:topLinePunct w:val="0"/>
        <w:bidi w:val="0"/>
        <w:spacing w:line="588" w:lineRule="exact"/>
        <w:ind w:right="1560" w:firstLine="504" w:firstLineChars="200"/>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spacing w:val="6"/>
          <w:sz w:val="24"/>
          <w:highlight w:val="none"/>
        </w:rPr>
        <w:t xml:space="preserve">       日  期：</w:t>
      </w:r>
    </w:p>
    <w:p w14:paraId="019DFA06">
      <w:pPr>
        <w:pStyle w:val="22"/>
        <w:pageBreakBefore w:val="0"/>
        <w:kinsoku/>
        <w:wordWrap w:val="0"/>
        <w:overflowPunct w:val="0"/>
        <w:topLinePunct w:val="0"/>
        <w:bidi w:val="0"/>
        <w:spacing w:before="0" w:beforeAutospacing="0" w:after="156" w:afterLines="50" w:afterAutospacing="0" w:line="360" w:lineRule="auto"/>
        <w:ind w:left="0" w:leftChars="0" w:right="0" w:rightChars="0" w:firstLine="0" w:firstLineChars="0"/>
        <w:jc w:val="center"/>
        <w:outlineLvl w:val="0"/>
        <w:rPr>
          <w:rFonts w:hint="eastAsia" w:ascii="宋体" w:hAnsi="宋体" w:eastAsia="宋体" w:cs="宋体"/>
          <w:b/>
          <w:color w:val="auto"/>
        </w:rPr>
        <w:sectPr>
          <w:footerReference r:id="rId8" w:type="default"/>
          <w:pgSz w:w="11906" w:h="16838"/>
          <w:pgMar w:top="1440" w:right="1080" w:bottom="1440" w:left="1080" w:header="851" w:footer="992" w:gutter="0"/>
          <w:pgNumType w:fmt="decimal"/>
          <w:cols w:space="720" w:num="1"/>
          <w:docGrid w:type="lines" w:linePitch="312" w:charSpace="0"/>
        </w:sectPr>
      </w:pPr>
    </w:p>
    <w:p w14:paraId="3CE60391">
      <w:pPr>
        <w:pStyle w:val="22"/>
        <w:pageBreakBefore w:val="0"/>
        <w:kinsoku/>
        <w:wordWrap w:val="0"/>
        <w:overflowPunct w:val="0"/>
        <w:topLinePunct w:val="0"/>
        <w:bidi w:val="0"/>
        <w:spacing w:before="0" w:beforeAutospacing="0" w:after="156" w:afterLines="50" w:afterAutospacing="0" w:line="360" w:lineRule="auto"/>
        <w:ind w:left="0" w:leftChars="0" w:right="0" w:rightChars="0" w:firstLine="0" w:firstLineChars="0"/>
        <w:jc w:val="center"/>
        <w:outlineLvl w:val="0"/>
        <w:rPr>
          <w:rFonts w:hint="eastAsia" w:ascii="宋体" w:hAnsi="宋体" w:eastAsia="宋体" w:cs="宋体"/>
          <w:b/>
          <w:color w:val="auto"/>
        </w:rPr>
      </w:pPr>
      <w:r>
        <w:rPr>
          <w:rFonts w:hint="eastAsia" w:ascii="宋体" w:hAnsi="宋体" w:eastAsia="宋体" w:cs="宋体"/>
          <w:b/>
          <w:color w:val="auto"/>
        </w:rPr>
        <w:t>监狱企业证明资料（如有）</w:t>
      </w:r>
      <w:bookmarkEnd w:id="118"/>
      <w:bookmarkEnd w:id="119"/>
      <w:bookmarkEnd w:id="120"/>
      <w:bookmarkEnd w:id="121"/>
      <w:bookmarkEnd w:id="122"/>
      <w:bookmarkEnd w:id="123"/>
    </w:p>
    <w:p w14:paraId="37B5F3E8">
      <w:pPr>
        <w:pageBreakBefore w:val="0"/>
        <w:widowControl/>
        <w:kinsoku/>
        <w:wordWrap w:val="0"/>
        <w:overflowPunct w:val="0"/>
        <w:topLinePunct w:val="0"/>
        <w:bidi w:val="0"/>
        <w:adjustRightInd w:val="0"/>
        <w:snapToGrid w:val="0"/>
        <w:spacing w:line="5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附：监狱管理局、戒毒管理局等主管部门出具的证明文件的复印件，复印件须逐页加盖公章。</w:t>
      </w:r>
    </w:p>
    <w:p w14:paraId="2263D84E">
      <w:pPr>
        <w:pageBreakBefore w:val="0"/>
        <w:kinsoku/>
        <w:wordWrap w:val="0"/>
        <w:overflowPunct w:val="0"/>
        <w:topLinePunct w:val="0"/>
        <w:bidi w:val="0"/>
        <w:rPr>
          <w:rFonts w:hint="eastAsia" w:ascii="宋体" w:hAnsi="宋体" w:eastAsia="宋体" w:cs="宋体"/>
          <w:color w:val="auto"/>
        </w:rPr>
      </w:pPr>
      <w:r>
        <w:rPr>
          <w:rFonts w:hint="eastAsia" w:ascii="宋体" w:hAnsi="宋体" w:eastAsia="宋体" w:cs="宋体"/>
          <w:color w:val="auto"/>
        </w:rPr>
        <w:br w:type="page"/>
      </w:r>
    </w:p>
    <w:p w14:paraId="0CB0ACD5">
      <w:pPr>
        <w:keepNext w:val="0"/>
        <w:keepLines w:val="0"/>
        <w:pageBreakBefore w:val="0"/>
        <w:widowControl/>
        <w:suppressLineNumbers w:val="0"/>
        <w:kinsoku/>
        <w:wordWrap w:val="0"/>
        <w:overflowPunct w:val="0"/>
        <w:topLinePunct w:val="0"/>
        <w:bidi w:val="0"/>
        <w:spacing w:line="360" w:lineRule="auto"/>
        <w:jc w:val="center"/>
        <w:rPr>
          <w:rFonts w:hint="eastAsia" w:ascii="宋体" w:hAnsi="宋体" w:eastAsia="宋体" w:cs="宋体"/>
          <w:lang w:val="en-US"/>
        </w:rPr>
      </w:pPr>
      <w:r>
        <w:rPr>
          <w:rFonts w:hint="eastAsia" w:ascii="宋体" w:hAnsi="宋体" w:eastAsia="宋体" w:cs="宋体"/>
          <w:b/>
          <w:bCs/>
          <w:color w:val="000000"/>
          <w:kern w:val="0"/>
          <w:sz w:val="24"/>
          <w:szCs w:val="24"/>
          <w:lang w:val="en-US" w:eastAsia="zh-CN" w:bidi="ar"/>
        </w:rPr>
        <w:t>关于符合本国产品标准的声明函（如涉及）</w:t>
      </w:r>
    </w:p>
    <w:p w14:paraId="6C13D5B1">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本公司（单位）郑重声明，根据《国务院办公厅关于在政府采购中实施本国产品标准及相关政策的通知》（国办发〔2025〕34 号）的规定，本公司（单位）提供的以下产品属于本国产品。具体情况如下： </w:t>
      </w:r>
    </w:p>
    <w:p w14:paraId="0C8F0164">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r>
        <w:rPr>
          <w:rFonts w:hint="eastAsia" w:ascii="宋体" w:hAnsi="宋体" w:eastAsia="宋体" w:cs="宋体"/>
          <w:color w:val="000000"/>
          <w:kern w:val="0"/>
          <w:sz w:val="24"/>
          <w:szCs w:val="24"/>
          <w:u w:val="single"/>
          <w:lang w:val="en-US" w:eastAsia="zh-CN" w:bidi="ar"/>
        </w:rPr>
        <w:t>（产品名称1）</w:t>
      </w:r>
      <w:r>
        <w:rPr>
          <w:rFonts w:hint="eastAsia" w:ascii="宋体" w:hAnsi="宋体" w:eastAsia="宋体" w:cs="宋体"/>
          <w:color w:val="000000"/>
          <w:kern w:val="0"/>
          <w:sz w:val="24"/>
          <w:szCs w:val="24"/>
          <w:lang w:val="en-US" w:eastAsia="zh-CN" w:bidi="ar"/>
        </w:rPr>
        <w:t>，生产厂为</w:t>
      </w:r>
      <w:r>
        <w:rPr>
          <w:rFonts w:hint="eastAsia" w:ascii="宋体" w:hAnsi="宋体" w:eastAsia="宋体" w:cs="宋体"/>
          <w:color w:val="000000"/>
          <w:kern w:val="0"/>
          <w:sz w:val="24"/>
          <w:szCs w:val="24"/>
          <w:u w:val="single"/>
          <w:lang w:val="en-US" w:eastAsia="zh-CN" w:bidi="ar"/>
        </w:rPr>
        <w:t>（厂名）</w:t>
      </w:r>
      <w:r>
        <w:rPr>
          <w:rFonts w:hint="eastAsia" w:ascii="宋体" w:hAnsi="宋体" w:eastAsia="宋体" w:cs="宋体"/>
          <w:color w:val="000000"/>
          <w:kern w:val="0"/>
          <w:sz w:val="24"/>
          <w:szCs w:val="24"/>
          <w:lang w:val="en-US" w:eastAsia="zh-CN" w:bidi="ar"/>
        </w:rPr>
        <w:t>，厂址为</w:t>
      </w:r>
      <w:r>
        <w:rPr>
          <w:rFonts w:hint="eastAsia" w:ascii="宋体" w:hAnsi="宋体" w:eastAsia="宋体" w:cs="宋体"/>
          <w:color w:val="000000"/>
          <w:kern w:val="0"/>
          <w:sz w:val="24"/>
          <w:szCs w:val="24"/>
          <w:u w:val="single"/>
          <w:lang w:val="en-US" w:eastAsia="zh-CN" w:bidi="ar"/>
        </w:rPr>
        <w:t>（生产厂址）</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u w:val="single"/>
          <w:lang w:val="en-US" w:eastAsia="zh-CN" w:bidi="ar"/>
        </w:rPr>
        <w:t>（产品名称1）</w:t>
      </w:r>
      <w:r>
        <w:rPr>
          <w:rFonts w:hint="eastAsia" w:ascii="宋体" w:hAnsi="宋体" w:eastAsia="宋体" w:cs="宋体"/>
          <w:color w:val="000000"/>
          <w:kern w:val="0"/>
          <w:sz w:val="24"/>
          <w:szCs w:val="24"/>
          <w:lang w:val="en-US" w:eastAsia="zh-CN" w:bidi="ar"/>
        </w:rPr>
        <w:t>的中国境内生产的组件成本占比≥</w:t>
      </w:r>
      <w:r>
        <w:rPr>
          <w:rFonts w:hint="eastAsia" w:ascii="宋体" w:hAnsi="宋体" w:eastAsia="宋体" w:cs="宋体"/>
          <w:color w:val="000000"/>
          <w:kern w:val="0"/>
          <w:sz w:val="24"/>
          <w:szCs w:val="24"/>
          <w:u w:val="single"/>
          <w:lang w:val="en-US" w:eastAsia="zh-CN" w:bidi="ar"/>
        </w:rPr>
        <w:t>（规定比例）</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u w:val="single"/>
          <w:lang w:val="en-US" w:eastAsia="zh-CN" w:bidi="ar"/>
        </w:rPr>
        <w:t>（产品名称1）</w:t>
      </w:r>
      <w:r>
        <w:rPr>
          <w:rFonts w:hint="eastAsia" w:ascii="宋体" w:hAnsi="宋体" w:eastAsia="宋体" w:cs="宋体"/>
          <w:color w:val="000000"/>
          <w:kern w:val="0"/>
          <w:sz w:val="24"/>
          <w:szCs w:val="24"/>
          <w:lang w:val="en-US" w:eastAsia="zh-CN" w:bidi="ar"/>
        </w:rPr>
        <w:t>的</w:t>
      </w:r>
      <w:r>
        <w:rPr>
          <w:rFonts w:hint="eastAsia" w:ascii="宋体" w:hAnsi="宋体" w:eastAsia="宋体" w:cs="宋体"/>
          <w:color w:val="000000"/>
          <w:kern w:val="0"/>
          <w:sz w:val="24"/>
          <w:szCs w:val="24"/>
          <w:u w:val="single"/>
          <w:lang w:val="en-US" w:eastAsia="zh-CN" w:bidi="ar"/>
        </w:rPr>
        <w:t>（关键组件）</w:t>
      </w:r>
      <w:r>
        <w:rPr>
          <w:rFonts w:hint="eastAsia" w:ascii="宋体" w:hAnsi="宋体" w:eastAsia="宋体" w:cs="宋体"/>
          <w:color w:val="000000"/>
          <w:kern w:val="0"/>
          <w:sz w:val="24"/>
          <w:szCs w:val="24"/>
          <w:lang w:val="en-US" w:eastAsia="zh-CN" w:bidi="ar"/>
        </w:rPr>
        <w:t>在中国境内生产。</w:t>
      </w:r>
      <w:r>
        <w:rPr>
          <w:rFonts w:hint="eastAsia" w:ascii="宋体" w:hAnsi="宋体" w:eastAsia="宋体" w:cs="宋体"/>
          <w:color w:val="000000"/>
          <w:kern w:val="0"/>
          <w:sz w:val="24"/>
          <w:szCs w:val="24"/>
          <w:u w:val="single"/>
          <w:lang w:val="en-US" w:eastAsia="zh-CN" w:bidi="ar"/>
        </w:rPr>
        <w:t>（产品名称1）</w:t>
      </w:r>
      <w:r>
        <w:rPr>
          <w:rFonts w:hint="eastAsia" w:ascii="宋体" w:hAnsi="宋体" w:eastAsia="宋体" w:cs="宋体"/>
          <w:color w:val="000000"/>
          <w:kern w:val="0"/>
          <w:sz w:val="24"/>
          <w:szCs w:val="24"/>
          <w:lang w:val="en-US" w:eastAsia="zh-CN" w:bidi="ar"/>
        </w:rPr>
        <w:t>的</w:t>
      </w:r>
      <w:r>
        <w:rPr>
          <w:rFonts w:hint="eastAsia" w:ascii="宋体" w:hAnsi="宋体" w:eastAsia="宋体" w:cs="宋体"/>
          <w:color w:val="000000"/>
          <w:kern w:val="0"/>
          <w:sz w:val="24"/>
          <w:szCs w:val="24"/>
          <w:u w:val="single"/>
          <w:lang w:val="en-US" w:eastAsia="zh-CN" w:bidi="ar"/>
        </w:rPr>
        <w:t>（关键工序）</w:t>
      </w:r>
      <w:r>
        <w:rPr>
          <w:rFonts w:hint="eastAsia" w:ascii="宋体" w:hAnsi="宋体" w:eastAsia="宋体" w:cs="宋体"/>
          <w:color w:val="000000"/>
          <w:kern w:val="0"/>
          <w:sz w:val="24"/>
          <w:szCs w:val="24"/>
          <w:lang w:val="en-US" w:eastAsia="zh-CN" w:bidi="ar"/>
        </w:rPr>
        <w:t>在中国境内完成。</w:t>
      </w:r>
    </w:p>
    <w:p w14:paraId="38FD67A3">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2.</w:t>
      </w:r>
      <w:r>
        <w:rPr>
          <w:rFonts w:hint="eastAsia" w:ascii="宋体" w:hAnsi="宋体" w:eastAsia="宋体" w:cs="宋体"/>
          <w:color w:val="000000"/>
          <w:kern w:val="0"/>
          <w:sz w:val="24"/>
          <w:szCs w:val="24"/>
          <w:u w:val="single"/>
          <w:lang w:val="en-US" w:eastAsia="zh-CN" w:bidi="ar"/>
        </w:rPr>
        <w:t>（产品名称2）</w:t>
      </w:r>
      <w:r>
        <w:rPr>
          <w:rFonts w:hint="eastAsia" w:ascii="宋体" w:hAnsi="宋体" w:eastAsia="宋体" w:cs="宋体"/>
          <w:color w:val="000000"/>
          <w:kern w:val="0"/>
          <w:sz w:val="24"/>
          <w:szCs w:val="24"/>
          <w:lang w:val="en-US" w:eastAsia="zh-CN" w:bidi="ar"/>
        </w:rPr>
        <w:t>，生产厂为</w:t>
      </w:r>
      <w:r>
        <w:rPr>
          <w:rFonts w:hint="eastAsia" w:ascii="宋体" w:hAnsi="宋体" w:eastAsia="宋体" w:cs="宋体"/>
          <w:color w:val="000000"/>
          <w:kern w:val="0"/>
          <w:sz w:val="24"/>
          <w:szCs w:val="24"/>
          <w:u w:val="single"/>
          <w:lang w:val="en-US" w:eastAsia="zh-CN" w:bidi="ar"/>
        </w:rPr>
        <w:t>（厂名）</w:t>
      </w:r>
      <w:r>
        <w:rPr>
          <w:rFonts w:hint="eastAsia" w:ascii="宋体" w:hAnsi="宋体" w:eastAsia="宋体" w:cs="宋体"/>
          <w:color w:val="000000"/>
          <w:kern w:val="0"/>
          <w:sz w:val="24"/>
          <w:szCs w:val="24"/>
          <w:lang w:val="en-US" w:eastAsia="zh-CN" w:bidi="ar"/>
        </w:rPr>
        <w:t>，厂址为</w:t>
      </w:r>
      <w:r>
        <w:rPr>
          <w:rFonts w:hint="eastAsia" w:ascii="宋体" w:hAnsi="宋体" w:eastAsia="宋体" w:cs="宋体"/>
          <w:color w:val="000000"/>
          <w:kern w:val="0"/>
          <w:sz w:val="24"/>
          <w:szCs w:val="24"/>
          <w:u w:val="single"/>
          <w:lang w:val="en-US" w:eastAsia="zh-CN" w:bidi="ar"/>
        </w:rPr>
        <w:t>（生产厂址）</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u w:val="single"/>
          <w:lang w:val="en-US" w:eastAsia="zh-CN" w:bidi="ar"/>
        </w:rPr>
        <w:t>（产品名称1）</w:t>
      </w:r>
      <w:r>
        <w:rPr>
          <w:rFonts w:hint="eastAsia" w:ascii="宋体" w:hAnsi="宋体" w:eastAsia="宋体" w:cs="宋体"/>
          <w:color w:val="000000"/>
          <w:kern w:val="0"/>
          <w:sz w:val="24"/>
          <w:szCs w:val="24"/>
          <w:lang w:val="en-US" w:eastAsia="zh-CN" w:bidi="ar"/>
        </w:rPr>
        <w:t>的中国境内生产的组件成本占比≥</w:t>
      </w:r>
      <w:r>
        <w:rPr>
          <w:rFonts w:hint="eastAsia" w:ascii="宋体" w:hAnsi="宋体" w:eastAsia="宋体" w:cs="宋体"/>
          <w:color w:val="000000"/>
          <w:kern w:val="0"/>
          <w:sz w:val="24"/>
          <w:szCs w:val="24"/>
          <w:u w:val="single"/>
          <w:lang w:val="en-US" w:eastAsia="zh-CN" w:bidi="ar"/>
        </w:rPr>
        <w:t>（规定比例）</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u w:val="single"/>
          <w:lang w:val="en-US" w:eastAsia="zh-CN" w:bidi="ar"/>
        </w:rPr>
        <w:t>（产品名称2）</w:t>
      </w:r>
      <w:r>
        <w:rPr>
          <w:rFonts w:hint="eastAsia" w:ascii="宋体" w:hAnsi="宋体" w:eastAsia="宋体" w:cs="宋体"/>
          <w:color w:val="000000"/>
          <w:kern w:val="0"/>
          <w:sz w:val="24"/>
          <w:szCs w:val="24"/>
          <w:lang w:val="en-US" w:eastAsia="zh-CN" w:bidi="ar"/>
        </w:rPr>
        <w:t>的</w:t>
      </w:r>
      <w:r>
        <w:rPr>
          <w:rFonts w:hint="eastAsia" w:ascii="宋体" w:hAnsi="宋体" w:eastAsia="宋体" w:cs="宋体"/>
          <w:color w:val="000000"/>
          <w:kern w:val="0"/>
          <w:sz w:val="24"/>
          <w:szCs w:val="24"/>
          <w:u w:val="single"/>
          <w:lang w:val="en-US" w:eastAsia="zh-CN" w:bidi="ar"/>
        </w:rPr>
        <w:t>（关键组件）</w:t>
      </w:r>
      <w:r>
        <w:rPr>
          <w:rFonts w:hint="eastAsia" w:ascii="宋体" w:hAnsi="宋体" w:eastAsia="宋体" w:cs="宋体"/>
          <w:color w:val="000000"/>
          <w:kern w:val="0"/>
          <w:sz w:val="24"/>
          <w:szCs w:val="24"/>
          <w:lang w:val="en-US" w:eastAsia="zh-CN" w:bidi="ar"/>
        </w:rPr>
        <w:t>在中国境内生产。</w:t>
      </w:r>
      <w:r>
        <w:rPr>
          <w:rFonts w:hint="eastAsia" w:ascii="宋体" w:hAnsi="宋体" w:eastAsia="宋体" w:cs="宋体"/>
          <w:color w:val="000000"/>
          <w:kern w:val="0"/>
          <w:sz w:val="24"/>
          <w:szCs w:val="24"/>
          <w:u w:val="single"/>
          <w:lang w:val="en-US" w:eastAsia="zh-CN" w:bidi="ar"/>
        </w:rPr>
        <w:t>（产品名称2）</w:t>
      </w:r>
      <w:r>
        <w:rPr>
          <w:rFonts w:hint="eastAsia" w:ascii="宋体" w:hAnsi="宋体" w:eastAsia="宋体" w:cs="宋体"/>
          <w:color w:val="000000"/>
          <w:kern w:val="0"/>
          <w:sz w:val="24"/>
          <w:szCs w:val="24"/>
          <w:lang w:val="en-US" w:eastAsia="zh-CN" w:bidi="ar"/>
        </w:rPr>
        <w:t>的</w:t>
      </w:r>
      <w:r>
        <w:rPr>
          <w:rFonts w:hint="eastAsia" w:ascii="宋体" w:hAnsi="宋体" w:eastAsia="宋体" w:cs="宋体"/>
          <w:color w:val="000000"/>
          <w:kern w:val="0"/>
          <w:sz w:val="24"/>
          <w:szCs w:val="24"/>
          <w:u w:val="single"/>
          <w:lang w:val="en-US" w:eastAsia="zh-CN" w:bidi="ar"/>
        </w:rPr>
        <w:t>（关键工序）</w:t>
      </w:r>
      <w:r>
        <w:rPr>
          <w:rFonts w:hint="eastAsia" w:ascii="宋体" w:hAnsi="宋体" w:eastAsia="宋体" w:cs="宋体"/>
          <w:color w:val="000000"/>
          <w:kern w:val="0"/>
          <w:sz w:val="24"/>
          <w:szCs w:val="24"/>
          <w:lang w:val="en-US" w:eastAsia="zh-CN" w:bidi="ar"/>
        </w:rPr>
        <w:t xml:space="preserve">在中国境内完成。 </w:t>
      </w:r>
    </w:p>
    <w:p w14:paraId="0B96A935">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p w14:paraId="1F0F7F9F">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p>
    <w:p w14:paraId="76AF31CD">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本公司（单位）对上述声明内容的真实性负责。如有虚假，愿承担相应法律责任。</w:t>
      </w:r>
    </w:p>
    <w:p w14:paraId="1836E4CB">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p>
    <w:p w14:paraId="6B719BEE">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righ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公司（单位）名称（</w:t>
      </w:r>
      <w:r>
        <w:rPr>
          <w:rFonts w:hint="eastAsia" w:ascii="宋体" w:hAnsi="宋体" w:eastAsia="宋体" w:cs="宋体"/>
          <w:color w:val="auto"/>
          <w:sz w:val="24"/>
          <w:szCs w:val="24"/>
          <w:lang w:eastAsia="zh-CN"/>
        </w:rPr>
        <w:t>盖企业CA电子印章</w:t>
      </w:r>
      <w:r>
        <w:rPr>
          <w:rFonts w:hint="eastAsia" w:ascii="宋体" w:hAnsi="宋体" w:eastAsia="宋体" w:cs="宋体"/>
          <w:color w:val="000000"/>
          <w:kern w:val="0"/>
          <w:sz w:val="24"/>
          <w:szCs w:val="24"/>
          <w:lang w:val="en-US" w:eastAsia="zh-CN" w:bidi="ar"/>
        </w:rPr>
        <w:t xml:space="preserve">）： </w:t>
      </w:r>
    </w:p>
    <w:p w14:paraId="6863C0ED">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righ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日期：年 月 日 </w:t>
      </w:r>
    </w:p>
    <w:p w14:paraId="2F5F26CD">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p>
    <w:p w14:paraId="4A99839B">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p>
    <w:p w14:paraId="6242E9B5">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1.产品如有型号，请在“产品名称”栏一并填写。 </w:t>
      </w:r>
    </w:p>
    <w:p w14:paraId="3A783652">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2.生产厂名与厂址应与生产厂营业执照载明的相关信息保持一致。 </w:t>
      </w:r>
    </w:p>
    <w:p w14:paraId="0F64D589">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3.该产品的中国境内生产的组件成本占比相关要求实施前，“规定比例”栏可 </w:t>
      </w:r>
    </w:p>
    <w:p w14:paraId="79D72B3C">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不填。 </w:t>
      </w:r>
    </w:p>
    <w:p w14:paraId="123D4B81">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4.该产品的关键组件要求实施前，“关键组件”栏可不填。 </w:t>
      </w:r>
    </w:p>
    <w:p w14:paraId="22348987">
      <w:pPr>
        <w:keepNext w:val="0"/>
        <w:keepLines w:val="0"/>
        <w:pageBreakBefore w:val="0"/>
        <w:widowControl/>
        <w:suppressLineNumbers w:val="0"/>
        <w:kinsoku/>
        <w:wordWrap w:val="0"/>
        <w:overflowPunct w:val="0"/>
        <w:topLinePunct w:val="0"/>
        <w:autoSpaceDE/>
        <w:autoSpaceDN/>
        <w:bidi w:val="0"/>
        <w:spacing w:line="360" w:lineRule="auto"/>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5.该产品的关键工序要求实施前，“关键工序”栏可不填。</w:t>
      </w:r>
    </w:p>
    <w:p w14:paraId="561B2866">
      <w:pPr>
        <w:pageBreakBefore w:val="0"/>
        <w:kinsoku/>
        <w:wordWrap w:val="0"/>
        <w:overflowPunct w:val="0"/>
        <w:topLinePunct w:val="0"/>
        <w:bidi w:val="0"/>
        <w:rPr>
          <w:rFonts w:hint="eastAsia" w:ascii="宋体" w:hAnsi="宋体" w:eastAsia="宋体" w:cs="宋体"/>
        </w:rPr>
      </w:pPr>
    </w:p>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yntax">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3713">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6CCC8">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E6CCC8">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19C03">
    <w:pPr>
      <w:pStyle w:val="16"/>
      <w:ind w:right="360"/>
      <w:jc w:val="both"/>
      <w:rPr>
        <w:rFonts w:eastAsia="楷体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4EA8D9">
                          <w:pPr>
                            <w:pStyle w:val="1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24EA8D9">
                    <w:pPr>
                      <w:pStyle w:val="16"/>
                    </w:pPr>
                    <w:r>
                      <w:fldChar w:fldCharType="begin"/>
                    </w:r>
                    <w:r>
                      <w:instrText xml:space="preserve"> PAGE  \* MERGEFORMAT </w:instrText>
                    </w:r>
                    <w:r>
                      <w:fldChar w:fldCharType="separate"/>
                    </w:r>
                    <w:r>
                      <w:t>9</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1857375</wp:posOffset>
              </wp:positionH>
              <wp:positionV relativeFrom="paragraph">
                <wp:posOffset>38100</wp:posOffset>
              </wp:positionV>
              <wp:extent cx="67310" cy="153035"/>
              <wp:effectExtent l="0" t="0" r="0" b="0"/>
              <wp:wrapNone/>
              <wp:docPr id="1" name="矩形 11"/>
              <wp:cNvGraphicFramePr/>
              <a:graphic xmlns:a="http://schemas.openxmlformats.org/drawingml/2006/main">
                <a:graphicData uri="http://schemas.microsoft.com/office/word/2010/wordprocessingShape">
                  <wps:wsp>
                    <wps:cNvSpPr/>
                    <wps:spPr>
                      <a:xfrm>
                        <a:off x="0" y="0"/>
                        <a:ext cx="67310" cy="153035"/>
                      </a:xfrm>
                      <a:prstGeom prst="rect">
                        <a:avLst/>
                      </a:prstGeom>
                      <a:noFill/>
                      <a:ln>
                        <a:noFill/>
                      </a:ln>
                    </wps:spPr>
                    <wps:txbx>
                      <w:txbxContent>
                        <w:p w14:paraId="1AD3496F">
                          <w:pPr>
                            <w:snapToGrid w:val="0"/>
                            <w:rPr>
                              <w:sz w:val="18"/>
                            </w:rPr>
                          </w:pPr>
                        </w:p>
                      </w:txbxContent>
                    </wps:txbx>
                    <wps:bodyPr wrap="none" lIns="0" tIns="0" rIns="0" bIns="0" upright="1">
                      <a:spAutoFit/>
                    </wps:bodyPr>
                  </wps:wsp>
                </a:graphicData>
              </a:graphic>
            </wp:anchor>
          </w:drawing>
        </mc:Choice>
        <mc:Fallback>
          <w:pict>
            <v:rect id="矩形 11" o:spid="_x0000_s1026" o:spt="1" style="position:absolute;left:0pt;margin-left:146.25pt;margin-top:3pt;height:12.05pt;width:5.3pt;mso-position-horizontal-relative:margin;mso-wrap-style:none;z-index:251659264;mso-width-relative:page;mso-height-relative:page;" filled="f" stroked="f" coordsize="21600,21600" o:gfxdata="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TIgyHVAAAACAEAAA8AAAAAAAAAAQAgAAAAIgAAAGRycy9kb3ducmV2Lnht&#10;bFBLAQIUABQAAAAIAIdO4kBDqIGLwwEAAIoDAAAOAAAAAAAAAAEAIAAAACQBAABkcnMvZTJvRG9j&#10;LnhtbFBLBQYAAAAABgAGAFkBAABZBQAAAAA=&#10;">
              <v:fill on="f" focussize="0,0"/>
              <v:stroke on="f"/>
              <v:imagedata o:title=""/>
              <o:lock v:ext="edit" aspectratio="f"/>
              <v:textbox inset="0mm,0mm,0mm,0mm" style="mso-fit-shape-to-text:t;">
                <w:txbxContent>
                  <w:p w14:paraId="1AD3496F">
                    <w:pPr>
                      <w:snapToGrid w:val="0"/>
                      <w:rPr>
                        <w:sz w:val="18"/>
                      </w:rPr>
                    </w:pPr>
                  </w:p>
                </w:txbxContent>
              </v:textbox>
            </v:rect>
          </w:pict>
        </mc:Fallback>
      </mc:AlternateContent>
    </w:r>
    <w:r>
      <w:rPr>
        <w:rFonts w:hint="eastAsia"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08A0F">
    <w:pPr>
      <w:pStyle w:val="16"/>
      <w:ind w:right="360"/>
      <w:jc w:val="both"/>
      <w:rPr>
        <w:rFonts w:eastAsia="楷体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3891B">
                          <w:pPr>
                            <w:pStyle w:val="1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D3891B">
                    <w:pPr>
                      <w:pStyle w:val="16"/>
                    </w:pPr>
                    <w:r>
                      <w:fldChar w:fldCharType="begin"/>
                    </w:r>
                    <w:r>
                      <w:instrText xml:space="preserve"> PAGE  \* MERGEFORMAT </w:instrText>
                    </w:r>
                    <w:r>
                      <w:fldChar w:fldCharType="separate"/>
                    </w:r>
                    <w:r>
                      <w:t>9</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posOffset>1857375</wp:posOffset>
              </wp:positionH>
              <wp:positionV relativeFrom="paragraph">
                <wp:posOffset>38100</wp:posOffset>
              </wp:positionV>
              <wp:extent cx="67310" cy="153035"/>
              <wp:effectExtent l="0" t="0" r="0" b="0"/>
              <wp:wrapNone/>
              <wp:docPr id="8" name="矩形 11"/>
              <wp:cNvGraphicFramePr/>
              <a:graphic xmlns:a="http://schemas.openxmlformats.org/drawingml/2006/main">
                <a:graphicData uri="http://schemas.microsoft.com/office/word/2010/wordprocessingShape">
                  <wps:wsp>
                    <wps:cNvSpPr/>
                    <wps:spPr>
                      <a:xfrm>
                        <a:off x="0" y="0"/>
                        <a:ext cx="67310" cy="153035"/>
                      </a:xfrm>
                      <a:prstGeom prst="rect">
                        <a:avLst/>
                      </a:prstGeom>
                      <a:noFill/>
                      <a:ln>
                        <a:noFill/>
                      </a:ln>
                    </wps:spPr>
                    <wps:txbx>
                      <w:txbxContent>
                        <w:p w14:paraId="55E7FCDD">
                          <w:pPr>
                            <w:snapToGrid w:val="0"/>
                            <w:rPr>
                              <w:sz w:val="18"/>
                            </w:rPr>
                          </w:pPr>
                        </w:p>
                      </w:txbxContent>
                    </wps:txbx>
                    <wps:bodyPr wrap="none" lIns="0" tIns="0" rIns="0" bIns="0" upright="1">
                      <a:spAutoFit/>
                    </wps:bodyPr>
                  </wps:wsp>
                </a:graphicData>
              </a:graphic>
            </wp:anchor>
          </w:drawing>
        </mc:Choice>
        <mc:Fallback>
          <w:pict>
            <v:rect id="矩形 11" o:spid="_x0000_s1026" o:spt="1" style="position:absolute;left:0pt;margin-left:146.25pt;margin-top:3pt;height:12.05pt;width:5.3pt;mso-position-horizontal-relative:margin;mso-wrap-style:none;z-index:251664384;mso-width-relative:page;mso-height-relative:page;" filled="f" stroked="f" coordsize="21600,21600" o:gfxdata="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TIgyHVAAAACAEAAA8AAAAAAAAAAQAgAAAAIgAAAGRycy9kb3ducmV2Lnht&#10;bFBLAQIUABQAAAAIAIdO4kCbId1AwwEAAIoDAAAOAAAAAAAAAAEAIAAAACQBAABkcnMvZTJvRG9j&#10;LnhtbFBLBQYAAAAABgAGAFkBAABZBQAAAAA=&#10;">
              <v:fill on="f" focussize="0,0"/>
              <v:stroke on="f"/>
              <v:imagedata o:title=""/>
              <o:lock v:ext="edit" aspectratio="f"/>
              <v:textbox inset="0mm,0mm,0mm,0mm" style="mso-fit-shape-to-text:t;">
                <w:txbxContent>
                  <w:p w14:paraId="55E7FCDD">
                    <w:pPr>
                      <w:snapToGrid w:val="0"/>
                      <w:rPr>
                        <w:sz w:val="18"/>
                      </w:rPr>
                    </w:pPr>
                  </w:p>
                </w:txbxContent>
              </v:textbox>
            </v:rect>
          </w:pict>
        </mc:Fallback>
      </mc:AlternateContent>
    </w:r>
    <w:r>
      <w:rPr>
        <w:rFonts w:hint="eastAsia" w:eastAsia="楷体_GB231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4F967">
    <w:pPr>
      <w:pStyle w:val="1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5AD18">
                          <w:pPr>
                            <w:pStyle w:val="16"/>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35AD18">
                    <w:pPr>
                      <w:pStyle w:val="16"/>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8FCA">
    <w:pPr>
      <w:pStyle w:val="16"/>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5AEAC">
                          <w:pPr>
                            <w:pStyle w:val="16"/>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B35AEAC">
                    <w:pPr>
                      <w:pStyle w:val="16"/>
                    </w:pPr>
                    <w:r>
                      <w:fldChar w:fldCharType="begin"/>
                    </w:r>
                    <w:r>
                      <w:instrText xml:space="preserve"> PAGE  \* MERGEFORMAT </w:instrText>
                    </w:r>
                    <w:r>
                      <w:fldChar w:fldCharType="separate"/>
                    </w:r>
                    <w:r>
                      <w:t>52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3AE0E">
    <w:pPr>
      <w:pStyle w:val="8"/>
      <w:pBdr>
        <w:bottom w:val="thinThickSmallGap" w:color="auto" w:sz="18" w:space="1"/>
      </w:pBdr>
      <w:tabs>
        <w:tab w:val="left" w:pos="5288"/>
        <w:tab w:val="right" w:pos="8851"/>
      </w:tabs>
      <w:jc w:val="right"/>
      <w:rPr>
        <w:b/>
        <w:bCs/>
      </w:rPr>
    </w:pPr>
    <w:r>
      <w:rPr>
        <w:rFonts w:hint="eastAsia"/>
        <w:b/>
        <w:bCs/>
        <w:lang w:eastAsia="zh-CN"/>
      </w:rPr>
      <w:t>山西省高技能人才培训基地建设项目</w:t>
    </w:r>
    <w:r>
      <w:rPr>
        <w:rFonts w:hint="eastAsia"/>
        <w:b/>
        <w:bCs/>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3NjI1N2Q5Y2RlNThhMDAyNTRmOWJkY2FhODdlM2IifQ=="/>
    <w:docVar w:name="KSO_WPS_MARK_KEY" w:val="10bb0ed8-ce50-4c0b-ade8-76f00cf16d0c"/>
  </w:docVars>
  <w:rsids>
    <w:rsidRoot w:val="00172A27"/>
    <w:rsid w:val="00072343"/>
    <w:rsid w:val="0012317A"/>
    <w:rsid w:val="00237A4A"/>
    <w:rsid w:val="003419EB"/>
    <w:rsid w:val="0035280F"/>
    <w:rsid w:val="00355AA0"/>
    <w:rsid w:val="004B7EC8"/>
    <w:rsid w:val="005D08BD"/>
    <w:rsid w:val="00634E46"/>
    <w:rsid w:val="008153FB"/>
    <w:rsid w:val="009E5347"/>
    <w:rsid w:val="00A27A28"/>
    <w:rsid w:val="00A42F47"/>
    <w:rsid w:val="00AC7804"/>
    <w:rsid w:val="00C50775"/>
    <w:rsid w:val="00D424E5"/>
    <w:rsid w:val="00E86CB0"/>
    <w:rsid w:val="00EA53AB"/>
    <w:rsid w:val="00FC09F3"/>
    <w:rsid w:val="00FC11F9"/>
    <w:rsid w:val="00FC5520"/>
    <w:rsid w:val="00FE1E0A"/>
    <w:rsid w:val="010000F0"/>
    <w:rsid w:val="01041EB3"/>
    <w:rsid w:val="019404F8"/>
    <w:rsid w:val="01B54584"/>
    <w:rsid w:val="02025351"/>
    <w:rsid w:val="022E1CC2"/>
    <w:rsid w:val="02B41F9E"/>
    <w:rsid w:val="0306110F"/>
    <w:rsid w:val="03B70C20"/>
    <w:rsid w:val="0431202E"/>
    <w:rsid w:val="04781A0B"/>
    <w:rsid w:val="048E3021"/>
    <w:rsid w:val="04937461"/>
    <w:rsid w:val="04F425A3"/>
    <w:rsid w:val="052D070E"/>
    <w:rsid w:val="05760640"/>
    <w:rsid w:val="05E37A97"/>
    <w:rsid w:val="065C5253"/>
    <w:rsid w:val="0662150D"/>
    <w:rsid w:val="06851564"/>
    <w:rsid w:val="06C066C4"/>
    <w:rsid w:val="06C91369"/>
    <w:rsid w:val="06CF0BC8"/>
    <w:rsid w:val="06CF34F6"/>
    <w:rsid w:val="07FF7769"/>
    <w:rsid w:val="080A5AC9"/>
    <w:rsid w:val="08674306"/>
    <w:rsid w:val="08BF7D52"/>
    <w:rsid w:val="08C978FA"/>
    <w:rsid w:val="08D039DB"/>
    <w:rsid w:val="08E65ADD"/>
    <w:rsid w:val="091343F8"/>
    <w:rsid w:val="09415433"/>
    <w:rsid w:val="0941694F"/>
    <w:rsid w:val="0A3C47F3"/>
    <w:rsid w:val="0AB166F8"/>
    <w:rsid w:val="0AF71AB8"/>
    <w:rsid w:val="0AFD3895"/>
    <w:rsid w:val="0B250744"/>
    <w:rsid w:val="0B6C4C2C"/>
    <w:rsid w:val="0BA15F4F"/>
    <w:rsid w:val="0BA63302"/>
    <w:rsid w:val="0BB0213A"/>
    <w:rsid w:val="0BE83537"/>
    <w:rsid w:val="0BF364D4"/>
    <w:rsid w:val="0C0A5975"/>
    <w:rsid w:val="0CDD2D53"/>
    <w:rsid w:val="0D033A28"/>
    <w:rsid w:val="0D0D23CC"/>
    <w:rsid w:val="0D136EB8"/>
    <w:rsid w:val="0E0D1A7B"/>
    <w:rsid w:val="0E1C2A90"/>
    <w:rsid w:val="0E213AB4"/>
    <w:rsid w:val="0E501413"/>
    <w:rsid w:val="0ED61957"/>
    <w:rsid w:val="0EDE0031"/>
    <w:rsid w:val="0EE97471"/>
    <w:rsid w:val="0F8B4D0B"/>
    <w:rsid w:val="0FED3546"/>
    <w:rsid w:val="0FF64C5D"/>
    <w:rsid w:val="100D19DD"/>
    <w:rsid w:val="10464231"/>
    <w:rsid w:val="104E0543"/>
    <w:rsid w:val="1077526D"/>
    <w:rsid w:val="10C50195"/>
    <w:rsid w:val="10F96B48"/>
    <w:rsid w:val="1115710A"/>
    <w:rsid w:val="11261849"/>
    <w:rsid w:val="119C322D"/>
    <w:rsid w:val="11B70D7E"/>
    <w:rsid w:val="11E2654A"/>
    <w:rsid w:val="125068A7"/>
    <w:rsid w:val="12940EDC"/>
    <w:rsid w:val="129452EA"/>
    <w:rsid w:val="13067DA1"/>
    <w:rsid w:val="13235B92"/>
    <w:rsid w:val="138C54D3"/>
    <w:rsid w:val="138D1D96"/>
    <w:rsid w:val="13B142BF"/>
    <w:rsid w:val="13D53DCE"/>
    <w:rsid w:val="13E840F4"/>
    <w:rsid w:val="144B4530"/>
    <w:rsid w:val="14D01EA0"/>
    <w:rsid w:val="14E93FFC"/>
    <w:rsid w:val="151C3C4C"/>
    <w:rsid w:val="159806CC"/>
    <w:rsid w:val="15D7342E"/>
    <w:rsid w:val="16561054"/>
    <w:rsid w:val="166B051D"/>
    <w:rsid w:val="1729245F"/>
    <w:rsid w:val="173051DB"/>
    <w:rsid w:val="173F7DC7"/>
    <w:rsid w:val="175D4A13"/>
    <w:rsid w:val="177F7B74"/>
    <w:rsid w:val="17905136"/>
    <w:rsid w:val="18BF1D95"/>
    <w:rsid w:val="18C200EE"/>
    <w:rsid w:val="18EA643D"/>
    <w:rsid w:val="19230B08"/>
    <w:rsid w:val="19630A84"/>
    <w:rsid w:val="198635CB"/>
    <w:rsid w:val="198C69E3"/>
    <w:rsid w:val="19E73D4B"/>
    <w:rsid w:val="19F1318C"/>
    <w:rsid w:val="1A091381"/>
    <w:rsid w:val="1A226C60"/>
    <w:rsid w:val="1A2E2E40"/>
    <w:rsid w:val="1ADF759C"/>
    <w:rsid w:val="1AFF273F"/>
    <w:rsid w:val="1B2B0077"/>
    <w:rsid w:val="1B6B3044"/>
    <w:rsid w:val="1C0F12E8"/>
    <w:rsid w:val="1CB23ED1"/>
    <w:rsid w:val="1CDA72AF"/>
    <w:rsid w:val="1D8F1E47"/>
    <w:rsid w:val="1D94745E"/>
    <w:rsid w:val="1DBB2756"/>
    <w:rsid w:val="1DCC2849"/>
    <w:rsid w:val="1E4F41FF"/>
    <w:rsid w:val="1E880475"/>
    <w:rsid w:val="1F0D5335"/>
    <w:rsid w:val="1F396426"/>
    <w:rsid w:val="200F0BE9"/>
    <w:rsid w:val="20337402"/>
    <w:rsid w:val="20B425AE"/>
    <w:rsid w:val="21466CC1"/>
    <w:rsid w:val="214D2251"/>
    <w:rsid w:val="214E201A"/>
    <w:rsid w:val="21C66054"/>
    <w:rsid w:val="22056AFB"/>
    <w:rsid w:val="227459D6"/>
    <w:rsid w:val="22AF1F84"/>
    <w:rsid w:val="22C801BE"/>
    <w:rsid w:val="22D05511"/>
    <w:rsid w:val="2302130E"/>
    <w:rsid w:val="230F6222"/>
    <w:rsid w:val="231E26CF"/>
    <w:rsid w:val="237965A9"/>
    <w:rsid w:val="238E0DF3"/>
    <w:rsid w:val="23AD1468"/>
    <w:rsid w:val="23DD6F1E"/>
    <w:rsid w:val="23EF0D3C"/>
    <w:rsid w:val="24B228BF"/>
    <w:rsid w:val="24C57ABB"/>
    <w:rsid w:val="24DC07AE"/>
    <w:rsid w:val="24E35931"/>
    <w:rsid w:val="259D6854"/>
    <w:rsid w:val="25AC2170"/>
    <w:rsid w:val="260704EC"/>
    <w:rsid w:val="264B4D7A"/>
    <w:rsid w:val="264F2B47"/>
    <w:rsid w:val="26661BB8"/>
    <w:rsid w:val="266B71CA"/>
    <w:rsid w:val="26814731"/>
    <w:rsid w:val="26E55EAD"/>
    <w:rsid w:val="26FB4305"/>
    <w:rsid w:val="27900662"/>
    <w:rsid w:val="27BD5AEA"/>
    <w:rsid w:val="27D84FB5"/>
    <w:rsid w:val="281B52C3"/>
    <w:rsid w:val="28481571"/>
    <w:rsid w:val="29A30A29"/>
    <w:rsid w:val="29BE5D84"/>
    <w:rsid w:val="29D02137"/>
    <w:rsid w:val="2A302AC8"/>
    <w:rsid w:val="2A97233B"/>
    <w:rsid w:val="2AA80CEA"/>
    <w:rsid w:val="2AB12879"/>
    <w:rsid w:val="2AFB4F6C"/>
    <w:rsid w:val="2B3E1763"/>
    <w:rsid w:val="2B4F6F30"/>
    <w:rsid w:val="2BC25C93"/>
    <w:rsid w:val="2C3A068B"/>
    <w:rsid w:val="2C7F0C86"/>
    <w:rsid w:val="2D1E73A5"/>
    <w:rsid w:val="2DB43E82"/>
    <w:rsid w:val="2DDE4E72"/>
    <w:rsid w:val="2DE2063A"/>
    <w:rsid w:val="2DEC299E"/>
    <w:rsid w:val="2DF3339D"/>
    <w:rsid w:val="2DFA155F"/>
    <w:rsid w:val="2E3902F1"/>
    <w:rsid w:val="2E3F5F0B"/>
    <w:rsid w:val="2F1A5892"/>
    <w:rsid w:val="2FB2540B"/>
    <w:rsid w:val="31193804"/>
    <w:rsid w:val="314D0758"/>
    <w:rsid w:val="31541070"/>
    <w:rsid w:val="31C94210"/>
    <w:rsid w:val="322546D1"/>
    <w:rsid w:val="325D3890"/>
    <w:rsid w:val="32D925E9"/>
    <w:rsid w:val="32FC3E2E"/>
    <w:rsid w:val="332E4EEB"/>
    <w:rsid w:val="33900270"/>
    <w:rsid w:val="33C543BD"/>
    <w:rsid w:val="33CB6BE2"/>
    <w:rsid w:val="347C7C24"/>
    <w:rsid w:val="34D46FEC"/>
    <w:rsid w:val="35020CF9"/>
    <w:rsid w:val="351C2841"/>
    <w:rsid w:val="359F0C3E"/>
    <w:rsid w:val="35AA21D2"/>
    <w:rsid w:val="35CA6727"/>
    <w:rsid w:val="35F336C1"/>
    <w:rsid w:val="35FB6968"/>
    <w:rsid w:val="360D5BA8"/>
    <w:rsid w:val="361F05F0"/>
    <w:rsid w:val="363B2715"/>
    <w:rsid w:val="368E4F3A"/>
    <w:rsid w:val="369A639C"/>
    <w:rsid w:val="36D64BFB"/>
    <w:rsid w:val="372F7D91"/>
    <w:rsid w:val="37F306BF"/>
    <w:rsid w:val="37F30C49"/>
    <w:rsid w:val="381625C9"/>
    <w:rsid w:val="383E18D9"/>
    <w:rsid w:val="38992EA5"/>
    <w:rsid w:val="38A6388C"/>
    <w:rsid w:val="38D67959"/>
    <w:rsid w:val="3927155F"/>
    <w:rsid w:val="396A2074"/>
    <w:rsid w:val="39B85EA1"/>
    <w:rsid w:val="3AC214F7"/>
    <w:rsid w:val="3B11613A"/>
    <w:rsid w:val="3B4F234D"/>
    <w:rsid w:val="3BAB20EB"/>
    <w:rsid w:val="3BC82C9D"/>
    <w:rsid w:val="3BD8099C"/>
    <w:rsid w:val="3CE533DA"/>
    <w:rsid w:val="3D1A3418"/>
    <w:rsid w:val="3D4520CB"/>
    <w:rsid w:val="3D8D37CB"/>
    <w:rsid w:val="3D944B92"/>
    <w:rsid w:val="3E2C3B21"/>
    <w:rsid w:val="3E3A3D5E"/>
    <w:rsid w:val="3E3C527C"/>
    <w:rsid w:val="3E94799B"/>
    <w:rsid w:val="3EE871B2"/>
    <w:rsid w:val="3EF50738"/>
    <w:rsid w:val="3F087199"/>
    <w:rsid w:val="3F122DC1"/>
    <w:rsid w:val="3F2E53FE"/>
    <w:rsid w:val="3F3363FF"/>
    <w:rsid w:val="3F473ED8"/>
    <w:rsid w:val="3F763150"/>
    <w:rsid w:val="3FDD65EB"/>
    <w:rsid w:val="40321691"/>
    <w:rsid w:val="408E1D26"/>
    <w:rsid w:val="40970D52"/>
    <w:rsid w:val="409B2FD1"/>
    <w:rsid w:val="40B00598"/>
    <w:rsid w:val="40B7235C"/>
    <w:rsid w:val="40E02F94"/>
    <w:rsid w:val="41742F7F"/>
    <w:rsid w:val="41B71D31"/>
    <w:rsid w:val="41EC6E66"/>
    <w:rsid w:val="427C37E7"/>
    <w:rsid w:val="42802F9E"/>
    <w:rsid w:val="42B93433"/>
    <w:rsid w:val="42D444E7"/>
    <w:rsid w:val="42ED0682"/>
    <w:rsid w:val="4366122A"/>
    <w:rsid w:val="43A12248"/>
    <w:rsid w:val="44205D69"/>
    <w:rsid w:val="44245DDA"/>
    <w:rsid w:val="44775260"/>
    <w:rsid w:val="44861E89"/>
    <w:rsid w:val="44995DFA"/>
    <w:rsid w:val="44BA15F0"/>
    <w:rsid w:val="44BA3BFD"/>
    <w:rsid w:val="44E67BAB"/>
    <w:rsid w:val="45BB117C"/>
    <w:rsid w:val="460B48DE"/>
    <w:rsid w:val="466903C2"/>
    <w:rsid w:val="46E14F0B"/>
    <w:rsid w:val="46F0086C"/>
    <w:rsid w:val="46FA7123"/>
    <w:rsid w:val="48006E60"/>
    <w:rsid w:val="486508D7"/>
    <w:rsid w:val="494F04B3"/>
    <w:rsid w:val="49926698"/>
    <w:rsid w:val="49C10D2B"/>
    <w:rsid w:val="49E36EF3"/>
    <w:rsid w:val="49EF65E5"/>
    <w:rsid w:val="4A2319E6"/>
    <w:rsid w:val="4A54627C"/>
    <w:rsid w:val="4A637A38"/>
    <w:rsid w:val="4A9400A1"/>
    <w:rsid w:val="4AB34963"/>
    <w:rsid w:val="4ABE5443"/>
    <w:rsid w:val="4ADF4FCC"/>
    <w:rsid w:val="4AFD5D93"/>
    <w:rsid w:val="4B08477A"/>
    <w:rsid w:val="4BF841D3"/>
    <w:rsid w:val="4C46110E"/>
    <w:rsid w:val="4CD676AF"/>
    <w:rsid w:val="4D234DBE"/>
    <w:rsid w:val="4D2407F9"/>
    <w:rsid w:val="4D27725C"/>
    <w:rsid w:val="4D4759EB"/>
    <w:rsid w:val="4DD33388"/>
    <w:rsid w:val="4DF36795"/>
    <w:rsid w:val="4E393586"/>
    <w:rsid w:val="4EC245E1"/>
    <w:rsid w:val="4F1860CD"/>
    <w:rsid w:val="4F3C7686"/>
    <w:rsid w:val="4F5B577E"/>
    <w:rsid w:val="4F7B48BD"/>
    <w:rsid w:val="4F802DF9"/>
    <w:rsid w:val="50130B14"/>
    <w:rsid w:val="505B60BD"/>
    <w:rsid w:val="50756481"/>
    <w:rsid w:val="507747BA"/>
    <w:rsid w:val="50F94698"/>
    <w:rsid w:val="52D27B05"/>
    <w:rsid w:val="52E7082F"/>
    <w:rsid w:val="53204D14"/>
    <w:rsid w:val="53CF54F2"/>
    <w:rsid w:val="541B1AAA"/>
    <w:rsid w:val="543D17CB"/>
    <w:rsid w:val="54880DC3"/>
    <w:rsid w:val="548D6278"/>
    <w:rsid w:val="548E3B93"/>
    <w:rsid w:val="54DA0EF3"/>
    <w:rsid w:val="54DF7C8D"/>
    <w:rsid w:val="54FD4030"/>
    <w:rsid w:val="555B0F34"/>
    <w:rsid w:val="55D43B94"/>
    <w:rsid w:val="55F216B9"/>
    <w:rsid w:val="562C577E"/>
    <w:rsid w:val="565D34E3"/>
    <w:rsid w:val="567005FD"/>
    <w:rsid w:val="56764C4B"/>
    <w:rsid w:val="573878F3"/>
    <w:rsid w:val="57726588"/>
    <w:rsid w:val="57AD28EF"/>
    <w:rsid w:val="583151B6"/>
    <w:rsid w:val="59303465"/>
    <w:rsid w:val="59692080"/>
    <w:rsid w:val="59C05157"/>
    <w:rsid w:val="59E446A4"/>
    <w:rsid w:val="59E732CF"/>
    <w:rsid w:val="5A015539"/>
    <w:rsid w:val="5A472465"/>
    <w:rsid w:val="5A7B6CD4"/>
    <w:rsid w:val="5A941317"/>
    <w:rsid w:val="5AA1673B"/>
    <w:rsid w:val="5AC82480"/>
    <w:rsid w:val="5B131F4B"/>
    <w:rsid w:val="5BD0244E"/>
    <w:rsid w:val="5BD0539A"/>
    <w:rsid w:val="5C2A7642"/>
    <w:rsid w:val="5CDC7EFE"/>
    <w:rsid w:val="5CF34CB4"/>
    <w:rsid w:val="5D107BA8"/>
    <w:rsid w:val="5D35760E"/>
    <w:rsid w:val="5E6A153A"/>
    <w:rsid w:val="5EF1141E"/>
    <w:rsid w:val="5EFD415C"/>
    <w:rsid w:val="5F732DD2"/>
    <w:rsid w:val="5FCA6590"/>
    <w:rsid w:val="5FE36D97"/>
    <w:rsid w:val="5FF34ACD"/>
    <w:rsid w:val="604C7149"/>
    <w:rsid w:val="608E682C"/>
    <w:rsid w:val="60DE7A3C"/>
    <w:rsid w:val="60E465F8"/>
    <w:rsid w:val="613D6861"/>
    <w:rsid w:val="616A3814"/>
    <w:rsid w:val="618340BC"/>
    <w:rsid w:val="618B5A4F"/>
    <w:rsid w:val="61B265CD"/>
    <w:rsid w:val="62383691"/>
    <w:rsid w:val="624157A0"/>
    <w:rsid w:val="62BC5A9D"/>
    <w:rsid w:val="63024A04"/>
    <w:rsid w:val="631C6E3B"/>
    <w:rsid w:val="63624398"/>
    <w:rsid w:val="636B16AB"/>
    <w:rsid w:val="63D61B74"/>
    <w:rsid w:val="64BB4135"/>
    <w:rsid w:val="64EE4C72"/>
    <w:rsid w:val="64F93617"/>
    <w:rsid w:val="653A5EDE"/>
    <w:rsid w:val="65695A9D"/>
    <w:rsid w:val="65F02272"/>
    <w:rsid w:val="65FF6D7F"/>
    <w:rsid w:val="66455C0A"/>
    <w:rsid w:val="66723681"/>
    <w:rsid w:val="66DB485A"/>
    <w:rsid w:val="672955C7"/>
    <w:rsid w:val="67F748C8"/>
    <w:rsid w:val="68092E60"/>
    <w:rsid w:val="680A747A"/>
    <w:rsid w:val="683A4923"/>
    <w:rsid w:val="68476448"/>
    <w:rsid w:val="686E772E"/>
    <w:rsid w:val="68875228"/>
    <w:rsid w:val="68953657"/>
    <w:rsid w:val="68D55BD2"/>
    <w:rsid w:val="690347FE"/>
    <w:rsid w:val="691D7AC3"/>
    <w:rsid w:val="6935760F"/>
    <w:rsid w:val="69F62FC2"/>
    <w:rsid w:val="6A080D80"/>
    <w:rsid w:val="6A174D2B"/>
    <w:rsid w:val="6A755A6A"/>
    <w:rsid w:val="6AD3138B"/>
    <w:rsid w:val="6B1674B2"/>
    <w:rsid w:val="6B2111D2"/>
    <w:rsid w:val="6B704EA3"/>
    <w:rsid w:val="6B8B7271"/>
    <w:rsid w:val="6C263FA5"/>
    <w:rsid w:val="6C4369B9"/>
    <w:rsid w:val="6C4B6506"/>
    <w:rsid w:val="6C6E0447"/>
    <w:rsid w:val="6C802402"/>
    <w:rsid w:val="6C8E34E1"/>
    <w:rsid w:val="6CB273B4"/>
    <w:rsid w:val="6CCB5899"/>
    <w:rsid w:val="6CED0AE6"/>
    <w:rsid w:val="6CFB03E2"/>
    <w:rsid w:val="6D0025F0"/>
    <w:rsid w:val="6D667370"/>
    <w:rsid w:val="6D745F31"/>
    <w:rsid w:val="6D952B5D"/>
    <w:rsid w:val="6DBE53FE"/>
    <w:rsid w:val="6E041A01"/>
    <w:rsid w:val="6E1B63AC"/>
    <w:rsid w:val="6E3D332B"/>
    <w:rsid w:val="6EAE0FCF"/>
    <w:rsid w:val="6EEB62D7"/>
    <w:rsid w:val="6F40694F"/>
    <w:rsid w:val="6FF153BB"/>
    <w:rsid w:val="7054413D"/>
    <w:rsid w:val="70781894"/>
    <w:rsid w:val="70E04649"/>
    <w:rsid w:val="71066EA0"/>
    <w:rsid w:val="71D07EB6"/>
    <w:rsid w:val="72165809"/>
    <w:rsid w:val="722D66AE"/>
    <w:rsid w:val="72393ABD"/>
    <w:rsid w:val="728935DD"/>
    <w:rsid w:val="72B172DF"/>
    <w:rsid w:val="72B4710D"/>
    <w:rsid w:val="73006C33"/>
    <w:rsid w:val="731E0187"/>
    <w:rsid w:val="738B5D82"/>
    <w:rsid w:val="73B02EB9"/>
    <w:rsid w:val="74500194"/>
    <w:rsid w:val="745A3E98"/>
    <w:rsid w:val="748D0748"/>
    <w:rsid w:val="74967A55"/>
    <w:rsid w:val="754B791C"/>
    <w:rsid w:val="75792148"/>
    <w:rsid w:val="75E43528"/>
    <w:rsid w:val="767E572A"/>
    <w:rsid w:val="7691426F"/>
    <w:rsid w:val="774B2359"/>
    <w:rsid w:val="77A36CBF"/>
    <w:rsid w:val="77B3120E"/>
    <w:rsid w:val="77D30643"/>
    <w:rsid w:val="780F5216"/>
    <w:rsid w:val="783D3237"/>
    <w:rsid w:val="78497340"/>
    <w:rsid w:val="788F7CA4"/>
    <w:rsid w:val="78922B2F"/>
    <w:rsid w:val="78B73604"/>
    <w:rsid w:val="791C734C"/>
    <w:rsid w:val="797A07C3"/>
    <w:rsid w:val="79B129DC"/>
    <w:rsid w:val="79C93160"/>
    <w:rsid w:val="7ACA412B"/>
    <w:rsid w:val="7AE00762"/>
    <w:rsid w:val="7B7610C6"/>
    <w:rsid w:val="7B836C78"/>
    <w:rsid w:val="7BA95DA2"/>
    <w:rsid w:val="7BD028B3"/>
    <w:rsid w:val="7BEB4F06"/>
    <w:rsid w:val="7C056A6D"/>
    <w:rsid w:val="7C2D2C02"/>
    <w:rsid w:val="7C641053"/>
    <w:rsid w:val="7CB564A2"/>
    <w:rsid w:val="7CB83544"/>
    <w:rsid w:val="7CBA4E59"/>
    <w:rsid w:val="7CD10CAA"/>
    <w:rsid w:val="7CD20FF8"/>
    <w:rsid w:val="7CD56CEC"/>
    <w:rsid w:val="7D3E5C13"/>
    <w:rsid w:val="7D6943B3"/>
    <w:rsid w:val="7D8F5280"/>
    <w:rsid w:val="7DB07DDA"/>
    <w:rsid w:val="7E7727A2"/>
    <w:rsid w:val="7E8E4568"/>
    <w:rsid w:val="7ED96B27"/>
    <w:rsid w:val="7EFE38AC"/>
    <w:rsid w:val="7F0A624C"/>
    <w:rsid w:val="7F1938EE"/>
    <w:rsid w:val="7F5C05D3"/>
    <w:rsid w:val="7F955D9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link w:val="38"/>
    <w:autoRedefine/>
    <w:qFormat/>
    <w:uiPriority w:val="0"/>
    <w:pPr>
      <w:keepNext/>
      <w:keepLines/>
      <w:spacing w:before="100" w:after="90" w:line="240" w:lineRule="auto"/>
      <w:jc w:val="center"/>
      <w:outlineLvl w:val="0"/>
    </w:pPr>
    <w:rPr>
      <w:rFonts w:ascii="Times New Roman" w:hAnsi="Times New Roman" w:eastAsia="宋体" w:cs="Times New Roman"/>
      <w:b/>
      <w:bCs/>
      <w:kern w:val="44"/>
      <w:sz w:val="32"/>
      <w:szCs w:val="44"/>
    </w:rPr>
  </w:style>
  <w:style w:type="paragraph" w:styleId="3">
    <w:name w:val="heading 2"/>
    <w:basedOn w:val="1"/>
    <w:next w:val="1"/>
    <w:autoRedefine/>
    <w:qFormat/>
    <w:uiPriority w:val="0"/>
    <w:pPr>
      <w:jc w:val="left"/>
      <w:outlineLvl w:val="1"/>
    </w:pPr>
    <w:rPr>
      <w:rFonts w:hint="eastAsia" w:ascii="宋体" w:hAnsi="宋体" w:eastAsia="宋体" w:cs="Times New Roman"/>
      <w:kern w:val="0"/>
      <w:sz w:val="24"/>
      <w:szCs w:val="24"/>
      <w:lang w:val="en-US" w:eastAsia="zh-CN" w:bidi="ar-SA"/>
    </w:rPr>
  </w:style>
  <w:style w:type="paragraph" w:styleId="4">
    <w:name w:val="heading 3"/>
    <w:basedOn w:val="1"/>
    <w:next w:val="1"/>
    <w:autoRedefine/>
    <w:qFormat/>
    <w:uiPriority w:val="0"/>
    <w:pPr>
      <w:keepNext/>
      <w:keepLines/>
      <w:spacing w:before="260" w:after="260" w:line="412" w:lineRule="auto"/>
      <w:ind w:firstLine="49" w:firstLineChars="49"/>
      <w:jc w:val="center"/>
      <w:outlineLvl w:val="2"/>
    </w:pPr>
    <w:rPr>
      <w:rFonts w:ascii="黑体" w:hAnsi="黑体"/>
      <w:b/>
      <w:sz w:val="24"/>
      <w:szCs w:val="20"/>
    </w:rPr>
  </w:style>
  <w:style w:type="paragraph" w:styleId="5">
    <w:name w:val="heading 4"/>
    <w:basedOn w:val="1"/>
    <w:next w:val="1"/>
    <w:autoRedefine/>
    <w:qFormat/>
    <w:uiPriority w:val="0"/>
    <w:pPr>
      <w:keepNext/>
      <w:keepLines/>
      <w:tabs>
        <w:tab w:val="left" w:pos="420"/>
      </w:tabs>
      <w:spacing w:before="280" w:after="290" w:line="376" w:lineRule="auto"/>
      <w:ind w:left="420" w:hanging="420"/>
      <w:outlineLvl w:val="3"/>
    </w:pPr>
    <w:rPr>
      <w:rFonts w:ascii="Cambria" w:hAnsi="Cambria" w:eastAsia="宋体" w:cs="Times New Roman"/>
      <w:b/>
      <w:bCs/>
      <w:sz w:val="28"/>
      <w:szCs w:val="28"/>
      <w:lang w:val="en-US" w:eastAsia="zh-CN" w:bidi="ar-SA"/>
    </w:rPr>
  </w:style>
  <w:style w:type="character" w:default="1" w:styleId="28">
    <w:name w:val="Default Paragraph Font"/>
    <w:autoRedefine/>
    <w:qFormat/>
    <w:uiPriority w:val="0"/>
    <w:rPr>
      <w:rFonts w:ascii="Times New Roman" w:hAnsi="Times New Roman" w:eastAsia="宋体" w:cs="Times New Roman"/>
      <w:lang w:val="en-US" w:eastAsia="zh-CN" w:bidi="ar-SA"/>
    </w:rPr>
  </w:style>
  <w:style w:type="table" w:default="1" w:styleId="26">
    <w:name w:val="Normal Table"/>
    <w:autoRedefine/>
    <w:qFormat/>
    <w:uiPriority w:val="0"/>
    <w:rPr>
      <w:rFonts w:ascii="Times New Roman" w:hAnsi="Times New Roman" w:eastAsia="宋体" w:cs="Times New Roman"/>
      <w:lang w:val="en-US" w:eastAsia="zh-CN" w:bidi="ar-SA"/>
    </w:rPr>
    <w:tblPr>
      <w:tblCellMar>
        <w:top w:w="0" w:type="dxa"/>
        <w:left w:w="108" w:type="dxa"/>
        <w:bottom w:w="0" w:type="dxa"/>
        <w:right w:w="108" w:type="dxa"/>
      </w:tblCellMar>
    </w:tblPr>
  </w:style>
  <w:style w:type="paragraph" w:styleId="6">
    <w:name w:val="table of authorities"/>
    <w:basedOn w:val="1"/>
    <w:next w:val="1"/>
    <w:autoRedefine/>
    <w:qFormat/>
    <w:uiPriority w:val="0"/>
    <w:pPr>
      <w:ind w:left="420" w:leftChars="200"/>
    </w:pPr>
    <w:rPr>
      <w:rFonts w:ascii="Times New Roman" w:hAnsi="Times New Roman" w:eastAsia="宋体" w:cs="Times New Roman"/>
      <w:lang w:val="en-US" w:eastAsia="zh-CN" w:bidi="ar-SA"/>
    </w:rPr>
  </w:style>
  <w:style w:type="paragraph" w:styleId="7">
    <w:name w:val="Normal Indent"/>
    <w:basedOn w:val="1"/>
    <w:next w:val="8"/>
    <w:autoRedefine/>
    <w:qFormat/>
    <w:uiPriority w:val="0"/>
    <w:pPr>
      <w:autoSpaceDE w:val="0"/>
      <w:autoSpaceDN w:val="0"/>
      <w:adjustRightInd w:val="0"/>
      <w:spacing w:line="315" w:lineRule="atLeast"/>
      <w:ind w:firstLine="420"/>
    </w:pPr>
    <w:rPr>
      <w:rFonts w:ascii="楷体_GB2312" w:hAnsi="Tahoma" w:eastAsia="楷体_GB2312"/>
      <w:kern w:val="0"/>
      <w:szCs w:val="20"/>
    </w:rPr>
  </w:style>
  <w:style w:type="paragraph" w:styleId="8">
    <w:name w:val="header"/>
    <w:basedOn w:val="1"/>
    <w:next w:val="9"/>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sz w:val="18"/>
      <w:lang w:val="en-US" w:eastAsia="zh-CN" w:bidi="ar-SA"/>
    </w:rPr>
  </w:style>
  <w:style w:type="paragraph" w:styleId="9">
    <w:name w:val="annotation text"/>
    <w:basedOn w:val="1"/>
    <w:autoRedefine/>
    <w:qFormat/>
    <w:uiPriority w:val="0"/>
    <w:rPr>
      <w:rFonts w:ascii="Tahoma" w:hAnsi="Tahoma"/>
      <w:sz w:val="21"/>
    </w:rPr>
  </w:style>
  <w:style w:type="paragraph" w:styleId="10">
    <w:name w:val="toa heading"/>
    <w:basedOn w:val="1"/>
    <w:next w:val="1"/>
    <w:autoRedefine/>
    <w:qFormat/>
    <w:uiPriority w:val="0"/>
    <w:pPr>
      <w:spacing w:before="120"/>
    </w:pPr>
    <w:rPr>
      <w:rFonts w:ascii="Arial" w:hAnsi="Arial" w:eastAsia="宋体" w:cs="Times New Roman"/>
      <w:sz w:val="24"/>
      <w:lang w:val="en-US" w:eastAsia="zh-CN" w:bidi="ar-SA"/>
    </w:rPr>
  </w:style>
  <w:style w:type="paragraph" w:styleId="11">
    <w:name w:val="Body Text"/>
    <w:basedOn w:val="1"/>
    <w:next w:val="1"/>
    <w:autoRedefine/>
    <w:qFormat/>
    <w:uiPriority w:val="0"/>
    <w:pPr>
      <w:spacing w:line="360" w:lineRule="auto"/>
    </w:pPr>
    <w:rPr>
      <w:rFonts w:ascii="黑体" w:hAnsi="黑体" w:eastAsia="宋体" w:cs="Times New Roman"/>
      <w:sz w:val="24"/>
      <w:lang w:val="en-US" w:eastAsia="zh-CN" w:bidi="ar-SA"/>
    </w:rPr>
  </w:style>
  <w:style w:type="paragraph" w:styleId="12">
    <w:name w:val="Body Text Indent"/>
    <w:basedOn w:val="1"/>
    <w:autoRedefine/>
    <w:qFormat/>
    <w:uiPriority w:val="0"/>
    <w:pPr>
      <w:spacing w:after="120"/>
      <w:ind w:left="420" w:leftChars="200"/>
    </w:pPr>
    <w:rPr>
      <w:rFonts w:ascii="Times New Roman" w:hAnsi="Times New Roman" w:eastAsia="宋体" w:cs="Times New Roman"/>
      <w:lang w:val="en-US" w:eastAsia="zh-CN" w:bidi="ar-SA"/>
    </w:rPr>
  </w:style>
  <w:style w:type="paragraph" w:styleId="13">
    <w:name w:val="List 2"/>
    <w:basedOn w:val="1"/>
    <w:autoRedefine/>
    <w:qFormat/>
    <w:uiPriority w:val="0"/>
    <w:pPr>
      <w:ind w:left="100" w:leftChars="200" w:hanging="200" w:hangingChars="200"/>
    </w:pPr>
  </w:style>
  <w:style w:type="paragraph" w:styleId="14">
    <w:name w:val="Plain Text"/>
    <w:basedOn w:val="1"/>
    <w:autoRedefine/>
    <w:qFormat/>
    <w:uiPriority w:val="0"/>
    <w:rPr>
      <w:rFonts w:ascii="宋体" w:hAnsi="Courier New" w:eastAsia="宋体" w:cs="Courier New"/>
      <w:szCs w:val="21"/>
      <w:lang w:val="en-US" w:eastAsia="zh-CN" w:bidi="ar-SA"/>
    </w:rPr>
  </w:style>
  <w:style w:type="paragraph" w:styleId="15">
    <w:name w:val="Balloon Text"/>
    <w:basedOn w:val="1"/>
    <w:link w:val="39"/>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lang w:val="en-US" w:eastAsia="zh-CN" w:bidi="ar-SA"/>
    </w:rPr>
  </w:style>
  <w:style w:type="paragraph" w:styleId="17">
    <w:name w:val="envelope return"/>
    <w:basedOn w:val="1"/>
    <w:autoRedefine/>
    <w:unhideWhenUsed/>
    <w:qFormat/>
    <w:uiPriority w:val="99"/>
    <w:pPr>
      <w:snapToGrid w:val="0"/>
    </w:pPr>
    <w:rPr>
      <w:rFonts w:ascii="Arial" w:hAnsi="Arial"/>
    </w:rPr>
  </w:style>
  <w:style w:type="paragraph" w:styleId="18">
    <w:name w:val="toc 1"/>
    <w:basedOn w:val="19"/>
    <w:next w:val="1"/>
    <w:autoRedefine/>
    <w:qFormat/>
    <w:uiPriority w:val="0"/>
    <w:pPr>
      <w:widowControl/>
      <w:spacing w:before="120" w:after="120"/>
      <w:jc w:val="left"/>
    </w:pPr>
    <w:rPr>
      <w:b/>
      <w:bCs/>
      <w:caps/>
      <w:kern w:val="0"/>
      <w:sz w:val="20"/>
    </w:rPr>
  </w:style>
  <w:style w:type="paragraph" w:styleId="19">
    <w:name w:val="index 1"/>
    <w:basedOn w:val="1"/>
    <w:next w:val="1"/>
    <w:autoRedefine/>
    <w:qFormat/>
    <w:uiPriority w:val="0"/>
    <w:pPr>
      <w:spacing w:line="220" w:lineRule="exact"/>
      <w:jc w:val="center"/>
    </w:pPr>
    <w:rPr>
      <w:rFonts w:ascii="仿宋_GB2312" w:eastAsia="仿宋_GB2312"/>
      <w:szCs w:val="20"/>
    </w:rPr>
  </w:style>
  <w:style w:type="paragraph" w:styleId="20">
    <w:name w:val="toc 2"/>
    <w:basedOn w:val="1"/>
    <w:next w:val="1"/>
    <w:autoRedefine/>
    <w:qFormat/>
    <w:uiPriority w:val="39"/>
    <w:pPr>
      <w:ind w:left="210"/>
      <w:jc w:val="left"/>
    </w:pPr>
    <w:rPr>
      <w:rFonts w:ascii="Calibri" w:hAnsi="Calibri"/>
      <w:smallCaps/>
      <w:sz w:val="20"/>
      <w:szCs w:val="20"/>
    </w:rPr>
  </w:style>
  <w:style w:type="paragraph" w:styleId="21">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pPr>
  </w:style>
  <w:style w:type="paragraph" w:styleId="22">
    <w:name w:val="Normal (Web)"/>
    <w:basedOn w:val="1"/>
    <w:autoRedefine/>
    <w:qFormat/>
    <w:uiPriority w:val="0"/>
    <w:pPr>
      <w:widowControl/>
      <w:spacing w:before="100" w:beforeAutospacing="1" w:after="100" w:afterAutospacing="1"/>
      <w:jc w:val="left"/>
    </w:pPr>
    <w:rPr>
      <w:rFonts w:ascii="宋体" w:hAnsi="宋体" w:eastAsia="宋体" w:cs="宋体"/>
      <w:kern w:val="0"/>
      <w:sz w:val="24"/>
      <w:lang w:val="en-US" w:eastAsia="zh-CN" w:bidi="ar-SA"/>
    </w:rPr>
  </w:style>
  <w:style w:type="paragraph" w:styleId="23">
    <w:name w:val="Title"/>
    <w:basedOn w:val="1"/>
    <w:next w:val="1"/>
    <w:autoRedefine/>
    <w:qFormat/>
    <w:uiPriority w:val="0"/>
    <w:pPr>
      <w:spacing w:before="240" w:after="60"/>
      <w:jc w:val="center"/>
      <w:outlineLvl w:val="0"/>
    </w:pPr>
    <w:rPr>
      <w:rFonts w:ascii="Arial" w:hAnsi="Arial" w:eastAsia="宋体" w:cs="Arial"/>
      <w:b/>
      <w:bCs/>
      <w:sz w:val="32"/>
      <w:szCs w:val="32"/>
      <w:lang w:val="en-US" w:eastAsia="zh-CN" w:bidi="ar-SA"/>
    </w:rPr>
  </w:style>
  <w:style w:type="paragraph" w:styleId="24">
    <w:name w:val="Body Text First Indent"/>
    <w:basedOn w:val="11"/>
    <w:autoRedefine/>
    <w:qFormat/>
    <w:uiPriority w:val="0"/>
    <w:pPr>
      <w:ind w:firstLine="420" w:firstLineChars="100"/>
    </w:pPr>
  </w:style>
  <w:style w:type="paragraph" w:styleId="25">
    <w:name w:val="Body Text First Indent 2"/>
    <w:basedOn w:val="12"/>
    <w:autoRedefine/>
    <w:qFormat/>
    <w:uiPriority w:val="0"/>
    <w:pPr>
      <w:ind w:firstLine="420" w:firstLineChars="200"/>
    </w:pPr>
    <w:rPr>
      <w:rFonts w:ascii="Times New Roman" w:hAnsi="Times New Roman" w:eastAsia="宋体" w:cs="Times New Roman"/>
      <w:lang w:val="en-US" w:eastAsia="zh-CN" w:bidi="ar-SA"/>
    </w:rPr>
  </w:style>
  <w:style w:type="table" w:styleId="27">
    <w:name w:val="Table Grid"/>
    <w:basedOn w:val="26"/>
    <w:autoRedefine/>
    <w:qFormat/>
    <w:uiPriority w:val="0"/>
    <w:pPr>
      <w:widowControl w:val="0"/>
      <w:jc w:val="both"/>
    </w:pPr>
    <w:rPr>
      <w:rFonts w:ascii="Times New Roman" w:hAnsi="Times New Roman" w:eastAsia="宋体" w:cs="Times New Roman"/>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rFonts w:ascii="Times New Roman" w:hAnsi="Times New Roman" w:eastAsia="宋体" w:cs="Times New Roman"/>
      <w:b/>
      <w:bCs/>
      <w:lang w:val="en-US" w:eastAsia="zh-CN" w:bidi="ar-SA"/>
    </w:rPr>
  </w:style>
  <w:style w:type="character" w:styleId="30">
    <w:name w:val="page number"/>
    <w:autoRedefine/>
    <w:qFormat/>
    <w:uiPriority w:val="0"/>
    <w:rPr>
      <w:rFonts w:ascii="Times New Roman" w:hAnsi="Times New Roman" w:eastAsia="宋体" w:cs="Times New Roman"/>
      <w:lang w:val="en-US" w:eastAsia="zh-CN" w:bidi="ar-SA"/>
    </w:rPr>
  </w:style>
  <w:style w:type="character" w:styleId="31">
    <w:name w:val="FollowedHyperlink"/>
    <w:autoRedefine/>
    <w:qFormat/>
    <w:uiPriority w:val="0"/>
    <w:rPr>
      <w:rFonts w:ascii="Times New Roman" w:hAnsi="Times New Roman" w:eastAsia="宋体" w:cs="Times New Roman"/>
      <w:color w:val="800080"/>
      <w:u w:val="none"/>
      <w:lang w:val="en-US" w:eastAsia="zh-CN" w:bidi="ar-SA"/>
    </w:rPr>
  </w:style>
  <w:style w:type="character" w:styleId="32">
    <w:name w:val="Hyperlink"/>
    <w:autoRedefine/>
    <w:qFormat/>
    <w:uiPriority w:val="0"/>
    <w:rPr>
      <w:rFonts w:ascii="Times New Roman" w:hAnsi="Times New Roman" w:eastAsia="宋体" w:cs="Times New Roman"/>
      <w:color w:val="0000FF"/>
      <w:u w:val="none"/>
      <w:lang w:val="en-US" w:eastAsia="zh-CN" w:bidi="ar-SA"/>
    </w:rPr>
  </w:style>
  <w:style w:type="character" w:styleId="33">
    <w:name w:val="annotation reference"/>
    <w:autoRedefine/>
    <w:qFormat/>
    <w:uiPriority w:val="0"/>
    <w:rPr>
      <w:sz w:val="21"/>
    </w:rPr>
  </w:style>
  <w:style w:type="character" w:styleId="34">
    <w:name w:val="HTML Sample"/>
    <w:basedOn w:val="28"/>
    <w:qFormat/>
    <w:uiPriority w:val="0"/>
    <w:rPr>
      <w:rFonts w:ascii="Courier New" w:hAnsi="Courier New"/>
    </w:rPr>
  </w:style>
  <w:style w:type="paragraph" w:customStyle="1" w:styleId="35">
    <w:name w:val="样式 纯文本文章正文 + 左  0 字符"/>
    <w:basedOn w:val="1"/>
    <w:autoRedefine/>
    <w:qFormat/>
    <w:uiPriority w:val="0"/>
    <w:pPr>
      <w:ind w:firstLine="560"/>
    </w:pPr>
    <w:rPr>
      <w:rFonts w:ascii="宋体" w:hAnsi="Courier New" w:cs="宋体"/>
      <w:sz w:val="28"/>
      <w:szCs w:val="20"/>
    </w:rPr>
  </w:style>
  <w:style w:type="paragraph" w:customStyle="1" w:styleId="36">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7">
    <w:name w:val="段"/>
    <w:next w:val="1"/>
    <w:autoRedefine/>
    <w:qFormat/>
    <w:uiPriority w:val="0"/>
    <w:pPr>
      <w:autoSpaceDE w:val="0"/>
      <w:autoSpaceDN w:val="0"/>
      <w:ind w:firstLine="420" w:firstLineChars="200"/>
      <w:jc w:val="both"/>
    </w:pPr>
    <w:rPr>
      <w:rFonts w:ascii="宋体" w:hAnsi="Calibri" w:eastAsia="宋体" w:cs="宋体"/>
      <w:sz w:val="21"/>
      <w:lang w:val="en-US" w:eastAsia="zh-CN" w:bidi="ar-SA"/>
    </w:rPr>
  </w:style>
  <w:style w:type="character" w:customStyle="1" w:styleId="38">
    <w:name w:val="标题 1 Char"/>
    <w:link w:val="2"/>
    <w:autoRedefine/>
    <w:qFormat/>
    <w:uiPriority w:val="0"/>
    <w:rPr>
      <w:rFonts w:ascii="Times New Roman" w:hAnsi="Times New Roman" w:eastAsia="宋体" w:cs="Times New Roman"/>
      <w:b/>
      <w:bCs/>
      <w:kern w:val="44"/>
      <w:sz w:val="32"/>
      <w:szCs w:val="44"/>
    </w:rPr>
  </w:style>
  <w:style w:type="character" w:customStyle="1" w:styleId="39">
    <w:name w:val="批注框文本 Char"/>
    <w:link w:val="15"/>
    <w:autoRedefine/>
    <w:qFormat/>
    <w:uiPriority w:val="0"/>
    <w:rPr>
      <w:rFonts w:ascii="Calibri" w:hAnsi="Calibri" w:eastAsia="宋体" w:cs="Times New Roman"/>
      <w:kern w:val="2"/>
      <w:sz w:val="18"/>
      <w:szCs w:val="18"/>
      <w:lang w:val="en-US" w:eastAsia="zh-CN" w:bidi="ar-SA"/>
    </w:rPr>
  </w:style>
  <w:style w:type="character" w:customStyle="1" w:styleId="40">
    <w:name w:val="NormalCharacter"/>
    <w:autoRedefine/>
    <w:qFormat/>
    <w:uiPriority w:val="0"/>
    <w:rPr>
      <w:rFonts w:ascii="Calibri" w:hAnsi="Calibri"/>
      <w:kern w:val="2"/>
      <w:sz w:val="21"/>
      <w:lang w:val="en-US" w:eastAsia="zh-CN" w:bidi="ar-SA"/>
    </w:rPr>
  </w:style>
  <w:style w:type="paragraph" w:customStyle="1" w:styleId="41">
    <w:name w:val="UserStyle_1"/>
    <w:basedOn w:val="1"/>
    <w:autoRedefine/>
    <w:qFormat/>
    <w:uiPriority w:val="0"/>
    <w:pPr>
      <w:widowControl/>
      <w:tabs>
        <w:tab w:val="left" w:pos="2835"/>
        <w:tab w:val="left" w:pos="3119"/>
        <w:tab w:val="left" w:pos="3402"/>
        <w:tab w:val="left" w:pos="3686"/>
        <w:tab w:val="left" w:pos="3969"/>
        <w:tab w:val="left" w:pos="4253"/>
      </w:tabs>
      <w:ind w:left="2552"/>
      <w:textAlignment w:val="baseline"/>
    </w:pPr>
    <w:rPr>
      <w:rFonts w:ascii="Times New Roman" w:hAnsi="Times New Roman" w:eastAsia="宋体" w:cs="Times New Roman"/>
      <w:lang w:val="en-US" w:eastAsia="zh-CN" w:bidi="ar-SA"/>
    </w:rPr>
  </w:style>
  <w:style w:type="paragraph" w:customStyle="1" w:styleId="42">
    <w:name w:val="首行缩进"/>
    <w:basedOn w:val="1"/>
    <w:autoRedefine/>
    <w:qFormat/>
    <w:uiPriority w:val="0"/>
    <w:pPr>
      <w:spacing w:line="360" w:lineRule="auto"/>
      <w:ind w:firstLine="480" w:firstLineChars="200"/>
    </w:pPr>
    <w:rPr>
      <w:rFonts w:ascii="Times New Roman" w:hAnsi="Times New Roman" w:eastAsia="宋体" w:cs="Times New Roman"/>
      <w:sz w:val="24"/>
      <w:szCs w:val="22"/>
      <w:lang w:val="zh-CN" w:eastAsia="zh-CN" w:bidi="ar-SA"/>
    </w:rPr>
  </w:style>
  <w:style w:type="paragraph" w:customStyle="1" w:styleId="43">
    <w:name w:val="WPSOffice手动目录 1"/>
    <w:autoRedefine/>
    <w:qFormat/>
    <w:uiPriority w:val="0"/>
    <w:rPr>
      <w:rFonts w:ascii="Calibri" w:hAnsi="Calibri" w:eastAsia="宋体" w:cs="Times New Roman"/>
      <w:lang w:val="en-US" w:eastAsia="zh-CN" w:bidi="ar-SA"/>
    </w:rPr>
  </w:style>
  <w:style w:type="paragraph" w:customStyle="1" w:styleId="44">
    <w:name w:val="Body Text 21"/>
    <w:basedOn w:val="1"/>
    <w:autoRedefine/>
    <w:qFormat/>
    <w:uiPriority w:val="0"/>
    <w:pPr>
      <w:spacing w:line="480" w:lineRule="auto"/>
    </w:pPr>
    <w:rPr>
      <w:sz w:val="20"/>
    </w:rPr>
  </w:style>
  <w:style w:type="paragraph" w:customStyle="1" w:styleId="45">
    <w:name w:val="列出段落1"/>
    <w:basedOn w:val="1"/>
    <w:autoRedefine/>
    <w:qFormat/>
    <w:uiPriority w:val="0"/>
    <w:pPr>
      <w:ind w:firstLine="420" w:firstLineChars="200"/>
    </w:pPr>
    <w:rPr>
      <w:rFonts w:ascii="Times New Roman" w:hAnsi="Times New Roman" w:eastAsia="宋体" w:cs="Times New Roman"/>
      <w:szCs w:val="22"/>
      <w:lang w:val="en-US" w:eastAsia="zh-CN" w:bidi="ar-SA"/>
    </w:rPr>
  </w:style>
  <w:style w:type="paragraph" w:customStyle="1" w:styleId="46">
    <w:name w:val="UserStyle_0"/>
    <w:basedOn w:val="1"/>
    <w:autoRedefine/>
    <w:qFormat/>
    <w:uiPriority w:val="0"/>
    <w:pPr>
      <w:widowControl/>
      <w:tabs>
        <w:tab w:val="left" w:pos="2835"/>
        <w:tab w:val="left" w:pos="3119"/>
        <w:tab w:val="left" w:pos="3402"/>
        <w:tab w:val="left" w:pos="3686"/>
        <w:tab w:val="left" w:pos="3969"/>
        <w:tab w:val="left" w:pos="4253"/>
      </w:tabs>
      <w:spacing w:after="120"/>
      <w:ind w:left="2552"/>
      <w:textAlignment w:val="baseline"/>
    </w:pPr>
    <w:rPr>
      <w:rFonts w:ascii="Syntax" w:hAnsi="Syntax" w:eastAsia="宋体" w:cs="Times New Roman"/>
      <w:b/>
      <w:lang w:val="de-DE" w:eastAsia="de-DE" w:bidi="ar-SA"/>
    </w:rPr>
  </w:style>
  <w:style w:type="paragraph" w:styleId="47">
    <w:name w:val="List Paragraph"/>
    <w:basedOn w:val="1"/>
    <w:autoRedefine/>
    <w:qFormat/>
    <w:uiPriority w:val="0"/>
    <w:pPr>
      <w:ind w:firstLine="420" w:firstLineChars="200"/>
    </w:pPr>
    <w:rPr>
      <w:rFonts w:ascii="Times New Roman" w:hAnsi="Times New Roman" w:eastAsia="宋体" w:cs="Times New Roman"/>
      <w:lang w:val="en-US" w:eastAsia="zh-CN" w:bidi="ar-SA"/>
    </w:rPr>
  </w:style>
  <w:style w:type="paragraph" w:customStyle="1" w:styleId="48">
    <w:name w:val="无间隔1"/>
    <w:autoRedefine/>
    <w:qFormat/>
    <w:uiPriority w:val="1"/>
    <w:pPr>
      <w:adjustRightInd w:val="0"/>
      <w:snapToGrid w:val="0"/>
    </w:pPr>
    <w:rPr>
      <w:rFonts w:ascii="Tahoma" w:hAnsi="Tahoma" w:eastAsia="微软雅黑" w:cs="Times New Roman"/>
      <w:sz w:val="22"/>
      <w:szCs w:val="22"/>
      <w:lang w:val="en-US" w:eastAsia="zh-CN" w:bidi="ar-SA"/>
    </w:rPr>
  </w:style>
  <w:style w:type="paragraph" w:customStyle="1" w:styleId="49">
    <w:name w:val="Table Paragraph"/>
    <w:basedOn w:val="1"/>
    <w:autoRedefine/>
    <w:qFormat/>
    <w:uiPriority w:val="1"/>
    <w:rPr>
      <w:rFonts w:ascii="宋体" w:hAnsi="宋体" w:eastAsia="宋体" w:cs="宋体"/>
      <w:lang w:val="zh-CN" w:eastAsia="zh-CN" w:bidi="zh-CN"/>
    </w:rPr>
  </w:style>
  <w:style w:type="character" w:customStyle="1" w:styleId="50">
    <w:name w:val="font11"/>
    <w:basedOn w:val="28"/>
    <w:autoRedefine/>
    <w:qFormat/>
    <w:uiPriority w:val="0"/>
    <w:rPr>
      <w:rFonts w:hint="eastAsia" w:ascii="宋体" w:hAnsi="宋体" w:eastAsia="宋体" w:cs="宋体"/>
      <w:color w:val="000000"/>
      <w:sz w:val="20"/>
      <w:szCs w:val="20"/>
      <w:u w:val="none"/>
    </w:rPr>
  </w:style>
  <w:style w:type="character" w:customStyle="1" w:styleId="51">
    <w:name w:val="font01"/>
    <w:basedOn w:val="28"/>
    <w:autoRedefine/>
    <w:qFormat/>
    <w:uiPriority w:val="0"/>
    <w:rPr>
      <w:rFonts w:ascii="Calibri" w:hAnsi="Calibri" w:cs="Calibri"/>
      <w:color w:val="000000"/>
      <w:sz w:val="20"/>
      <w:szCs w:val="20"/>
      <w:u w:val="none"/>
    </w:rPr>
  </w:style>
  <w:style w:type="paragraph" w:customStyle="1" w:styleId="52">
    <w:name w:val="偏离"/>
    <w:basedOn w:val="1"/>
    <w:autoRedefine/>
    <w:unhideWhenUsed/>
    <w:qFormat/>
    <w:uiPriority w:val="1"/>
    <w:pPr>
      <w:widowControl/>
      <w:spacing w:line="360" w:lineRule="auto"/>
      <w:jc w:val="center"/>
    </w:pPr>
    <w:rPr>
      <w:szCs w:val="22"/>
    </w:rPr>
  </w:style>
  <w:style w:type="paragraph" w:customStyle="1" w:styleId="53">
    <w:name w:val="表格正文"/>
    <w:basedOn w:val="1"/>
    <w:autoRedefine/>
    <w:qFormat/>
    <w:uiPriority w:val="0"/>
    <w:pPr>
      <w:spacing w:before="120"/>
      <w:ind w:firstLine="0" w:firstLineChars="0"/>
    </w:pPr>
    <w:rPr>
      <w:sz w:val="24"/>
    </w:rPr>
  </w:style>
  <w:style w:type="paragraph" w:customStyle="1" w:styleId="54">
    <w:name w:val="表格正文yaw"/>
    <w:basedOn w:val="1"/>
    <w:autoRedefine/>
    <w:unhideWhenUsed/>
    <w:qFormat/>
    <w:uiPriority w:val="0"/>
    <w:pPr>
      <w:adjustRightInd w:val="0"/>
      <w:snapToGrid w:val="0"/>
      <w:spacing w:before="120" w:beforeLines="0" w:afterLines="0" w:line="240" w:lineRule="auto"/>
      <w:ind w:firstLine="0" w:firstLineChars="0"/>
    </w:pPr>
    <w:rPr>
      <w:rFonts w:hint="default"/>
      <w:sz w:val="24"/>
      <w:szCs w:val="21"/>
    </w:rPr>
  </w:style>
  <w:style w:type="table" w:customStyle="1" w:styleId="55">
    <w:name w:val="Table Normal"/>
    <w:autoRedefine/>
    <w:semiHidden/>
    <w:unhideWhenUsed/>
    <w:qFormat/>
    <w:uiPriority w:val="0"/>
    <w:tblPr>
      <w:tblCellMar>
        <w:top w:w="0" w:type="dxa"/>
        <w:left w:w="0" w:type="dxa"/>
        <w:bottom w:w="0" w:type="dxa"/>
        <w:right w:w="0" w:type="dxa"/>
      </w:tblCellMar>
    </w:tblPr>
  </w:style>
  <w:style w:type="paragraph" w:customStyle="1" w:styleId="56">
    <w:name w:val="msolistparagraph"/>
    <w:basedOn w:val="1"/>
    <w:autoRedefine/>
    <w:qFormat/>
    <w:uiPriority w:val="0"/>
    <w:pPr>
      <w:widowControl/>
      <w:spacing w:line="240" w:lineRule="auto"/>
      <w:ind w:firstLine="420"/>
      <w:jc w:val="left"/>
    </w:pPr>
    <w:rPr>
      <w:rFonts w:ascii="等线" w:hAnsi="等线" w:cs="Times New Roman"/>
      <w:kern w:val="0"/>
      <w:szCs w:val="24"/>
    </w:rPr>
  </w:style>
  <w:style w:type="character" w:customStyle="1" w:styleId="57">
    <w:name w:val="font51"/>
    <w:basedOn w:val="28"/>
    <w:autoRedefine/>
    <w:qFormat/>
    <w:uiPriority w:val="0"/>
    <w:rPr>
      <w:rFonts w:hint="eastAsia" w:ascii="微软雅黑" w:hAnsi="微软雅黑" w:eastAsia="微软雅黑" w:cs="微软雅黑"/>
      <w:color w:val="000000"/>
      <w:sz w:val="18"/>
      <w:szCs w:val="18"/>
      <w:u w:val="none"/>
    </w:rPr>
  </w:style>
  <w:style w:type="character" w:customStyle="1" w:styleId="58">
    <w:name w:val="font71"/>
    <w:basedOn w:val="28"/>
    <w:autoRedefine/>
    <w:qFormat/>
    <w:uiPriority w:val="0"/>
    <w:rPr>
      <w:rFonts w:hint="eastAsia" w:ascii="微软雅黑" w:hAnsi="微软雅黑" w:eastAsia="微软雅黑" w:cs="微软雅黑"/>
      <w:color w:val="000000"/>
      <w:sz w:val="18"/>
      <w:szCs w:val="18"/>
      <w:u w:val="none"/>
    </w:rPr>
  </w:style>
  <w:style w:type="character" w:customStyle="1" w:styleId="59">
    <w:name w:val="font41"/>
    <w:basedOn w:val="28"/>
    <w:autoRedefine/>
    <w:qFormat/>
    <w:uiPriority w:val="0"/>
    <w:rPr>
      <w:rFonts w:hint="eastAsia" w:ascii="微软雅黑" w:hAnsi="微软雅黑" w:eastAsia="微软雅黑" w:cs="微软雅黑"/>
      <w:color w:val="000000"/>
      <w:sz w:val="20"/>
      <w:szCs w:val="20"/>
      <w:u w:val="none"/>
    </w:rPr>
  </w:style>
  <w:style w:type="paragraph" w:customStyle="1" w:styleId="60">
    <w:name w:val="样式1"/>
    <w:basedOn w:val="1"/>
    <w:autoRedefine/>
    <w:qFormat/>
    <w:uiPriority w:val="0"/>
    <w:pPr>
      <w:adjustRightInd w:val="0"/>
    </w:pPr>
    <w:rPr>
      <w:rFonts w:hint="eastAsia" w:ascii="宋体" w:hAnsi="宋体" w:eastAsia="宋体" w:cs="Times New Roman"/>
      <w:kern w:val="0"/>
      <w:szCs w:val="21"/>
    </w:rPr>
  </w:style>
  <w:style w:type="paragraph" w:customStyle="1" w:styleId="61">
    <w:name w:val="表格"/>
    <w:basedOn w:val="1"/>
    <w:autoRedefine/>
    <w:qFormat/>
    <w:uiPriority w:val="0"/>
    <w:pPr>
      <w:adjustRightInd w:val="0"/>
      <w:snapToGrid w:val="0"/>
    </w:pPr>
    <w:rPr>
      <w:rFonts w:ascii="宋体" w:hAnsi="宋体" w:eastAsia="宋体"/>
    </w:rPr>
  </w:style>
  <w:style w:type="paragraph" w:customStyle="1" w:styleId="62">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83</Pages>
  <Words>24852</Words>
  <Characters>26056</Characters>
  <Lines>337</Lines>
  <Paragraphs>95</Paragraphs>
  <TotalTime>0</TotalTime>
  <ScaleCrop>false</ScaleCrop>
  <LinksUpToDate>false</LinksUpToDate>
  <CharactersWithSpaces>27228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2019-12-19T11:24:00Z</dcterms:created>
  <dc:creator>时光不老你我不散</dc:creator>
  <cp:lastModifiedBy>中午吃什么</cp:lastModifiedBy>
  <cp:lastPrinted>2022-03-25T01:52:00Z</cp:lastPrinted>
  <dcterms:modified xsi:type="dcterms:W3CDTF">2026-09-30T08:41:43Z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3948B78C099947868CAECFF6CC5D8FC4_13</vt:lpwstr>
  </property>
  <property fmtid="{D5CDD505-2E9C-101B-9397-08002B2CF9AE}" pid="4" name="KSOTemplateDocerSaveRecord">
    <vt:lpwstr>eyJoZGlkIjoiM2JkN2NmMmI1Y2Q3MTZhY2I5ODRiZGRlZmRhMWM3MzgiLCJ1c2VySWQiOiIxNjU4ODg3MDI4In0=</vt:lpwstr>
  </property>
</Properties>
</file>