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988E26">
      <w:pPr>
        <w:keepNext w:val="0"/>
        <w:keepLines w:val="0"/>
        <w:pageBreakBefore w:val="0"/>
        <w:kinsoku/>
        <w:wordWrap/>
        <w:overflowPunct/>
        <w:topLinePunct w:val="0"/>
        <w:bidi w:val="0"/>
        <w:adjustRightInd w:val="0"/>
        <w:snapToGrid w:val="0"/>
        <w:spacing w:line="360" w:lineRule="auto"/>
        <w:ind w:left="0" w:leftChars="0" w:firstLine="422" w:firstLineChars="175"/>
        <w:jc w:val="both"/>
        <w:rPr>
          <w:rFonts w:hint="default" w:ascii="宋体" w:hAnsi="Times New Roman" w:eastAsia="宋体" w:cs="宋体"/>
          <w:b/>
          <w:bCs w:val="0"/>
          <w:sz w:val="24"/>
          <w:szCs w:val="24"/>
          <w:lang w:val="en-US" w:eastAsia="zh-CN"/>
        </w:rPr>
      </w:pPr>
      <w:r>
        <w:rPr>
          <w:rFonts w:hint="eastAsia" w:ascii="宋体" w:hAnsi="Times New Roman" w:eastAsia="宋体" w:cs="宋体"/>
          <w:b/>
          <w:bCs w:val="0"/>
          <w:sz w:val="24"/>
          <w:szCs w:val="24"/>
          <w:lang w:val="en-US" w:eastAsia="zh-CN"/>
        </w:rPr>
        <w:t>附件1</w:t>
      </w:r>
    </w:p>
    <w:p w14:paraId="5A13A97B">
      <w:pPr>
        <w:spacing w:line="360" w:lineRule="auto"/>
        <w:jc w:val="center"/>
        <w:rPr>
          <w:rFonts w:hint="eastAsia" w:ascii="宋体" w:cs="宋体"/>
          <w:b/>
          <w:bCs w:val="0"/>
          <w:sz w:val="36"/>
          <w:szCs w:val="36"/>
        </w:rPr>
      </w:pPr>
      <w:r>
        <w:rPr>
          <w:rFonts w:hint="eastAsia" w:ascii="宋体" w:cs="宋体"/>
          <w:b/>
          <w:bCs w:val="0"/>
          <w:sz w:val="36"/>
          <w:szCs w:val="36"/>
        </w:rPr>
        <w:t>项目需求书（第一包）</w:t>
      </w:r>
    </w:p>
    <w:p w14:paraId="39120528">
      <w:pPr>
        <w:spacing w:line="360" w:lineRule="auto"/>
        <w:jc w:val="center"/>
        <w:rPr>
          <w:rFonts w:hint="eastAsia" w:ascii="宋体" w:eastAsia="宋体" w:cs="宋体"/>
          <w:b/>
          <w:bCs w:val="0"/>
          <w:sz w:val="24"/>
          <w:szCs w:val="24"/>
          <w:lang w:eastAsia="zh-CN"/>
        </w:rPr>
      </w:pPr>
      <w:r>
        <w:rPr>
          <w:rFonts w:hint="eastAsia" w:ascii="宋体" w:cs="宋体"/>
          <w:b/>
          <w:bCs w:val="0"/>
          <w:sz w:val="24"/>
          <w:szCs w:val="24"/>
          <w:lang w:eastAsia="zh-CN"/>
        </w:rPr>
        <w:t>《无人机驾驶员、无人机装调检修工采购》</w:t>
      </w:r>
    </w:p>
    <w:p w14:paraId="7F1E0380">
      <w:pPr>
        <w:pStyle w:val="7"/>
        <w:keepNext w:val="0"/>
        <w:keepLines w:val="0"/>
        <w:pageBreakBefore w:val="0"/>
        <w:widowControl/>
        <w:numPr>
          <w:ilvl w:val="0"/>
          <w:numId w:val="0"/>
        </w:numPr>
        <w:kinsoku/>
        <w:wordWrap/>
        <w:overflowPunct/>
        <w:topLinePunct w:val="0"/>
        <w:bidi w:val="0"/>
        <w:adjustRightInd w:val="0"/>
        <w:snapToGrid w:val="0"/>
        <w:spacing w:line="360" w:lineRule="auto"/>
        <w:ind w:left="559" w:leftChars="0" w:hanging="559" w:hangingChars="233"/>
        <w:jc w:val="left"/>
        <w:rPr>
          <w:rFonts w:ascii="宋体" w:hAnsi="宋体" w:cs="宋体"/>
          <w:sz w:val="24"/>
          <w:szCs w:val="24"/>
        </w:rPr>
      </w:pPr>
      <w:r>
        <w:rPr>
          <w:rFonts w:hint="default" w:ascii="宋体" w:hAnsi="宋体" w:eastAsia="宋体" w:cs="宋体"/>
          <w:kern w:val="2"/>
          <w:sz w:val="24"/>
          <w:szCs w:val="24"/>
          <w:lang w:val="en-US" w:eastAsia="zh-CN" w:bidi="ar-SA"/>
        </w:rPr>
        <w:t>一、</w:t>
      </w:r>
      <w:r>
        <w:rPr>
          <w:rFonts w:hint="eastAsia" w:ascii="宋体"/>
          <w:b/>
          <w:kern w:val="0"/>
          <w:sz w:val="24"/>
          <w:szCs w:val="24"/>
        </w:rPr>
        <w:t>项目名称</w:t>
      </w:r>
    </w:p>
    <w:p w14:paraId="42C46BB2">
      <w:pPr>
        <w:keepNext w:val="0"/>
        <w:keepLines w:val="0"/>
        <w:pageBreakBefore w:val="0"/>
        <w:kinsoku/>
        <w:wordWrap/>
        <w:overflowPunct/>
        <w:topLinePunct w:val="0"/>
        <w:bidi w:val="0"/>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lang w:eastAsia="zh-CN"/>
        </w:rPr>
        <w:t>天津港保税区职业技能公共实训中心国家级高技能人才培训基地建设及职业工种实训设备采购项目</w:t>
      </w:r>
      <w:r>
        <w:rPr>
          <w:rFonts w:hint="eastAsia" w:ascii="宋体" w:hAnsi="宋体" w:cs="宋体"/>
          <w:sz w:val="24"/>
          <w:szCs w:val="24"/>
        </w:rPr>
        <w:t>。</w:t>
      </w:r>
    </w:p>
    <w:p w14:paraId="44F04CA8">
      <w:pPr>
        <w:pStyle w:val="7"/>
        <w:keepNext w:val="0"/>
        <w:keepLines w:val="0"/>
        <w:pageBreakBefore w:val="0"/>
        <w:widowControl/>
        <w:numPr>
          <w:ilvl w:val="0"/>
          <w:numId w:val="0"/>
        </w:numPr>
        <w:kinsoku/>
        <w:wordWrap/>
        <w:overflowPunct/>
        <w:topLinePunct w:val="0"/>
        <w:bidi w:val="0"/>
        <w:adjustRightInd w:val="0"/>
        <w:snapToGrid w:val="0"/>
        <w:spacing w:line="360" w:lineRule="auto"/>
        <w:ind w:left="559" w:leftChars="0" w:hanging="559" w:hangingChars="233"/>
        <w:jc w:val="left"/>
        <w:rPr>
          <w:rFonts w:hint="eastAsia" w:ascii="宋体" w:hAnsi="宋体" w:cs="宋体"/>
          <w:sz w:val="24"/>
          <w:szCs w:val="24"/>
        </w:rPr>
      </w:pPr>
      <w:r>
        <w:rPr>
          <w:rFonts w:hint="default" w:ascii="宋体" w:hAnsi="宋体" w:eastAsia="宋体" w:cs="宋体"/>
          <w:kern w:val="2"/>
          <w:sz w:val="24"/>
          <w:szCs w:val="24"/>
          <w:lang w:val="en-US" w:eastAsia="zh-CN" w:bidi="ar-SA"/>
        </w:rPr>
        <w:t>二、</w:t>
      </w:r>
      <w:r>
        <w:rPr>
          <w:rFonts w:hint="eastAsia" w:ascii="宋体"/>
          <w:b/>
          <w:kern w:val="0"/>
          <w:sz w:val="24"/>
          <w:szCs w:val="24"/>
        </w:rPr>
        <w:t>项目预算</w:t>
      </w:r>
    </w:p>
    <w:p w14:paraId="41CA3A0F">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eastAsia="宋体" w:cs="宋体"/>
          <w:sz w:val="24"/>
          <w:szCs w:val="24"/>
          <w:lang w:eastAsia="zh-CN"/>
        </w:rPr>
      </w:pPr>
      <w:r>
        <w:rPr>
          <w:rFonts w:hint="eastAsia" w:ascii="宋体" w:hAnsi="宋体" w:cs="宋体"/>
          <w:sz w:val="24"/>
          <w:szCs w:val="24"/>
          <w:lang w:val="en-US" w:eastAsia="zh-CN"/>
        </w:rPr>
        <w:t>196.00</w:t>
      </w:r>
      <w:r>
        <w:rPr>
          <w:rFonts w:hint="eastAsia" w:ascii="宋体" w:hAnsi="宋体" w:eastAsia="宋体" w:cs="宋体"/>
          <w:sz w:val="24"/>
          <w:szCs w:val="24"/>
          <w:lang w:eastAsia="zh-CN"/>
        </w:rPr>
        <w:t>万元。</w:t>
      </w:r>
    </w:p>
    <w:p w14:paraId="76EB2AD0">
      <w:pPr>
        <w:pStyle w:val="7"/>
        <w:keepNext w:val="0"/>
        <w:keepLines w:val="0"/>
        <w:pageBreakBefore w:val="0"/>
        <w:widowControl/>
        <w:numPr>
          <w:ilvl w:val="0"/>
          <w:numId w:val="0"/>
        </w:numPr>
        <w:kinsoku/>
        <w:wordWrap/>
        <w:overflowPunct/>
        <w:topLinePunct w:val="0"/>
        <w:bidi w:val="0"/>
        <w:adjustRightInd w:val="0"/>
        <w:snapToGrid w:val="0"/>
        <w:spacing w:line="360" w:lineRule="auto"/>
        <w:ind w:left="561" w:leftChars="0" w:hanging="561" w:hangingChars="233"/>
        <w:jc w:val="left"/>
        <w:rPr>
          <w:rFonts w:ascii="宋体"/>
          <w:b/>
          <w:kern w:val="0"/>
          <w:sz w:val="24"/>
          <w:szCs w:val="24"/>
        </w:rPr>
      </w:pPr>
      <w:r>
        <w:rPr>
          <w:rFonts w:hint="default" w:ascii="宋体" w:hAnsi="Times New Roman" w:eastAsia="宋体" w:cs="Times New Roman"/>
          <w:b/>
          <w:kern w:val="0"/>
          <w:sz w:val="24"/>
          <w:szCs w:val="24"/>
          <w:lang w:val="en-US" w:eastAsia="zh-CN" w:bidi="ar-SA"/>
        </w:rPr>
        <w:t>三、</w:t>
      </w:r>
      <w:r>
        <w:rPr>
          <w:rFonts w:hint="eastAsia" w:ascii="宋体"/>
          <w:b/>
          <w:kern w:val="0"/>
          <w:sz w:val="24"/>
          <w:szCs w:val="24"/>
        </w:rPr>
        <w:t>资格要求</w:t>
      </w:r>
    </w:p>
    <w:p w14:paraId="1FC34261">
      <w:pPr>
        <w:pStyle w:val="7"/>
        <w:keepNext w:val="0"/>
        <w:keepLines w:val="0"/>
        <w:pageBreakBefore w:val="0"/>
        <w:widowControl/>
        <w:numPr>
          <w:ilvl w:val="0"/>
          <w:numId w:val="0"/>
        </w:numPr>
        <w:kinsoku/>
        <w:wordWrap/>
        <w:overflowPunct/>
        <w:topLinePunct w:val="0"/>
        <w:bidi w:val="0"/>
        <w:adjustRightInd w:val="0"/>
        <w:snapToGrid w:val="0"/>
        <w:spacing w:line="360" w:lineRule="auto"/>
        <w:ind w:left="0" w:leftChars="0" w:firstLine="400" w:firstLineChars="0"/>
        <w:jc w:val="left"/>
        <w:rPr>
          <w:rFonts w:ascii="宋体" w:hAnsi="宋体" w:cs="宋体"/>
          <w:sz w:val="24"/>
          <w:szCs w:val="24"/>
        </w:rPr>
      </w:pPr>
      <w:r>
        <w:rPr>
          <w:rFonts w:hint="default" w:ascii="宋体" w:hAnsi="宋体" w:eastAsia="宋体" w:cs="宋体"/>
          <w:kern w:val="2"/>
          <w:sz w:val="24"/>
          <w:szCs w:val="24"/>
          <w:lang w:val="en-US" w:eastAsia="zh-CN" w:bidi="ar-SA"/>
        </w:rPr>
        <w:t>1</w:t>
      </w:r>
      <w:r>
        <w:rPr>
          <w:rFonts w:hint="eastAsia" w:ascii="宋体" w:hAnsi="宋体" w:cs="宋体"/>
          <w:kern w:val="2"/>
          <w:sz w:val="24"/>
          <w:szCs w:val="24"/>
          <w:lang w:val="en-US" w:eastAsia="zh-CN" w:bidi="ar-SA"/>
        </w:rPr>
        <w:t>.</w:t>
      </w:r>
      <w:r>
        <w:rPr>
          <w:rFonts w:hint="eastAsia" w:ascii="宋体" w:hAnsi="宋体" w:cs="宋体"/>
          <w:sz w:val="24"/>
          <w:szCs w:val="24"/>
        </w:rPr>
        <w:t>具有独立承担民事责任能力，提供相关证件；（有效期内的营业执照或事业单位法人证书或民办非企业单位登记证书或社会团体法人登记证书或基金会法人登记证书或自然人的身份证明）</w:t>
      </w:r>
    </w:p>
    <w:p w14:paraId="587C5139">
      <w:pPr>
        <w:pStyle w:val="7"/>
        <w:keepNext w:val="0"/>
        <w:keepLines w:val="0"/>
        <w:pageBreakBefore w:val="0"/>
        <w:widowControl/>
        <w:numPr>
          <w:ilvl w:val="0"/>
          <w:numId w:val="0"/>
        </w:numPr>
        <w:kinsoku/>
        <w:wordWrap/>
        <w:overflowPunct/>
        <w:topLinePunct w:val="0"/>
        <w:bidi w:val="0"/>
        <w:adjustRightInd w:val="0"/>
        <w:snapToGrid w:val="0"/>
        <w:spacing w:line="360" w:lineRule="auto"/>
        <w:ind w:left="0" w:leftChars="0" w:firstLine="400" w:firstLineChars="0"/>
        <w:jc w:val="left"/>
        <w:rPr>
          <w:rFonts w:hint="eastAsia" w:ascii="宋体" w:hAnsi="宋体" w:cs="宋体"/>
          <w:sz w:val="24"/>
          <w:szCs w:val="24"/>
          <w:highlight w:val="none"/>
        </w:rPr>
      </w:pPr>
      <w:r>
        <w:rPr>
          <w:rFonts w:hint="eastAsia" w:ascii="宋体" w:hAnsi="宋体" w:cs="宋体"/>
          <w:kern w:val="2"/>
          <w:sz w:val="24"/>
          <w:szCs w:val="24"/>
          <w:highlight w:val="none"/>
          <w:lang w:val="en-US" w:eastAsia="zh-CN" w:bidi="ar-SA"/>
        </w:rPr>
        <w:t>2.</w:t>
      </w:r>
      <w:r>
        <w:rPr>
          <w:rFonts w:hint="eastAsia" w:ascii="宋体" w:hAnsi="宋体" w:cs="宋体"/>
          <w:sz w:val="24"/>
          <w:szCs w:val="24"/>
          <w:highlight w:val="none"/>
          <w:lang w:val="zh-CN" w:eastAsia="zh-CN"/>
        </w:rPr>
        <w:t>有依法缴纳税收和社会保障资金的良好记录，</w:t>
      </w:r>
      <w:r>
        <w:rPr>
          <w:rFonts w:hint="eastAsia" w:ascii="宋体" w:hAnsi="宋体" w:cs="宋体"/>
          <w:sz w:val="24"/>
          <w:szCs w:val="24"/>
          <w:highlight w:val="none"/>
        </w:rPr>
        <w:t>须提供</w:t>
      </w:r>
      <w:r>
        <w:rPr>
          <w:rFonts w:hint="eastAsia" w:ascii="宋体" w:hAnsi="宋体" w:cs="宋体"/>
          <w:sz w:val="24"/>
          <w:szCs w:val="24"/>
          <w:highlight w:val="none"/>
          <w:lang w:eastAsia="zh-CN"/>
        </w:rPr>
        <w:t>2026年至少1个月</w:t>
      </w:r>
      <w:r>
        <w:rPr>
          <w:rFonts w:hint="eastAsia" w:ascii="宋体" w:hAnsi="宋体" w:cs="宋体"/>
          <w:sz w:val="24"/>
          <w:szCs w:val="24"/>
          <w:highlight w:val="none"/>
        </w:rPr>
        <w:t>的依法纳税</w:t>
      </w:r>
      <w:r>
        <w:rPr>
          <w:rFonts w:hint="eastAsia" w:ascii="宋体" w:hAnsi="宋体" w:cs="宋体"/>
          <w:sz w:val="24"/>
          <w:szCs w:val="24"/>
          <w:highlight w:val="none"/>
          <w:lang w:val="en-US" w:eastAsia="zh-CN"/>
        </w:rPr>
        <w:t>和缴纳</w:t>
      </w:r>
      <w:r>
        <w:rPr>
          <w:rFonts w:hint="eastAsia" w:ascii="宋体" w:hAnsi="宋体" w:cs="宋体"/>
          <w:sz w:val="24"/>
          <w:szCs w:val="24"/>
          <w:highlight w:val="none"/>
        </w:rPr>
        <w:t>社会保险费的相关证明材料</w:t>
      </w:r>
      <w:r>
        <w:rPr>
          <w:rFonts w:hint="eastAsia" w:ascii="宋体" w:hAnsi="宋体" w:cs="宋体"/>
          <w:sz w:val="24"/>
          <w:szCs w:val="24"/>
          <w:highlight w:val="none"/>
          <w:lang w:eastAsia="zh-CN"/>
        </w:rPr>
        <w:t>；</w:t>
      </w:r>
      <w:r>
        <w:rPr>
          <w:rFonts w:hint="eastAsia" w:ascii="宋体" w:hAnsi="宋体" w:cs="宋体"/>
          <w:sz w:val="24"/>
          <w:szCs w:val="24"/>
          <w:highlight w:val="none"/>
        </w:rPr>
        <w:t>（纳税零申报投标人应当按照以下任意一种方式提供相应证明文件：1）税务大厅零申报报表且加盖受理章；2）网络申报截图复印件加盖公章。依法免缴的，应提供依法免缴的相关证明文件；未到缴税时间的新注册的公司应提供未拖欠税款及社会保险的相关证明材料）</w:t>
      </w:r>
    </w:p>
    <w:p w14:paraId="62E49022">
      <w:pPr>
        <w:pStyle w:val="7"/>
        <w:keepNext w:val="0"/>
        <w:keepLines w:val="0"/>
        <w:pageBreakBefore w:val="0"/>
        <w:widowControl/>
        <w:numPr>
          <w:ilvl w:val="0"/>
          <w:numId w:val="0"/>
        </w:numPr>
        <w:kinsoku/>
        <w:wordWrap/>
        <w:overflowPunct/>
        <w:topLinePunct w:val="0"/>
        <w:bidi w:val="0"/>
        <w:adjustRightInd w:val="0"/>
        <w:snapToGrid w:val="0"/>
        <w:spacing w:line="360" w:lineRule="auto"/>
        <w:ind w:left="0" w:leftChars="0" w:firstLine="400" w:firstLineChars="0"/>
        <w:jc w:val="left"/>
        <w:rPr>
          <w:rFonts w:ascii="宋体" w:hAnsi="宋体" w:cs="宋体"/>
          <w:sz w:val="24"/>
          <w:szCs w:val="24"/>
          <w:highlight w:val="none"/>
        </w:rPr>
      </w:pPr>
      <w:r>
        <w:rPr>
          <w:rFonts w:hint="eastAsia" w:ascii="宋体" w:hAnsi="宋体" w:cs="宋体"/>
          <w:kern w:val="2"/>
          <w:sz w:val="24"/>
          <w:szCs w:val="24"/>
          <w:highlight w:val="none"/>
          <w:lang w:val="en-US" w:eastAsia="zh-CN" w:bidi="ar-SA"/>
        </w:rPr>
        <w:t>3.</w:t>
      </w:r>
      <w:r>
        <w:rPr>
          <w:rFonts w:hint="eastAsia" w:ascii="宋体" w:hAnsi="宋体" w:cs="宋体"/>
          <w:sz w:val="24"/>
          <w:szCs w:val="24"/>
          <w:highlight w:val="none"/>
        </w:rPr>
        <w:t>具有良好的商业信誉和健全的财务会计制度，须提供</w:t>
      </w:r>
      <w:r>
        <w:rPr>
          <w:rFonts w:hint="eastAsia" w:ascii="宋体" w:hAnsi="宋体" w:cs="宋体"/>
          <w:sz w:val="24"/>
          <w:szCs w:val="24"/>
          <w:highlight w:val="none"/>
          <w:lang w:eastAsia="zh-CN"/>
        </w:rPr>
        <w:t>2025年度经第三方会计师事务所审计的企业财务报告或开标及投标截止时间前的6个月内银行出具的资信证明</w:t>
      </w:r>
      <w:r>
        <w:rPr>
          <w:rFonts w:hint="eastAsia" w:ascii="宋体" w:hAnsi="宋体" w:cs="宋体"/>
          <w:sz w:val="24"/>
          <w:szCs w:val="24"/>
          <w:highlight w:val="none"/>
        </w:rPr>
        <w:t>；</w:t>
      </w:r>
    </w:p>
    <w:p w14:paraId="2AFCF34A">
      <w:pPr>
        <w:pStyle w:val="7"/>
        <w:keepNext w:val="0"/>
        <w:keepLines w:val="0"/>
        <w:pageBreakBefore w:val="0"/>
        <w:widowControl/>
        <w:numPr>
          <w:ilvl w:val="0"/>
          <w:numId w:val="0"/>
        </w:numPr>
        <w:kinsoku/>
        <w:wordWrap/>
        <w:overflowPunct/>
        <w:topLinePunct w:val="0"/>
        <w:bidi w:val="0"/>
        <w:adjustRightInd w:val="0"/>
        <w:snapToGrid w:val="0"/>
        <w:spacing w:line="360" w:lineRule="auto"/>
        <w:ind w:left="0" w:leftChars="0" w:firstLine="400" w:firstLineChars="0"/>
        <w:jc w:val="left"/>
        <w:rPr>
          <w:rFonts w:ascii="宋体" w:hAnsi="宋体" w:cs="宋体"/>
          <w:sz w:val="24"/>
          <w:szCs w:val="24"/>
          <w:highlight w:val="none"/>
        </w:rPr>
      </w:pPr>
      <w:r>
        <w:rPr>
          <w:rFonts w:hint="eastAsia" w:ascii="宋体" w:hAnsi="宋体" w:cs="宋体"/>
          <w:kern w:val="2"/>
          <w:sz w:val="24"/>
          <w:szCs w:val="24"/>
          <w:highlight w:val="none"/>
          <w:lang w:val="en-US" w:eastAsia="zh-CN" w:bidi="ar-SA"/>
        </w:rPr>
        <w:t>4.</w:t>
      </w:r>
      <w:r>
        <w:rPr>
          <w:rFonts w:hint="eastAsia" w:ascii="宋体" w:hAnsi="宋体" w:cs="宋体"/>
          <w:sz w:val="24"/>
          <w:szCs w:val="24"/>
          <w:highlight w:val="none"/>
        </w:rPr>
        <w:t>投标截止日前三年参加政府采购活动，在经营活动中没有重大违法记录。提供书面声明函；（截至开标日成立不足3年的投标人可提供自成立以来无重大违法记录的书面声明）</w:t>
      </w:r>
    </w:p>
    <w:p w14:paraId="24723C86">
      <w:pPr>
        <w:pStyle w:val="7"/>
        <w:keepNext w:val="0"/>
        <w:keepLines w:val="0"/>
        <w:pageBreakBefore w:val="0"/>
        <w:widowControl/>
        <w:numPr>
          <w:ilvl w:val="0"/>
          <w:numId w:val="0"/>
        </w:numPr>
        <w:kinsoku/>
        <w:wordWrap/>
        <w:overflowPunct/>
        <w:topLinePunct w:val="0"/>
        <w:bidi w:val="0"/>
        <w:adjustRightInd w:val="0"/>
        <w:snapToGrid w:val="0"/>
        <w:spacing w:line="360" w:lineRule="auto"/>
        <w:ind w:left="0" w:leftChars="0" w:firstLine="400" w:firstLineChars="0"/>
        <w:jc w:val="left"/>
        <w:rPr>
          <w:rFonts w:ascii="宋体" w:hAnsi="宋体" w:cs="宋体"/>
          <w:sz w:val="24"/>
          <w:szCs w:val="24"/>
          <w:highlight w:val="none"/>
        </w:rPr>
      </w:pPr>
      <w:r>
        <w:rPr>
          <w:rFonts w:hint="eastAsia" w:ascii="宋体" w:hAnsi="宋体" w:cs="宋体"/>
          <w:kern w:val="2"/>
          <w:sz w:val="24"/>
          <w:szCs w:val="24"/>
          <w:highlight w:val="none"/>
          <w:lang w:val="en-US" w:eastAsia="zh-CN" w:bidi="ar-SA"/>
        </w:rPr>
        <w:t>5.</w:t>
      </w:r>
      <w:r>
        <w:rPr>
          <w:rFonts w:hint="eastAsia" w:ascii="宋体" w:hAnsi="宋体" w:cs="宋体"/>
          <w:sz w:val="24"/>
          <w:szCs w:val="24"/>
          <w:highlight w:val="none"/>
        </w:rPr>
        <w:t>本项目不接受联合体投标。</w:t>
      </w:r>
    </w:p>
    <w:p w14:paraId="3174A0B5">
      <w:pPr>
        <w:pStyle w:val="7"/>
        <w:keepNext w:val="0"/>
        <w:keepLines w:val="0"/>
        <w:pageBreakBefore w:val="0"/>
        <w:widowControl/>
        <w:numPr>
          <w:ilvl w:val="0"/>
          <w:numId w:val="0"/>
        </w:numPr>
        <w:kinsoku/>
        <w:wordWrap/>
        <w:overflowPunct/>
        <w:topLinePunct w:val="0"/>
        <w:bidi w:val="0"/>
        <w:adjustRightInd w:val="0"/>
        <w:snapToGrid w:val="0"/>
        <w:spacing w:line="360" w:lineRule="auto"/>
        <w:ind w:left="561" w:leftChars="0" w:hanging="561" w:hangingChars="233"/>
        <w:jc w:val="left"/>
        <w:rPr>
          <w:rFonts w:ascii="宋体"/>
          <w:b/>
          <w:kern w:val="0"/>
          <w:sz w:val="24"/>
          <w:szCs w:val="24"/>
          <w:highlight w:val="none"/>
        </w:rPr>
      </w:pPr>
      <w:r>
        <w:rPr>
          <w:rFonts w:hint="default" w:ascii="宋体" w:hAnsi="Times New Roman" w:eastAsia="宋体" w:cs="Times New Roman"/>
          <w:b/>
          <w:kern w:val="0"/>
          <w:sz w:val="24"/>
          <w:szCs w:val="24"/>
          <w:lang w:val="en-US" w:eastAsia="zh-CN" w:bidi="ar-SA"/>
        </w:rPr>
        <w:t>四、</w:t>
      </w:r>
      <w:r>
        <w:rPr>
          <w:rFonts w:hint="eastAsia" w:ascii="宋体"/>
          <w:b/>
          <w:kern w:val="0"/>
          <w:sz w:val="24"/>
          <w:szCs w:val="24"/>
          <w:highlight w:val="none"/>
        </w:rPr>
        <w:t>采购标的需落实政府采购政策需满足的要求</w:t>
      </w:r>
    </w:p>
    <w:p w14:paraId="54A98BC2">
      <w:pPr>
        <w:keepNext w:val="0"/>
        <w:keepLines w:val="0"/>
        <w:pageBreakBefore w:val="0"/>
        <w:widowControl/>
        <w:numPr>
          <w:ilvl w:val="0"/>
          <w:numId w:val="0"/>
        </w:numPr>
        <w:kinsoku/>
        <w:wordWrap/>
        <w:overflowPunct/>
        <w:topLinePunct w:val="0"/>
        <w:bidi w:val="0"/>
        <w:adjustRightInd w:val="0"/>
        <w:snapToGrid w:val="0"/>
        <w:spacing w:line="360" w:lineRule="auto"/>
        <w:ind w:left="0" w:leftChars="0" w:firstLine="400" w:firstLineChars="0"/>
        <w:jc w:val="left"/>
        <w:rPr>
          <w:rFonts w:hint="eastAsia" w:ascii="宋体" w:hAnsi="宋体" w:cs="宋体"/>
          <w:kern w:val="0"/>
          <w:sz w:val="24"/>
          <w:szCs w:val="24"/>
          <w:highlight w:val="none"/>
          <w:lang w:eastAsia="zh-CN"/>
        </w:rPr>
      </w:pPr>
      <w:r>
        <w:rPr>
          <w:rFonts w:hint="default" w:ascii="宋体" w:hAnsi="宋体" w:eastAsia="宋体" w:cs="宋体"/>
          <w:kern w:val="0"/>
          <w:sz w:val="24"/>
          <w:szCs w:val="24"/>
          <w:highlight w:val="none"/>
          <w:lang w:val="en-US" w:eastAsia="zh-CN" w:bidi="ar-SA"/>
        </w:rPr>
        <w:t>1</w:t>
      </w:r>
      <w:r>
        <w:rPr>
          <w:rFonts w:hint="eastAsia" w:ascii="宋体" w:hAnsi="宋体" w:cs="宋体"/>
          <w:kern w:val="0"/>
          <w:sz w:val="24"/>
          <w:szCs w:val="24"/>
          <w:highlight w:val="none"/>
          <w:lang w:val="en-US" w:eastAsia="zh-CN" w:bidi="ar-SA"/>
        </w:rPr>
        <w:t>.</w:t>
      </w:r>
      <w:r>
        <w:rPr>
          <w:rFonts w:hint="eastAsia" w:ascii="宋体" w:hAnsi="宋体" w:cs="宋体"/>
          <w:kern w:val="0"/>
          <w:sz w:val="24"/>
          <w:szCs w:val="24"/>
          <w:highlight w:val="none"/>
          <w:lang w:eastAsia="zh-CN"/>
        </w:rPr>
        <w:t>根据《</w:t>
      </w:r>
      <w:r>
        <w:rPr>
          <w:rFonts w:hint="eastAsia" w:ascii="宋体" w:hAnsi="宋体" w:cs="宋体"/>
          <w:kern w:val="0"/>
          <w:sz w:val="24"/>
          <w:szCs w:val="24"/>
          <w:highlight w:val="none"/>
          <w:lang w:val="en-US" w:eastAsia="zh-CN"/>
        </w:rPr>
        <w:t>财政部工业和信息化部关于印发&lt;政府采购促进中小企业发展管理办法&gt;的通知</w:t>
      </w:r>
      <w:r>
        <w:rPr>
          <w:rFonts w:hint="eastAsia" w:ascii="宋体" w:hAnsi="宋体" w:cs="宋体"/>
          <w:kern w:val="0"/>
          <w:sz w:val="24"/>
          <w:szCs w:val="24"/>
          <w:highlight w:val="none"/>
          <w:lang w:eastAsia="zh-CN"/>
        </w:rPr>
        <w:t>》（财库[2020]46号）、《财政部关于进一步加大政府采购支持中小企业力度的通知》（财库[2022]19号）规定，本项目对小型和微型企业产品的价格给予20%的扣除。供应商提供的货物由小型或微型企业制造，即货物由小型或微型企业生产且使用该小型或微型企业商号或者注册商标，可享受小微企业评审优惠政策。供应商应当如实填写《中小企业声明函》，标明企业规模。供应商提供的货物既有中小企业制造货物，也有大型企业制造货物的，不予进行价格扣除。</w:t>
      </w:r>
    </w:p>
    <w:p w14:paraId="5C44BCF3">
      <w:pPr>
        <w:keepNext w:val="0"/>
        <w:keepLines w:val="0"/>
        <w:pageBreakBefore w:val="0"/>
        <w:widowControl/>
        <w:numPr>
          <w:ilvl w:val="0"/>
          <w:numId w:val="0"/>
        </w:numPr>
        <w:kinsoku/>
        <w:wordWrap/>
        <w:overflowPunct/>
        <w:topLinePunct w:val="0"/>
        <w:bidi w:val="0"/>
        <w:adjustRightInd w:val="0"/>
        <w:snapToGrid w:val="0"/>
        <w:spacing w:line="360" w:lineRule="auto"/>
        <w:ind w:left="0" w:leftChars="0" w:firstLine="400" w:firstLineChars="0"/>
        <w:jc w:val="left"/>
        <w:rPr>
          <w:rFonts w:hint="eastAsia" w:ascii="宋体" w:hAnsi="宋体" w:eastAsia="宋体" w:cs="宋体"/>
          <w:kern w:val="0"/>
          <w:sz w:val="24"/>
          <w:szCs w:val="24"/>
          <w:highlight w:val="none"/>
          <w:lang w:eastAsia="zh-CN"/>
        </w:rPr>
      </w:pPr>
      <w:r>
        <w:rPr>
          <w:rFonts w:hint="default" w:ascii="宋体" w:hAnsi="宋体" w:eastAsia="宋体" w:cs="宋体"/>
          <w:kern w:val="0"/>
          <w:sz w:val="24"/>
          <w:szCs w:val="24"/>
          <w:highlight w:val="none"/>
          <w:lang w:val="en-US" w:eastAsia="zh-CN" w:bidi="ar-SA"/>
        </w:rPr>
        <w:t>2</w:t>
      </w:r>
      <w:r>
        <w:rPr>
          <w:rFonts w:hint="eastAsia" w:ascii="宋体" w:hAnsi="宋体" w:cs="宋体"/>
          <w:kern w:val="0"/>
          <w:sz w:val="24"/>
          <w:szCs w:val="24"/>
          <w:highlight w:val="none"/>
          <w:lang w:val="en-US" w:eastAsia="zh-CN" w:bidi="ar-SA"/>
        </w:rPr>
        <w:t>.</w:t>
      </w:r>
      <w:r>
        <w:rPr>
          <w:rFonts w:hint="eastAsia" w:ascii="宋体" w:hAnsi="宋体" w:eastAsia="宋体" w:cs="宋体"/>
          <w:kern w:val="0"/>
          <w:sz w:val="24"/>
          <w:szCs w:val="24"/>
          <w:highlight w:val="none"/>
          <w:lang w:eastAsia="zh-CN"/>
        </w:rPr>
        <w:t>根据财政部、司法部发布的《关于政府采购支持监狱企业发展有关问题的通知》（财库〔2014〕68号）规定，对监狱企业视同小型、微型企业，享受评审中价格扣除等</w:t>
      </w:r>
      <w:r>
        <w:rPr>
          <w:rFonts w:hint="eastAsia" w:ascii="宋体" w:hAnsi="宋体" w:eastAsia="宋体" w:cs="宋体"/>
          <w:kern w:val="0"/>
          <w:sz w:val="24"/>
          <w:szCs w:val="24"/>
          <w:highlight w:val="none"/>
          <w:lang w:val="en-US" w:eastAsia="zh-CN"/>
        </w:rPr>
        <w:t>政府采购</w:t>
      </w:r>
      <w:r>
        <w:rPr>
          <w:rFonts w:hint="eastAsia" w:ascii="宋体" w:hAnsi="宋体" w:eastAsia="宋体" w:cs="宋体"/>
          <w:kern w:val="0"/>
          <w:sz w:val="24"/>
          <w:szCs w:val="24"/>
          <w:highlight w:val="none"/>
          <w:lang w:eastAsia="zh-CN"/>
        </w:rPr>
        <w:t>促进中小企业发展的政府采购政策，对其报价给予20%的扣除。</w:t>
      </w:r>
    </w:p>
    <w:p w14:paraId="270CC8CA">
      <w:pPr>
        <w:keepNext w:val="0"/>
        <w:keepLines w:val="0"/>
        <w:pageBreakBefore w:val="0"/>
        <w:widowControl/>
        <w:numPr>
          <w:ilvl w:val="0"/>
          <w:numId w:val="0"/>
        </w:numPr>
        <w:kinsoku/>
        <w:wordWrap/>
        <w:overflowPunct/>
        <w:topLinePunct w:val="0"/>
        <w:bidi w:val="0"/>
        <w:adjustRightInd w:val="0"/>
        <w:snapToGrid w:val="0"/>
        <w:spacing w:line="360" w:lineRule="auto"/>
        <w:ind w:left="0" w:leftChars="0" w:firstLine="400" w:firstLineChars="0"/>
        <w:jc w:val="left"/>
        <w:rPr>
          <w:rFonts w:hint="eastAsia" w:ascii="宋体" w:hAnsi="宋体" w:cs="宋体"/>
          <w:kern w:val="0"/>
          <w:sz w:val="24"/>
          <w:szCs w:val="24"/>
          <w:highlight w:val="none"/>
        </w:rPr>
      </w:pPr>
      <w:r>
        <w:rPr>
          <w:rFonts w:hint="default" w:ascii="宋体" w:hAnsi="宋体" w:eastAsia="宋体" w:cs="宋体"/>
          <w:kern w:val="0"/>
          <w:sz w:val="24"/>
          <w:szCs w:val="24"/>
          <w:highlight w:val="none"/>
          <w:lang w:val="en-US" w:eastAsia="zh-CN" w:bidi="ar-SA"/>
        </w:rPr>
        <w:t>3</w:t>
      </w:r>
      <w:r>
        <w:rPr>
          <w:rFonts w:hint="eastAsia" w:ascii="宋体" w:hAnsi="宋体" w:cs="宋体"/>
          <w:kern w:val="0"/>
          <w:sz w:val="24"/>
          <w:szCs w:val="24"/>
          <w:highlight w:val="none"/>
          <w:lang w:val="en-US" w:eastAsia="zh-CN" w:bidi="ar-SA"/>
        </w:rPr>
        <w:t>.</w:t>
      </w:r>
      <w:r>
        <w:rPr>
          <w:rFonts w:hint="eastAsia" w:ascii="宋体" w:hAnsi="宋体" w:cs="宋体"/>
          <w:kern w:val="0"/>
          <w:sz w:val="24"/>
          <w:szCs w:val="24"/>
          <w:highlight w:val="none"/>
          <w:lang w:eastAsia="zh-CN"/>
        </w:rPr>
        <w:t>根据财政部、民政部、中国残疾人联合会联合发布的《关于促进残疾人就业政府采购政策的通知》（财库〔2017〕141号）规定，</w:t>
      </w:r>
      <w:r>
        <w:rPr>
          <w:rFonts w:hint="eastAsia" w:ascii="宋体" w:hAnsi="宋体" w:eastAsia="宋体" w:cs="宋体"/>
          <w:kern w:val="0"/>
          <w:sz w:val="24"/>
          <w:szCs w:val="24"/>
          <w:highlight w:val="none"/>
          <w:lang w:eastAsia="zh-CN"/>
        </w:rPr>
        <w:t>对</w:t>
      </w:r>
      <w:r>
        <w:rPr>
          <w:rFonts w:hint="eastAsia" w:ascii="宋体" w:hAnsi="宋体" w:eastAsia="宋体" w:cs="宋体"/>
          <w:kern w:val="0"/>
          <w:sz w:val="24"/>
          <w:szCs w:val="24"/>
          <w:highlight w:val="none"/>
          <w:lang w:val="en-US" w:eastAsia="zh-CN"/>
        </w:rPr>
        <w:t>残疾人福利单位</w:t>
      </w:r>
      <w:r>
        <w:rPr>
          <w:rFonts w:hint="eastAsia" w:ascii="宋体" w:hAnsi="宋体" w:eastAsia="宋体" w:cs="宋体"/>
          <w:kern w:val="0"/>
          <w:sz w:val="24"/>
          <w:szCs w:val="24"/>
          <w:highlight w:val="none"/>
          <w:lang w:eastAsia="zh-CN"/>
        </w:rPr>
        <w:t>同小型、微型企业，享受评审中价格扣除等</w:t>
      </w:r>
      <w:r>
        <w:rPr>
          <w:rFonts w:hint="eastAsia" w:ascii="宋体" w:hAnsi="宋体" w:eastAsia="宋体" w:cs="宋体"/>
          <w:kern w:val="0"/>
          <w:sz w:val="24"/>
          <w:szCs w:val="24"/>
          <w:highlight w:val="none"/>
          <w:lang w:val="en-US" w:eastAsia="zh-CN"/>
        </w:rPr>
        <w:t>政府采购</w:t>
      </w:r>
      <w:r>
        <w:rPr>
          <w:rFonts w:hint="eastAsia" w:ascii="宋体" w:hAnsi="宋体" w:eastAsia="宋体" w:cs="宋体"/>
          <w:kern w:val="0"/>
          <w:sz w:val="24"/>
          <w:szCs w:val="24"/>
          <w:highlight w:val="none"/>
          <w:lang w:eastAsia="zh-CN"/>
        </w:rPr>
        <w:t>促进中小企业发展的政府采购政策。即残疾人福利性单位提供本单位制造的货物，或者提供其他残疾人福利性单位制造的货物（不包括使用非残疾人福利性单位注册商标的货物）对其报价给予20%的扣除。</w:t>
      </w:r>
    </w:p>
    <w:p w14:paraId="0BAE6618">
      <w:pPr>
        <w:keepNext w:val="0"/>
        <w:keepLines w:val="0"/>
        <w:pageBreakBefore w:val="0"/>
        <w:widowControl/>
        <w:numPr>
          <w:ilvl w:val="0"/>
          <w:numId w:val="0"/>
        </w:numPr>
        <w:kinsoku/>
        <w:wordWrap/>
        <w:overflowPunct/>
        <w:topLinePunct w:val="0"/>
        <w:bidi w:val="0"/>
        <w:adjustRightInd w:val="0"/>
        <w:snapToGrid w:val="0"/>
        <w:spacing w:line="360" w:lineRule="auto"/>
        <w:ind w:firstLine="480" w:firstLineChars="200"/>
        <w:jc w:val="left"/>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eastAsia="zh-CN"/>
        </w:rPr>
        <w:t>注</w:t>
      </w:r>
      <w:r>
        <w:rPr>
          <w:rFonts w:hint="eastAsia" w:ascii="宋体" w:hAnsi="宋体" w:cs="宋体"/>
          <w:kern w:val="0"/>
          <w:sz w:val="24"/>
          <w:szCs w:val="24"/>
          <w:highlight w:val="none"/>
          <w:lang w:val="en-US" w:eastAsia="zh-CN"/>
        </w:rPr>
        <w:t>：</w:t>
      </w:r>
      <w:r>
        <w:rPr>
          <w:rFonts w:hint="eastAsia" w:ascii="宋体" w:hAnsi="宋体" w:eastAsia="宋体" w:cs="宋体"/>
          <w:kern w:val="0"/>
          <w:sz w:val="24"/>
          <w:szCs w:val="24"/>
          <w:highlight w:val="none"/>
          <w:lang w:eastAsia="zh-CN"/>
        </w:rPr>
        <w:t>中小</w:t>
      </w:r>
      <w:r>
        <w:rPr>
          <w:rFonts w:hint="eastAsia" w:ascii="宋体" w:hAnsi="宋体" w:eastAsia="宋体" w:cs="宋体"/>
          <w:kern w:val="0"/>
          <w:sz w:val="24"/>
          <w:szCs w:val="24"/>
          <w:highlight w:val="none"/>
          <w:lang w:val="en-US" w:eastAsia="zh-CN"/>
        </w:rPr>
        <w:t>微</w:t>
      </w:r>
      <w:r>
        <w:rPr>
          <w:rFonts w:hint="eastAsia" w:ascii="宋体" w:hAnsi="宋体" w:eastAsia="宋体" w:cs="宋体"/>
          <w:kern w:val="0"/>
          <w:sz w:val="24"/>
          <w:szCs w:val="24"/>
          <w:highlight w:val="none"/>
          <w:lang w:eastAsia="zh-CN"/>
        </w:rPr>
        <w:t>企业</w:t>
      </w:r>
      <w:r>
        <w:rPr>
          <w:rFonts w:hint="eastAsia" w:ascii="宋体" w:hAnsi="宋体" w:eastAsia="宋体" w:cs="宋体"/>
          <w:kern w:val="0"/>
          <w:sz w:val="24"/>
          <w:szCs w:val="24"/>
          <w:highlight w:val="none"/>
          <w:lang w:val="en-US" w:eastAsia="zh-CN"/>
        </w:rPr>
        <w:t>应当提供</w:t>
      </w:r>
      <w:r>
        <w:rPr>
          <w:rFonts w:hint="eastAsia" w:ascii="宋体" w:hAnsi="宋体" w:eastAsia="宋体" w:cs="宋体"/>
          <w:kern w:val="0"/>
          <w:sz w:val="24"/>
          <w:szCs w:val="24"/>
          <w:highlight w:val="none"/>
          <w:lang w:eastAsia="zh-CN"/>
        </w:rPr>
        <w:t>《中小企业声明函》，监狱企业</w:t>
      </w:r>
      <w:r>
        <w:rPr>
          <w:rFonts w:hint="eastAsia" w:ascii="宋体" w:hAnsi="宋体" w:eastAsia="宋体" w:cs="宋体"/>
          <w:kern w:val="0"/>
          <w:sz w:val="24"/>
          <w:szCs w:val="24"/>
          <w:highlight w:val="none"/>
          <w:lang w:val="en-US" w:eastAsia="zh-CN"/>
        </w:rPr>
        <w:t>应当</w:t>
      </w:r>
      <w:r>
        <w:rPr>
          <w:rFonts w:hint="eastAsia" w:ascii="宋体" w:hAnsi="宋体" w:eastAsia="宋体" w:cs="宋体"/>
          <w:kern w:val="0"/>
          <w:sz w:val="24"/>
          <w:szCs w:val="24"/>
          <w:highlight w:val="none"/>
          <w:lang w:eastAsia="zh-CN"/>
        </w:rPr>
        <w:t>提供由省级以上监狱管理局、戒毒管理局</w:t>
      </w:r>
      <w:r>
        <w:rPr>
          <w:rFonts w:hint="eastAsia" w:ascii="宋体" w:hAnsi="宋体" w:cs="宋体"/>
          <w:kern w:val="0"/>
          <w:sz w:val="24"/>
          <w:szCs w:val="24"/>
          <w:highlight w:val="none"/>
          <w:lang w:eastAsia="zh-CN"/>
        </w:rPr>
        <w:t>（</w:t>
      </w:r>
      <w:r>
        <w:rPr>
          <w:rFonts w:hint="eastAsia" w:ascii="宋体" w:hAnsi="宋体" w:eastAsia="宋体" w:cs="宋体"/>
          <w:kern w:val="0"/>
          <w:sz w:val="24"/>
          <w:szCs w:val="24"/>
          <w:highlight w:val="none"/>
          <w:lang w:eastAsia="zh-CN"/>
        </w:rPr>
        <w:t>含新疆生产建设兵团</w:t>
      </w:r>
      <w:r>
        <w:rPr>
          <w:rFonts w:hint="eastAsia" w:ascii="宋体" w:hAnsi="宋体" w:cs="宋体"/>
          <w:kern w:val="0"/>
          <w:sz w:val="24"/>
          <w:szCs w:val="24"/>
          <w:highlight w:val="none"/>
          <w:lang w:eastAsia="zh-CN"/>
        </w:rPr>
        <w:t>）</w:t>
      </w:r>
      <w:r>
        <w:rPr>
          <w:rFonts w:hint="eastAsia" w:ascii="宋体" w:hAnsi="宋体" w:eastAsia="宋体" w:cs="宋体"/>
          <w:kern w:val="0"/>
          <w:sz w:val="24"/>
          <w:szCs w:val="24"/>
          <w:highlight w:val="none"/>
          <w:lang w:eastAsia="zh-CN"/>
        </w:rPr>
        <w:t>出具的属于监狱企业的证明文件，</w:t>
      </w:r>
      <w:r>
        <w:rPr>
          <w:rFonts w:hint="eastAsia" w:ascii="宋体" w:hAnsi="宋体" w:eastAsia="宋体" w:cs="宋体"/>
          <w:kern w:val="0"/>
          <w:sz w:val="24"/>
          <w:szCs w:val="24"/>
          <w:highlight w:val="none"/>
          <w:lang w:val="en-US" w:eastAsia="zh-CN"/>
        </w:rPr>
        <w:t>残疾人企业</w:t>
      </w:r>
      <w:r>
        <w:rPr>
          <w:rFonts w:hint="eastAsia" w:ascii="宋体" w:hAnsi="宋体" w:eastAsia="宋体" w:cs="宋体"/>
          <w:kern w:val="0"/>
          <w:sz w:val="24"/>
          <w:szCs w:val="24"/>
          <w:highlight w:val="none"/>
          <w:lang w:eastAsia="zh-CN"/>
        </w:rPr>
        <w:t>应当提供《残疾人福利性单位声明函》，并对声明的真实性负责，否则均不予认定。</w:t>
      </w:r>
      <w:r>
        <w:rPr>
          <w:rFonts w:hint="eastAsia" w:ascii="宋体" w:hAnsi="宋体" w:eastAsia="宋体" w:cs="宋体"/>
          <w:kern w:val="0"/>
          <w:sz w:val="24"/>
          <w:szCs w:val="24"/>
          <w:highlight w:val="none"/>
          <w:lang w:val="en-US" w:eastAsia="zh-CN"/>
        </w:rPr>
        <w:t>以上政策</w:t>
      </w:r>
      <w:r>
        <w:rPr>
          <w:rFonts w:hint="eastAsia" w:ascii="宋体" w:hAnsi="宋体" w:eastAsia="宋体" w:cs="宋体"/>
          <w:kern w:val="0"/>
          <w:sz w:val="24"/>
          <w:szCs w:val="24"/>
          <w:highlight w:val="none"/>
          <w:lang w:eastAsia="zh-CN"/>
        </w:rPr>
        <w:t>不重复享</w:t>
      </w:r>
      <w:r>
        <w:rPr>
          <w:rFonts w:hint="eastAsia" w:ascii="宋体" w:hAnsi="宋体" w:eastAsia="宋体" w:cs="宋体"/>
          <w:kern w:val="0"/>
          <w:sz w:val="24"/>
          <w:szCs w:val="24"/>
          <w:highlight w:val="none"/>
          <w:lang w:val="en-US" w:eastAsia="zh-CN"/>
        </w:rPr>
        <w:t>受</w:t>
      </w:r>
      <w:r>
        <w:rPr>
          <w:rFonts w:hint="eastAsia" w:ascii="宋体" w:hAnsi="宋体" w:eastAsia="宋体" w:cs="宋体"/>
          <w:kern w:val="0"/>
          <w:sz w:val="24"/>
          <w:szCs w:val="24"/>
          <w:highlight w:val="none"/>
          <w:lang w:eastAsia="zh-CN"/>
        </w:rPr>
        <w:t>。</w:t>
      </w:r>
    </w:p>
    <w:p w14:paraId="5664FEF2">
      <w:pPr>
        <w:keepNext w:val="0"/>
        <w:keepLines w:val="0"/>
        <w:pageBreakBefore w:val="0"/>
        <w:widowControl/>
        <w:numPr>
          <w:ilvl w:val="0"/>
          <w:numId w:val="0"/>
        </w:numPr>
        <w:kinsoku/>
        <w:wordWrap/>
        <w:overflowPunct/>
        <w:topLinePunct w:val="0"/>
        <w:bidi w:val="0"/>
        <w:adjustRightInd w:val="0"/>
        <w:snapToGrid w:val="0"/>
        <w:spacing w:line="360" w:lineRule="auto"/>
        <w:ind w:left="0" w:leftChars="0" w:firstLine="400" w:firstLineChars="0"/>
        <w:jc w:val="left"/>
        <w:rPr>
          <w:rFonts w:hint="default" w:ascii="宋体" w:hAnsi="宋体" w:eastAsia="宋体" w:cs="宋体"/>
          <w:kern w:val="0"/>
          <w:sz w:val="24"/>
          <w:szCs w:val="24"/>
          <w:highlight w:val="none"/>
          <w:lang w:val="en-US" w:eastAsia="zh-CN"/>
        </w:rPr>
      </w:pPr>
      <w:r>
        <w:rPr>
          <w:rFonts w:hint="default" w:ascii="宋体" w:hAnsi="宋体" w:eastAsia="宋体" w:cs="宋体"/>
          <w:kern w:val="0"/>
          <w:sz w:val="24"/>
          <w:szCs w:val="24"/>
          <w:highlight w:val="none"/>
          <w:lang w:val="en-US" w:eastAsia="zh-CN" w:bidi="ar-SA"/>
        </w:rPr>
        <w:t>4</w:t>
      </w:r>
      <w:r>
        <w:rPr>
          <w:rFonts w:hint="eastAsia" w:ascii="宋体" w:hAnsi="宋体" w:cs="宋体"/>
          <w:kern w:val="0"/>
          <w:sz w:val="24"/>
          <w:szCs w:val="24"/>
          <w:highlight w:val="none"/>
          <w:lang w:val="en-US" w:eastAsia="zh-CN" w:bidi="ar-SA"/>
        </w:rPr>
        <w:t>.</w:t>
      </w:r>
      <w:r>
        <w:rPr>
          <w:rFonts w:hint="eastAsia" w:ascii="宋体" w:hAnsi="宋体" w:eastAsia="宋体" w:cs="宋体"/>
          <w:kern w:val="0"/>
          <w:sz w:val="24"/>
          <w:szCs w:val="24"/>
          <w:highlight w:val="none"/>
          <w:lang w:val="en-US" w:eastAsia="zh-CN"/>
        </w:rPr>
        <w:t>根据《国务院办公厅关于在政府采购中实施本国产品标准及相关政策的通知》（国办发﹝2025﹞34号）规定，政府采购活动中既有本国产品又有非本国产品参与竞争的，依法对本国产品给予价格评审优惠，对本国产品的报价给予20%的价格扣除，用扣除后的价格参与评审。即投标人提供的产品既有本国产品和非本国产品的，应当按照规定出具《关于符合本国产品标准的声明函》，并说明各项本国产品成本明细以及占全部产品成本的比例，投标人为该项采购项目或者采购包提供的符合产品标准的产品成本之和占该投标人提供的全部产品成本之和的比例达到80%以上时，对该投标人提供的全部产品的总报价给予20%的价格扣除，用扣除后的价格参与评审。</w:t>
      </w:r>
    </w:p>
    <w:p w14:paraId="5A32A8BC">
      <w:pPr>
        <w:keepNext w:val="0"/>
        <w:keepLines w:val="0"/>
        <w:pageBreakBefore w:val="0"/>
        <w:widowControl/>
        <w:numPr>
          <w:ilvl w:val="0"/>
          <w:numId w:val="0"/>
        </w:numPr>
        <w:kinsoku/>
        <w:wordWrap/>
        <w:overflowPunct/>
        <w:topLinePunct w:val="0"/>
        <w:bidi w:val="0"/>
        <w:adjustRightInd w:val="0"/>
        <w:snapToGrid w:val="0"/>
        <w:spacing w:line="360" w:lineRule="auto"/>
        <w:ind w:left="0" w:leftChars="0" w:firstLine="400" w:firstLineChars="0"/>
        <w:jc w:val="left"/>
        <w:rPr>
          <w:rFonts w:hint="eastAsia" w:ascii="宋体" w:hAnsi="宋体" w:eastAsia="宋体" w:cs="宋体"/>
          <w:kern w:val="0"/>
          <w:sz w:val="24"/>
          <w:szCs w:val="24"/>
          <w:highlight w:val="none"/>
          <w:lang w:eastAsia="zh-CN"/>
        </w:rPr>
      </w:pPr>
      <w:r>
        <w:rPr>
          <w:rFonts w:hint="default" w:ascii="宋体" w:hAnsi="宋体" w:eastAsia="宋体" w:cs="宋体"/>
          <w:kern w:val="0"/>
          <w:sz w:val="24"/>
          <w:szCs w:val="24"/>
          <w:highlight w:val="none"/>
          <w:lang w:val="en-US" w:eastAsia="zh-CN" w:bidi="ar-SA"/>
        </w:rPr>
        <w:t>5</w:t>
      </w:r>
      <w:r>
        <w:rPr>
          <w:rFonts w:hint="eastAsia" w:ascii="宋体" w:hAnsi="宋体" w:cs="宋体"/>
          <w:kern w:val="0"/>
          <w:sz w:val="24"/>
          <w:szCs w:val="24"/>
          <w:highlight w:val="none"/>
          <w:lang w:val="en-US" w:eastAsia="zh-CN" w:bidi="ar-SA"/>
        </w:rPr>
        <w:t>.</w:t>
      </w:r>
      <w:r>
        <w:rPr>
          <w:rFonts w:hint="eastAsia" w:ascii="宋体" w:hAnsi="宋体" w:eastAsia="宋体" w:cs="宋体"/>
          <w:kern w:val="0"/>
          <w:sz w:val="24"/>
          <w:szCs w:val="24"/>
          <w:highlight w:val="none"/>
          <w:lang w:eastAsia="zh-CN"/>
        </w:rPr>
        <w:t>涉及商品包装或快递包装的，按照《财政部办公厅、生态环境部办公厅、国家邮政局办公室关于印发&lt;商品包装政府采购需求标准（试行）&gt;、&lt;快递包装政府采购需求标准（试行）&gt;的通知》（财办库〔2020〕123号）、《绿色数据中心政府采购需求标准（试行）》（财库〔2023〕7号）</w:t>
      </w:r>
      <w:r>
        <w:rPr>
          <w:rFonts w:hint="eastAsia" w:ascii="宋体" w:hAnsi="宋体" w:eastAsia="宋体" w:cs="宋体"/>
          <w:kern w:val="0"/>
          <w:sz w:val="24"/>
          <w:szCs w:val="24"/>
          <w:highlight w:val="none"/>
          <w:lang w:val="en-US" w:eastAsia="zh-CN"/>
        </w:rPr>
        <w:t>规定</w:t>
      </w:r>
      <w:r>
        <w:rPr>
          <w:rFonts w:hint="eastAsia" w:ascii="宋体" w:hAnsi="宋体" w:eastAsia="宋体" w:cs="宋体"/>
          <w:kern w:val="0"/>
          <w:sz w:val="24"/>
          <w:szCs w:val="24"/>
          <w:highlight w:val="none"/>
          <w:lang w:eastAsia="zh-CN"/>
        </w:rPr>
        <w:t>执行。</w:t>
      </w:r>
    </w:p>
    <w:p w14:paraId="0244477F">
      <w:pPr>
        <w:keepNext w:val="0"/>
        <w:keepLines w:val="0"/>
        <w:pageBreakBefore w:val="0"/>
        <w:widowControl/>
        <w:numPr>
          <w:ilvl w:val="0"/>
          <w:numId w:val="0"/>
        </w:numPr>
        <w:kinsoku/>
        <w:wordWrap/>
        <w:overflowPunct/>
        <w:topLinePunct w:val="0"/>
        <w:bidi w:val="0"/>
        <w:adjustRightInd w:val="0"/>
        <w:snapToGrid w:val="0"/>
        <w:spacing w:line="360" w:lineRule="auto"/>
        <w:ind w:left="0" w:leftChars="0" w:firstLine="400" w:firstLineChars="0"/>
        <w:jc w:val="left"/>
        <w:rPr>
          <w:rFonts w:hint="eastAsia" w:ascii="宋体" w:hAnsi="宋体" w:eastAsia="宋体" w:cs="宋体"/>
          <w:kern w:val="0"/>
          <w:sz w:val="24"/>
          <w:szCs w:val="24"/>
          <w:highlight w:val="none"/>
          <w:lang w:eastAsia="zh-CN"/>
        </w:rPr>
      </w:pPr>
      <w:r>
        <w:rPr>
          <w:rFonts w:hint="default" w:ascii="宋体" w:hAnsi="宋体" w:eastAsia="宋体" w:cs="宋体"/>
          <w:kern w:val="0"/>
          <w:sz w:val="24"/>
          <w:szCs w:val="24"/>
          <w:lang w:val="en-US" w:eastAsia="zh-CN" w:bidi="ar-SA"/>
        </w:rPr>
        <w:t>6</w:t>
      </w:r>
      <w:r>
        <w:rPr>
          <w:rFonts w:hint="eastAsia" w:ascii="宋体" w:hAnsi="宋体" w:cs="宋体"/>
          <w:kern w:val="0"/>
          <w:sz w:val="24"/>
          <w:szCs w:val="24"/>
          <w:lang w:val="en-US" w:eastAsia="zh-CN" w:bidi="ar-SA"/>
        </w:rPr>
        <w:t>.</w:t>
      </w:r>
      <w:r>
        <w:rPr>
          <w:rFonts w:hint="eastAsia" w:ascii="宋体" w:hAnsi="宋体" w:eastAsia="宋体" w:cs="宋体"/>
          <w:kern w:val="0"/>
          <w:sz w:val="24"/>
          <w:szCs w:val="24"/>
          <w:highlight w:val="none"/>
          <w:lang w:eastAsia="zh-CN"/>
        </w:rPr>
        <w:t>按照《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文件要求，对政府采购节能、环境标志品目清单内的产品实施优先采购和强制采购的评标方法。</w:t>
      </w:r>
    </w:p>
    <w:p w14:paraId="4A7E7FE5">
      <w:pPr>
        <w:pStyle w:val="7"/>
        <w:keepNext w:val="0"/>
        <w:keepLines w:val="0"/>
        <w:pageBreakBefore w:val="0"/>
        <w:widowControl/>
        <w:numPr>
          <w:ilvl w:val="0"/>
          <w:numId w:val="0"/>
        </w:numPr>
        <w:kinsoku/>
        <w:wordWrap/>
        <w:overflowPunct/>
        <w:topLinePunct w:val="0"/>
        <w:bidi w:val="0"/>
        <w:adjustRightInd w:val="0"/>
        <w:snapToGrid w:val="0"/>
        <w:spacing w:line="360" w:lineRule="auto"/>
        <w:ind w:left="561" w:leftChars="0" w:hanging="561" w:hangingChars="233"/>
        <w:jc w:val="left"/>
        <w:rPr>
          <w:rFonts w:ascii="宋体"/>
          <w:b/>
          <w:kern w:val="0"/>
          <w:sz w:val="24"/>
          <w:szCs w:val="24"/>
        </w:rPr>
      </w:pPr>
      <w:r>
        <w:rPr>
          <w:rFonts w:hint="default" w:ascii="宋体" w:hAnsi="Times New Roman" w:eastAsia="宋体" w:cs="Times New Roman"/>
          <w:b/>
          <w:kern w:val="0"/>
          <w:sz w:val="24"/>
          <w:szCs w:val="24"/>
          <w:lang w:val="en-US" w:eastAsia="zh-CN" w:bidi="ar-SA"/>
        </w:rPr>
        <w:t>五、</w:t>
      </w:r>
      <w:r>
        <w:rPr>
          <w:rFonts w:hint="eastAsia" w:ascii="宋体"/>
          <w:b/>
          <w:kern w:val="0"/>
          <w:sz w:val="24"/>
          <w:szCs w:val="24"/>
        </w:rPr>
        <w:t>采购标的任务及需实现的目标</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4343"/>
        <w:gridCol w:w="767"/>
        <w:gridCol w:w="767"/>
        <w:gridCol w:w="2355"/>
      </w:tblGrid>
      <w:tr w14:paraId="32F83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26" w:type="pct"/>
            <w:vAlign w:val="center"/>
          </w:tcPr>
          <w:p w14:paraId="0AC19A9F">
            <w:pPr>
              <w:adjustRightInd w:val="0"/>
              <w:snapToGrid w:val="0"/>
              <w:spacing w:line="360" w:lineRule="auto"/>
              <w:jc w:val="both"/>
              <w:rPr>
                <w:rFonts w:hint="eastAsia" w:ascii="宋体" w:hAnsi="宋体" w:eastAsia="宋体" w:cs="宋体"/>
                <w:b w:val="0"/>
                <w:bCs/>
                <w:sz w:val="24"/>
                <w:szCs w:val="24"/>
              </w:rPr>
            </w:pPr>
            <w:r>
              <w:rPr>
                <w:rFonts w:hint="eastAsia" w:ascii="宋体" w:hAnsi="宋体" w:eastAsia="宋体" w:cs="宋体"/>
                <w:b w:val="0"/>
                <w:bCs/>
                <w:sz w:val="24"/>
                <w:szCs w:val="24"/>
              </w:rPr>
              <w:t>序号</w:t>
            </w:r>
          </w:p>
        </w:tc>
        <w:tc>
          <w:tcPr>
            <w:tcW w:w="2412" w:type="pct"/>
            <w:vAlign w:val="center"/>
          </w:tcPr>
          <w:p w14:paraId="61E59636">
            <w:pPr>
              <w:adjustRightInd w:val="0"/>
              <w:snapToGrid w:val="0"/>
              <w:spacing w:line="360" w:lineRule="auto"/>
              <w:jc w:val="both"/>
              <w:rPr>
                <w:rFonts w:hint="eastAsia" w:ascii="宋体" w:hAnsi="宋体" w:eastAsia="宋体" w:cs="宋体"/>
                <w:b w:val="0"/>
                <w:bCs/>
                <w:sz w:val="24"/>
                <w:szCs w:val="24"/>
              </w:rPr>
            </w:pPr>
            <w:r>
              <w:rPr>
                <w:rFonts w:hint="eastAsia" w:ascii="宋体" w:hAnsi="宋体" w:eastAsia="宋体" w:cs="宋体"/>
                <w:b w:val="0"/>
                <w:bCs/>
                <w:sz w:val="24"/>
                <w:szCs w:val="24"/>
              </w:rPr>
              <w:t>设备名称</w:t>
            </w:r>
          </w:p>
        </w:tc>
        <w:tc>
          <w:tcPr>
            <w:tcW w:w="426" w:type="pct"/>
            <w:shd w:val="clear" w:color="auto" w:fill="auto"/>
            <w:vAlign w:val="center"/>
          </w:tcPr>
          <w:p w14:paraId="5D98826C">
            <w:pPr>
              <w:adjustRightInd w:val="0"/>
              <w:snapToGrid w:val="0"/>
              <w:spacing w:line="360" w:lineRule="auto"/>
              <w:jc w:val="both"/>
              <w:rPr>
                <w:rFonts w:hint="eastAsia" w:ascii="宋体" w:hAnsi="宋体" w:eastAsia="宋体" w:cs="宋体"/>
                <w:b w:val="0"/>
                <w:bCs/>
                <w:kern w:val="2"/>
                <w:sz w:val="24"/>
                <w:szCs w:val="24"/>
                <w:lang w:val="en-US" w:eastAsia="zh-CN" w:bidi="ar-SA"/>
              </w:rPr>
            </w:pPr>
            <w:r>
              <w:rPr>
                <w:rFonts w:hint="eastAsia" w:ascii="宋体" w:hAnsi="宋体" w:eastAsia="宋体" w:cs="宋体"/>
                <w:b w:val="0"/>
                <w:bCs/>
                <w:sz w:val="24"/>
                <w:szCs w:val="24"/>
              </w:rPr>
              <w:t>数量</w:t>
            </w:r>
          </w:p>
        </w:tc>
        <w:tc>
          <w:tcPr>
            <w:tcW w:w="426" w:type="pct"/>
            <w:vAlign w:val="center"/>
          </w:tcPr>
          <w:p w14:paraId="1C0EB9F8">
            <w:pPr>
              <w:adjustRightInd w:val="0"/>
              <w:snapToGrid w:val="0"/>
              <w:spacing w:line="360" w:lineRule="auto"/>
              <w:jc w:val="both"/>
              <w:rPr>
                <w:rFonts w:hint="eastAsia" w:ascii="宋体" w:hAnsi="宋体" w:eastAsia="宋体" w:cs="宋体"/>
                <w:b w:val="0"/>
                <w:bCs/>
                <w:sz w:val="24"/>
                <w:szCs w:val="24"/>
                <w:lang w:val="en-US" w:eastAsia="zh-CN"/>
              </w:rPr>
            </w:pPr>
            <w:r>
              <w:rPr>
                <w:rFonts w:hint="eastAsia" w:ascii="宋体" w:hAnsi="宋体" w:cs="宋体"/>
                <w:b w:val="0"/>
                <w:bCs/>
                <w:sz w:val="24"/>
                <w:szCs w:val="24"/>
                <w:lang w:val="en-US" w:eastAsia="zh-CN"/>
              </w:rPr>
              <w:t>单位</w:t>
            </w:r>
          </w:p>
        </w:tc>
        <w:tc>
          <w:tcPr>
            <w:tcW w:w="1308" w:type="pct"/>
            <w:vAlign w:val="center"/>
          </w:tcPr>
          <w:p w14:paraId="56E9F5AC">
            <w:pPr>
              <w:adjustRightInd w:val="0"/>
              <w:snapToGrid w:val="0"/>
              <w:spacing w:line="360" w:lineRule="auto"/>
              <w:jc w:val="both"/>
              <w:rPr>
                <w:rFonts w:hint="eastAsia" w:ascii="宋体" w:hAnsi="宋体" w:eastAsia="宋体" w:cs="宋体"/>
                <w:b w:val="0"/>
                <w:bCs/>
                <w:sz w:val="24"/>
                <w:szCs w:val="24"/>
                <w:lang w:val="en-US" w:eastAsia="zh-CN"/>
              </w:rPr>
            </w:pPr>
            <w:r>
              <w:rPr>
                <w:rFonts w:hint="eastAsia" w:ascii="宋体" w:hAnsi="宋体" w:cs="宋体"/>
                <w:b w:val="0"/>
                <w:bCs/>
                <w:sz w:val="24"/>
                <w:szCs w:val="24"/>
                <w:lang w:val="en-US" w:eastAsia="zh-CN"/>
              </w:rPr>
              <w:t>单价控制价（元）</w:t>
            </w:r>
          </w:p>
        </w:tc>
      </w:tr>
      <w:tr w14:paraId="2435F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26" w:type="pct"/>
            <w:vAlign w:val="center"/>
          </w:tcPr>
          <w:p w14:paraId="0CB007AC">
            <w:pPr>
              <w:adjustRightInd w:val="0"/>
              <w:snapToGrid w:val="0"/>
              <w:spacing w:line="360" w:lineRule="auto"/>
              <w:jc w:val="center"/>
              <w:rPr>
                <w:rFonts w:hint="eastAsia" w:ascii="宋体" w:hAnsi="宋体" w:eastAsia="宋体" w:cs="宋体"/>
                <w:b w:val="0"/>
                <w:bCs/>
                <w:sz w:val="24"/>
                <w:szCs w:val="24"/>
              </w:rPr>
            </w:pPr>
            <w:r>
              <w:rPr>
                <w:rFonts w:hint="eastAsia" w:ascii="宋体" w:hAnsi="宋体" w:eastAsia="宋体" w:cs="宋体"/>
                <w:b w:val="0"/>
                <w:bCs/>
                <w:sz w:val="24"/>
                <w:szCs w:val="24"/>
              </w:rPr>
              <w:t>1</w:t>
            </w:r>
          </w:p>
        </w:tc>
        <w:tc>
          <w:tcPr>
            <w:tcW w:w="2412" w:type="pct"/>
            <w:vAlign w:val="center"/>
          </w:tcPr>
          <w:p w14:paraId="5CAE159B">
            <w:pPr>
              <w:adjustRightInd w:val="0"/>
              <w:snapToGrid w:val="0"/>
              <w:spacing w:line="360" w:lineRule="auto"/>
              <w:jc w:val="both"/>
              <w:rPr>
                <w:rFonts w:hint="eastAsia" w:ascii="宋体" w:hAnsi="宋体" w:eastAsia="宋体" w:cs="宋体"/>
                <w:b w:val="0"/>
                <w:bCs/>
                <w:sz w:val="24"/>
                <w:szCs w:val="24"/>
              </w:rPr>
            </w:pPr>
            <w:r>
              <w:rPr>
                <w:rFonts w:hint="eastAsia" w:ascii="宋体" w:hAnsi="宋体" w:eastAsia="宋体" w:cs="宋体"/>
                <w:b w:val="0"/>
                <w:bCs/>
                <w:sz w:val="24"/>
                <w:szCs w:val="24"/>
              </w:rPr>
              <w:t>长航时无人机（eVTOL）模拟驾驶器</w:t>
            </w:r>
          </w:p>
        </w:tc>
        <w:tc>
          <w:tcPr>
            <w:tcW w:w="426" w:type="pct"/>
            <w:shd w:val="clear" w:color="auto" w:fill="auto"/>
            <w:vAlign w:val="center"/>
          </w:tcPr>
          <w:p w14:paraId="5D3CC5F1">
            <w:pPr>
              <w:adjustRightInd w:val="0"/>
              <w:snapToGrid w:val="0"/>
              <w:spacing w:line="360" w:lineRule="auto"/>
              <w:jc w:val="both"/>
              <w:rPr>
                <w:rFonts w:hint="eastAsia" w:ascii="宋体" w:hAnsi="宋体" w:eastAsia="宋体" w:cs="宋体"/>
                <w:b w:val="0"/>
                <w:bCs/>
                <w:kern w:val="2"/>
                <w:sz w:val="24"/>
                <w:szCs w:val="24"/>
                <w:lang w:val="en-US" w:eastAsia="zh-CN" w:bidi="ar-SA"/>
              </w:rPr>
            </w:pPr>
            <w:r>
              <w:rPr>
                <w:rFonts w:hint="eastAsia" w:ascii="宋体" w:hAnsi="宋体" w:eastAsia="宋体" w:cs="宋体"/>
                <w:b w:val="0"/>
                <w:bCs/>
                <w:sz w:val="24"/>
                <w:szCs w:val="24"/>
              </w:rPr>
              <w:t>2</w:t>
            </w:r>
          </w:p>
        </w:tc>
        <w:tc>
          <w:tcPr>
            <w:tcW w:w="426" w:type="pct"/>
            <w:vAlign w:val="center"/>
          </w:tcPr>
          <w:p w14:paraId="5936C16E">
            <w:pPr>
              <w:adjustRightInd w:val="0"/>
              <w:snapToGrid w:val="0"/>
              <w:spacing w:line="360" w:lineRule="auto"/>
              <w:jc w:val="both"/>
              <w:rPr>
                <w:rFonts w:hint="eastAsia" w:ascii="宋体" w:hAnsi="宋体" w:eastAsia="宋体" w:cs="宋体"/>
                <w:b w:val="0"/>
                <w:bCs/>
                <w:sz w:val="24"/>
                <w:szCs w:val="24"/>
                <w:lang w:val="en-US" w:eastAsia="zh-CN"/>
              </w:rPr>
            </w:pPr>
            <w:r>
              <w:rPr>
                <w:rFonts w:hint="eastAsia" w:ascii="宋体" w:hAnsi="宋体" w:cs="宋体"/>
                <w:b w:val="0"/>
                <w:bCs/>
                <w:sz w:val="24"/>
                <w:szCs w:val="24"/>
                <w:lang w:val="en-US" w:eastAsia="zh-CN"/>
              </w:rPr>
              <w:t>套</w:t>
            </w:r>
          </w:p>
        </w:tc>
        <w:tc>
          <w:tcPr>
            <w:tcW w:w="2355" w:type="dxa"/>
            <w:shd w:val="clear" w:color="auto" w:fill="auto"/>
            <w:vAlign w:val="center"/>
          </w:tcPr>
          <w:p w14:paraId="107AB281">
            <w:pPr>
              <w:keepNext w:val="0"/>
              <w:keepLines w:val="0"/>
              <w:widowControl/>
              <w:suppressLineNumbers w:val="0"/>
              <w:snapToGrid w:val="0"/>
              <w:spacing w:line="360" w:lineRule="auto"/>
              <w:jc w:val="both"/>
              <w:textAlignment w:val="auto"/>
              <w:rPr>
                <w:rFonts w:hint="eastAsia" w:ascii="宋体" w:hAnsi="宋体" w:eastAsia="宋体" w:cs="宋体"/>
                <w:b w:val="0"/>
                <w:bCs/>
                <w:sz w:val="24"/>
                <w:szCs w:val="24"/>
                <w:lang w:val="en-US" w:eastAsia="zh-CN"/>
              </w:rPr>
            </w:pPr>
            <w:r>
              <w:rPr>
                <w:rFonts w:hint="eastAsia" w:ascii="宋体" w:hAnsi="宋体" w:eastAsia="宋体" w:cs="宋体"/>
                <w:bCs/>
                <w:i w:val="0"/>
                <w:iCs w:val="0"/>
                <w:kern w:val="2"/>
                <w:sz w:val="24"/>
                <w:szCs w:val="24"/>
                <w:u w:val="none"/>
                <w:lang w:val="en-US" w:eastAsia="zh-CN" w:bidi="ar"/>
              </w:rPr>
              <w:t>380000</w:t>
            </w:r>
          </w:p>
        </w:tc>
      </w:tr>
      <w:tr w14:paraId="37635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26" w:type="pct"/>
            <w:vAlign w:val="center"/>
          </w:tcPr>
          <w:p w14:paraId="7B076172">
            <w:pPr>
              <w:adjustRightInd w:val="0"/>
              <w:snapToGrid w:val="0"/>
              <w:spacing w:line="360" w:lineRule="auto"/>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w:t>
            </w:r>
          </w:p>
        </w:tc>
        <w:tc>
          <w:tcPr>
            <w:tcW w:w="2412" w:type="pct"/>
            <w:vAlign w:val="center"/>
          </w:tcPr>
          <w:p w14:paraId="38FFDF37">
            <w:pPr>
              <w:adjustRightInd w:val="0"/>
              <w:snapToGrid w:val="0"/>
              <w:spacing w:line="360" w:lineRule="auto"/>
              <w:jc w:val="both"/>
              <w:rPr>
                <w:rFonts w:hint="eastAsia" w:ascii="宋体" w:hAnsi="宋体" w:eastAsia="宋体" w:cs="宋体"/>
                <w:b w:val="0"/>
                <w:bCs/>
                <w:sz w:val="24"/>
                <w:szCs w:val="24"/>
              </w:rPr>
            </w:pPr>
            <w:r>
              <w:rPr>
                <w:rFonts w:hint="eastAsia" w:ascii="宋体" w:hAnsi="宋体" w:eastAsia="宋体" w:cs="宋体"/>
                <w:b w:val="0"/>
                <w:bCs/>
                <w:sz w:val="24"/>
                <w:szCs w:val="24"/>
                <w:lang w:val="en-US" w:eastAsia="zh-CN"/>
              </w:rPr>
              <w:t>便携式</w:t>
            </w:r>
            <w:r>
              <w:rPr>
                <w:rFonts w:hint="eastAsia" w:ascii="宋体" w:hAnsi="宋体" w:eastAsia="宋体" w:cs="宋体"/>
                <w:b w:val="0"/>
                <w:bCs/>
                <w:sz w:val="24"/>
                <w:szCs w:val="24"/>
              </w:rPr>
              <w:t>无人机装调实训箱</w:t>
            </w:r>
          </w:p>
        </w:tc>
        <w:tc>
          <w:tcPr>
            <w:tcW w:w="426" w:type="pct"/>
            <w:shd w:val="clear" w:color="auto" w:fill="auto"/>
            <w:vAlign w:val="center"/>
          </w:tcPr>
          <w:p w14:paraId="55F8EB47">
            <w:pPr>
              <w:adjustRightInd w:val="0"/>
              <w:snapToGrid w:val="0"/>
              <w:spacing w:line="360" w:lineRule="auto"/>
              <w:jc w:val="both"/>
              <w:rPr>
                <w:rFonts w:hint="eastAsia" w:ascii="宋体" w:hAnsi="宋体" w:eastAsia="宋体" w:cs="宋体"/>
                <w:b w:val="0"/>
                <w:bCs/>
                <w:kern w:val="2"/>
                <w:sz w:val="24"/>
                <w:szCs w:val="24"/>
                <w:lang w:val="en-US" w:eastAsia="zh-CN" w:bidi="ar-SA"/>
              </w:rPr>
            </w:pPr>
            <w:r>
              <w:rPr>
                <w:rFonts w:hint="eastAsia" w:ascii="宋体" w:hAnsi="宋体" w:eastAsia="宋体" w:cs="宋体"/>
                <w:b w:val="0"/>
                <w:bCs/>
                <w:sz w:val="24"/>
                <w:szCs w:val="24"/>
              </w:rPr>
              <w:t>10</w:t>
            </w:r>
          </w:p>
        </w:tc>
        <w:tc>
          <w:tcPr>
            <w:tcW w:w="426" w:type="pct"/>
            <w:vAlign w:val="center"/>
          </w:tcPr>
          <w:p w14:paraId="5744AF0C">
            <w:pPr>
              <w:adjustRightInd w:val="0"/>
              <w:snapToGrid w:val="0"/>
              <w:spacing w:line="360" w:lineRule="auto"/>
              <w:jc w:val="both"/>
              <w:rPr>
                <w:rFonts w:hint="eastAsia" w:ascii="宋体" w:hAnsi="宋体" w:eastAsia="宋体" w:cs="宋体"/>
                <w:b w:val="0"/>
                <w:bCs/>
                <w:sz w:val="24"/>
                <w:szCs w:val="24"/>
                <w:lang w:val="en-US" w:eastAsia="zh-CN"/>
              </w:rPr>
            </w:pPr>
            <w:r>
              <w:rPr>
                <w:rFonts w:hint="eastAsia" w:ascii="宋体" w:hAnsi="宋体" w:cs="宋体"/>
                <w:b w:val="0"/>
                <w:bCs/>
                <w:sz w:val="24"/>
                <w:szCs w:val="24"/>
                <w:lang w:val="en-US" w:eastAsia="zh-CN"/>
              </w:rPr>
              <w:t>套</w:t>
            </w:r>
          </w:p>
        </w:tc>
        <w:tc>
          <w:tcPr>
            <w:tcW w:w="2355" w:type="dxa"/>
            <w:vAlign w:val="center"/>
          </w:tcPr>
          <w:p w14:paraId="0BDA42A9">
            <w:pPr>
              <w:keepNext w:val="0"/>
              <w:keepLines w:val="0"/>
              <w:widowControl/>
              <w:suppressLineNumbers w:val="0"/>
              <w:snapToGrid w:val="0"/>
              <w:spacing w:line="360" w:lineRule="auto"/>
              <w:jc w:val="both"/>
              <w:textAlignment w:val="auto"/>
              <w:rPr>
                <w:rFonts w:hint="eastAsia" w:ascii="宋体" w:hAnsi="宋体" w:eastAsia="宋体" w:cs="宋体"/>
                <w:b w:val="0"/>
                <w:bCs/>
                <w:sz w:val="24"/>
                <w:szCs w:val="24"/>
              </w:rPr>
            </w:pPr>
            <w:r>
              <w:rPr>
                <w:rFonts w:hint="eastAsia" w:ascii="宋体" w:hAnsi="宋体" w:eastAsia="宋体" w:cs="宋体"/>
                <w:bCs/>
                <w:i w:val="0"/>
                <w:iCs w:val="0"/>
                <w:kern w:val="2"/>
                <w:sz w:val="24"/>
                <w:szCs w:val="24"/>
                <w:u w:val="none"/>
                <w:lang w:val="en-US" w:eastAsia="zh-CN" w:bidi="ar"/>
              </w:rPr>
              <w:t>10000</w:t>
            </w:r>
          </w:p>
        </w:tc>
      </w:tr>
      <w:tr w14:paraId="11111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26" w:type="pct"/>
            <w:vAlign w:val="center"/>
          </w:tcPr>
          <w:p w14:paraId="062FA9FE">
            <w:pPr>
              <w:adjustRightInd w:val="0"/>
              <w:snapToGrid w:val="0"/>
              <w:spacing w:line="360" w:lineRule="auto"/>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w:t>
            </w:r>
          </w:p>
        </w:tc>
        <w:tc>
          <w:tcPr>
            <w:tcW w:w="2412" w:type="pct"/>
            <w:vAlign w:val="center"/>
          </w:tcPr>
          <w:p w14:paraId="6603623D">
            <w:pPr>
              <w:adjustRightInd w:val="0"/>
              <w:snapToGrid w:val="0"/>
              <w:spacing w:line="360" w:lineRule="auto"/>
              <w:jc w:val="both"/>
              <w:rPr>
                <w:rFonts w:hint="eastAsia" w:ascii="宋体" w:hAnsi="宋体" w:eastAsia="宋体" w:cs="宋体"/>
                <w:b w:val="0"/>
                <w:bCs/>
                <w:sz w:val="24"/>
                <w:szCs w:val="24"/>
              </w:rPr>
            </w:pPr>
            <w:r>
              <w:rPr>
                <w:rFonts w:hint="eastAsia" w:ascii="宋体" w:hAnsi="宋体" w:eastAsia="宋体" w:cs="宋体"/>
                <w:b w:val="0"/>
                <w:bCs/>
                <w:sz w:val="24"/>
                <w:szCs w:val="24"/>
              </w:rPr>
              <w:t>无人机装调检修仿真实训台</w:t>
            </w:r>
          </w:p>
        </w:tc>
        <w:tc>
          <w:tcPr>
            <w:tcW w:w="426" w:type="pct"/>
            <w:shd w:val="clear" w:color="auto" w:fill="auto"/>
            <w:vAlign w:val="center"/>
          </w:tcPr>
          <w:p w14:paraId="24E292FC">
            <w:pPr>
              <w:adjustRightInd w:val="0"/>
              <w:snapToGrid w:val="0"/>
              <w:spacing w:line="360" w:lineRule="auto"/>
              <w:jc w:val="both"/>
              <w:rPr>
                <w:rFonts w:hint="eastAsia" w:ascii="宋体" w:hAnsi="宋体" w:eastAsia="宋体" w:cs="宋体"/>
                <w:b w:val="0"/>
                <w:bCs/>
                <w:kern w:val="2"/>
                <w:sz w:val="24"/>
                <w:szCs w:val="24"/>
                <w:lang w:val="en-US" w:eastAsia="zh-CN" w:bidi="ar-SA"/>
              </w:rPr>
            </w:pPr>
            <w:r>
              <w:rPr>
                <w:rFonts w:hint="eastAsia" w:ascii="宋体" w:hAnsi="宋体" w:eastAsia="宋体" w:cs="宋体"/>
                <w:b w:val="0"/>
                <w:bCs/>
                <w:sz w:val="24"/>
                <w:szCs w:val="24"/>
              </w:rPr>
              <w:t>4</w:t>
            </w:r>
          </w:p>
        </w:tc>
        <w:tc>
          <w:tcPr>
            <w:tcW w:w="426" w:type="pct"/>
            <w:vAlign w:val="center"/>
          </w:tcPr>
          <w:p w14:paraId="2F89A288">
            <w:pPr>
              <w:adjustRightInd w:val="0"/>
              <w:snapToGrid w:val="0"/>
              <w:spacing w:line="360" w:lineRule="auto"/>
              <w:jc w:val="both"/>
              <w:rPr>
                <w:rFonts w:hint="eastAsia" w:ascii="宋体" w:hAnsi="宋体" w:eastAsia="宋体" w:cs="宋体"/>
                <w:b w:val="0"/>
                <w:bCs/>
                <w:sz w:val="24"/>
                <w:szCs w:val="24"/>
              </w:rPr>
            </w:pPr>
            <w:r>
              <w:rPr>
                <w:rFonts w:hint="eastAsia" w:ascii="宋体" w:hAnsi="宋体" w:cs="宋体"/>
                <w:b w:val="0"/>
                <w:bCs/>
                <w:sz w:val="24"/>
                <w:szCs w:val="24"/>
                <w:lang w:val="en-US" w:eastAsia="zh-CN"/>
              </w:rPr>
              <w:t>套</w:t>
            </w:r>
          </w:p>
        </w:tc>
        <w:tc>
          <w:tcPr>
            <w:tcW w:w="2355" w:type="dxa"/>
            <w:vAlign w:val="center"/>
          </w:tcPr>
          <w:p w14:paraId="60163525">
            <w:pPr>
              <w:keepNext w:val="0"/>
              <w:keepLines w:val="0"/>
              <w:widowControl/>
              <w:suppressLineNumbers w:val="0"/>
              <w:snapToGrid w:val="0"/>
              <w:spacing w:line="360" w:lineRule="auto"/>
              <w:jc w:val="both"/>
              <w:textAlignment w:val="auto"/>
              <w:rPr>
                <w:rFonts w:hint="eastAsia" w:ascii="宋体" w:hAnsi="宋体" w:eastAsia="宋体" w:cs="宋体"/>
                <w:b w:val="0"/>
                <w:bCs/>
                <w:sz w:val="24"/>
                <w:szCs w:val="24"/>
              </w:rPr>
            </w:pPr>
            <w:r>
              <w:rPr>
                <w:rFonts w:hint="eastAsia" w:ascii="宋体" w:hAnsi="宋体" w:eastAsia="宋体" w:cs="宋体"/>
                <w:bCs/>
                <w:i w:val="0"/>
                <w:iCs w:val="0"/>
                <w:kern w:val="2"/>
                <w:sz w:val="24"/>
                <w:szCs w:val="24"/>
                <w:u w:val="none"/>
                <w:lang w:val="en-US" w:eastAsia="zh-CN" w:bidi="ar"/>
              </w:rPr>
              <w:t>150000</w:t>
            </w:r>
          </w:p>
        </w:tc>
      </w:tr>
      <w:tr w14:paraId="27468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26" w:type="pct"/>
            <w:vAlign w:val="center"/>
          </w:tcPr>
          <w:p w14:paraId="5339FF5E">
            <w:pPr>
              <w:adjustRightInd w:val="0"/>
              <w:snapToGrid w:val="0"/>
              <w:spacing w:line="360" w:lineRule="auto"/>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w:t>
            </w:r>
          </w:p>
        </w:tc>
        <w:tc>
          <w:tcPr>
            <w:tcW w:w="2412" w:type="pct"/>
            <w:vAlign w:val="center"/>
          </w:tcPr>
          <w:p w14:paraId="0AE046A1">
            <w:pPr>
              <w:adjustRightInd w:val="0"/>
              <w:snapToGrid w:val="0"/>
              <w:spacing w:line="360" w:lineRule="auto"/>
              <w:jc w:val="both"/>
              <w:rPr>
                <w:rFonts w:hint="eastAsia" w:ascii="宋体" w:hAnsi="宋体" w:eastAsia="宋体" w:cs="宋体"/>
                <w:b w:val="0"/>
                <w:bCs/>
                <w:sz w:val="24"/>
                <w:szCs w:val="24"/>
              </w:rPr>
            </w:pPr>
            <w:r>
              <w:rPr>
                <w:rFonts w:hint="eastAsia" w:ascii="宋体" w:hAnsi="宋体" w:eastAsia="宋体" w:cs="宋体"/>
                <w:b w:val="0"/>
                <w:bCs/>
                <w:sz w:val="24"/>
                <w:szCs w:val="24"/>
              </w:rPr>
              <w:t>无人机飞行模拟实训台</w:t>
            </w:r>
          </w:p>
        </w:tc>
        <w:tc>
          <w:tcPr>
            <w:tcW w:w="426" w:type="pct"/>
            <w:shd w:val="clear" w:color="auto" w:fill="auto"/>
            <w:vAlign w:val="center"/>
          </w:tcPr>
          <w:p w14:paraId="11BCA289">
            <w:pPr>
              <w:adjustRightInd w:val="0"/>
              <w:snapToGrid w:val="0"/>
              <w:spacing w:line="360" w:lineRule="auto"/>
              <w:jc w:val="both"/>
              <w:rPr>
                <w:rFonts w:hint="eastAsia" w:ascii="宋体" w:hAnsi="宋体" w:eastAsia="宋体" w:cs="宋体"/>
                <w:b w:val="0"/>
                <w:bCs/>
                <w:kern w:val="2"/>
                <w:sz w:val="24"/>
                <w:szCs w:val="24"/>
                <w:lang w:val="en-US" w:eastAsia="zh-CN" w:bidi="ar-SA"/>
              </w:rPr>
            </w:pPr>
            <w:r>
              <w:rPr>
                <w:rFonts w:hint="eastAsia" w:ascii="宋体" w:hAnsi="宋体" w:eastAsia="宋体" w:cs="宋体"/>
                <w:b w:val="0"/>
                <w:bCs/>
                <w:sz w:val="24"/>
                <w:szCs w:val="24"/>
                <w:lang w:val="en-US" w:eastAsia="zh-CN"/>
              </w:rPr>
              <w:t>4</w:t>
            </w:r>
          </w:p>
        </w:tc>
        <w:tc>
          <w:tcPr>
            <w:tcW w:w="426" w:type="pct"/>
            <w:vAlign w:val="center"/>
          </w:tcPr>
          <w:p w14:paraId="5C0B373E">
            <w:pPr>
              <w:adjustRightInd w:val="0"/>
              <w:snapToGrid w:val="0"/>
              <w:spacing w:line="360" w:lineRule="auto"/>
              <w:jc w:val="both"/>
              <w:rPr>
                <w:rFonts w:hint="eastAsia" w:ascii="宋体" w:hAnsi="宋体" w:eastAsia="宋体" w:cs="宋体"/>
                <w:b w:val="0"/>
                <w:bCs/>
                <w:sz w:val="24"/>
                <w:szCs w:val="24"/>
              </w:rPr>
            </w:pPr>
            <w:r>
              <w:rPr>
                <w:rFonts w:hint="eastAsia" w:ascii="宋体" w:hAnsi="宋体" w:cs="宋体"/>
                <w:b w:val="0"/>
                <w:bCs/>
                <w:sz w:val="24"/>
                <w:szCs w:val="24"/>
                <w:lang w:val="en-US" w:eastAsia="zh-CN"/>
              </w:rPr>
              <w:t>套</w:t>
            </w:r>
          </w:p>
        </w:tc>
        <w:tc>
          <w:tcPr>
            <w:tcW w:w="2355" w:type="dxa"/>
            <w:vAlign w:val="center"/>
          </w:tcPr>
          <w:p w14:paraId="3945C78F">
            <w:pPr>
              <w:keepNext w:val="0"/>
              <w:keepLines w:val="0"/>
              <w:widowControl/>
              <w:suppressLineNumbers w:val="0"/>
              <w:snapToGrid w:val="0"/>
              <w:spacing w:line="360" w:lineRule="auto"/>
              <w:jc w:val="both"/>
              <w:textAlignment w:val="auto"/>
              <w:rPr>
                <w:rFonts w:hint="eastAsia" w:ascii="宋体" w:hAnsi="宋体" w:eastAsia="宋体" w:cs="宋体"/>
                <w:b w:val="0"/>
                <w:bCs/>
                <w:sz w:val="24"/>
                <w:szCs w:val="24"/>
                <w:lang w:val="en-US" w:eastAsia="zh-CN"/>
              </w:rPr>
            </w:pPr>
            <w:r>
              <w:rPr>
                <w:rFonts w:hint="eastAsia" w:ascii="宋体" w:hAnsi="宋体" w:eastAsia="宋体" w:cs="宋体"/>
                <w:bCs/>
                <w:i w:val="0"/>
                <w:iCs w:val="0"/>
                <w:kern w:val="2"/>
                <w:sz w:val="24"/>
                <w:szCs w:val="24"/>
                <w:u w:val="none"/>
                <w:lang w:val="en-US" w:eastAsia="zh-CN" w:bidi="ar"/>
              </w:rPr>
              <w:t>125000</w:t>
            </w:r>
          </w:p>
        </w:tc>
      </w:tr>
    </w:tbl>
    <w:p w14:paraId="37906516">
      <w:pPr>
        <w:pStyle w:val="7"/>
        <w:keepNext w:val="0"/>
        <w:keepLines w:val="0"/>
        <w:pageBreakBefore w:val="0"/>
        <w:widowControl/>
        <w:numPr>
          <w:ilvl w:val="0"/>
          <w:numId w:val="0"/>
        </w:numPr>
        <w:kinsoku/>
        <w:wordWrap/>
        <w:overflowPunct/>
        <w:topLinePunct w:val="0"/>
        <w:bidi w:val="0"/>
        <w:adjustRightInd w:val="0"/>
        <w:snapToGrid w:val="0"/>
        <w:spacing w:line="360" w:lineRule="auto"/>
        <w:ind w:left="561" w:leftChars="0" w:hanging="561" w:hangingChars="233"/>
        <w:jc w:val="left"/>
        <w:rPr>
          <w:rFonts w:ascii="宋体"/>
          <w:b/>
          <w:kern w:val="0"/>
          <w:sz w:val="24"/>
          <w:szCs w:val="24"/>
        </w:rPr>
      </w:pPr>
      <w:r>
        <w:rPr>
          <w:rFonts w:hint="default" w:ascii="宋体" w:hAnsi="Times New Roman" w:eastAsia="宋体" w:cs="Times New Roman"/>
          <w:b/>
          <w:kern w:val="0"/>
          <w:sz w:val="24"/>
          <w:szCs w:val="24"/>
          <w:lang w:val="en-US" w:eastAsia="zh-CN" w:bidi="ar-SA"/>
        </w:rPr>
        <w:t>六、</w:t>
      </w:r>
      <w:r>
        <w:rPr>
          <w:rFonts w:hint="eastAsia" w:ascii="宋体"/>
          <w:b/>
          <w:kern w:val="0"/>
          <w:sz w:val="24"/>
          <w:szCs w:val="24"/>
        </w:rPr>
        <w:t>采购标的需满足的</w:t>
      </w:r>
      <w:r>
        <w:rPr>
          <w:rFonts w:hint="eastAsia" w:ascii="宋体"/>
          <w:b/>
          <w:kern w:val="0"/>
          <w:sz w:val="24"/>
          <w:szCs w:val="24"/>
          <w:lang w:val="en-US" w:eastAsia="zh-CN"/>
        </w:rPr>
        <w:t>服务</w:t>
      </w:r>
      <w:r>
        <w:rPr>
          <w:rFonts w:hint="eastAsia" w:ascii="宋体"/>
          <w:b/>
          <w:kern w:val="0"/>
          <w:sz w:val="24"/>
          <w:szCs w:val="24"/>
        </w:rPr>
        <w:t>、售后、质量、包装及运输等技术要求</w:t>
      </w:r>
    </w:p>
    <w:p w14:paraId="631CDE40">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1.设备运输及安装</w:t>
      </w:r>
    </w:p>
    <w:p w14:paraId="7C990746">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投标人须严格依据采购人指定的交货地点、时间以及接收联系人信息，安全、完整地将设备运输至指定场所。在规划运输路线时，需充分考虑交通状况、天气因素等可能影响运输安全和时效的情况，提前制定应对预案，确保设备按时、安全送达。</w:t>
      </w:r>
    </w:p>
    <w:p w14:paraId="22A1FA48">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运输过程中必须采取全面且有效的防震、防潮、防损等保护措施。针对不同设备的特性，定制专门的包装方案，如对于精密仪器采用防震泡沫、防潮袋等进行多层包装；对于大型设备，使用专业的固定装置防止其在运输过程中晃动。确保设备及配件无损坏、缺失。若发生运输损坏，投标人需在 24 小时内响应，立即启动免费更换流程，并在 3 个工作日内将新设备送达指定地点。</w:t>
      </w:r>
    </w:p>
    <w:p w14:paraId="2F08AD1E">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运输车辆及人员须符合国家道路运输安全规范，车辆应具备相应的运输资质证书，驾驶员需持有效的驾驶证和从业资格证。投标人需提供运输过程追踪信息，包括但不限于物流单号、实时定位等，方便采购人随时了解设备运输状态。同时，建立运输信息沟通机制，定期向采购人汇报运输进展情况。</w:t>
      </w:r>
    </w:p>
    <w:p w14:paraId="42D38A17">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投标人需派遣具备资质的技术人员完成设备安装、调试及初步验收。安装前须与采购人确认现场环境符合设备运行条件（如电力、空间、网络等），并提交书面环境确认报告。安装过程须严格遵循设备说明书及行业安全规范，确保安装质量符合国家标准及采购人技术要求。</w:t>
      </w:r>
    </w:p>
    <w:p w14:paraId="7CA98634">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2.设备集成及调试</w:t>
      </w:r>
    </w:p>
    <w:p w14:paraId="3AA9B681">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系统兼容性：若设备需要与其他系统进行集成，投标人需确保设备与现有系统的兼容性。在集成前，对现有系统的接口进行详细分析，制定合理的集成方案。集成过程中，应遵循相关标准和规范，确保集成后的系统能够稳定、高效地运行，实现数据的准确传输和共享。</w:t>
      </w:r>
    </w:p>
    <w:p w14:paraId="3D4857D7">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集成测试：完成设备集成后，需进行全面的集成测试。测试内容包括功能测试、性能测试、兼容性测试等，确保设备与系统的各项功能正常实现，性能指标满足要求，且与其他系统之间无冲突。测试过程中，应详细记录测试数据和结果，对发现的问题及时进行整改，直至集成系统通过验收。</w:t>
      </w:r>
    </w:p>
    <w:p w14:paraId="206B2860">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rPr>
        <w:t>投标人需制定详细的设备调试方案，明确调试步骤、方法和标准。调试方案应根据设备的特点和采购人的使用需求进行制定，确保调试工作能够全面、有效地检验设备的性能和功能。调试过程中技术人员应按照调试方案逐步进行操作，对设备的各项参数进行调整和优化。在调试过程中，应密切关注设备的运行状态，及时发现并解决出现的问题。设备调试完成后，投标人需组织采购人进行初步验收。初步验收应按照合同约定的验收标准和流程进行，验收内容包括设备的外观、性能、功能等方面。验收过程中，投标人应提供详</w:t>
      </w:r>
      <w:r>
        <w:rPr>
          <w:rFonts w:hint="eastAsia" w:ascii="宋体" w:hAnsi="宋体" w:cs="宋体"/>
          <w:sz w:val="24"/>
          <w:szCs w:val="24"/>
          <w:highlight w:val="none"/>
        </w:rPr>
        <w:t>细的调试报告和测试数据，对设备的运行情况进行说明。若初步验收不合格，投标人应在规定的时间内完成整改，直至通过验收。</w:t>
      </w:r>
    </w:p>
    <w:p w14:paraId="355940FD">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3.设备培训</w:t>
      </w:r>
    </w:p>
    <w:p w14:paraId="14EFE410">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投标人应派至少两名专业技术人员对采购人</w:t>
      </w:r>
      <w:r>
        <w:rPr>
          <w:rFonts w:hint="eastAsia" w:ascii="宋体" w:hAnsi="宋体" w:cs="宋体"/>
          <w:sz w:val="24"/>
          <w:szCs w:val="24"/>
          <w:highlight w:val="none"/>
          <w:lang w:val="en-US" w:eastAsia="zh-CN"/>
        </w:rPr>
        <w:t>指定人员</w:t>
      </w:r>
      <w:r>
        <w:rPr>
          <w:rFonts w:hint="eastAsia" w:ascii="宋体" w:hAnsi="宋体" w:cs="宋体"/>
          <w:sz w:val="24"/>
          <w:szCs w:val="24"/>
          <w:highlight w:val="none"/>
        </w:rPr>
        <w:t>进行培训，培训人员应具备丰富的设备操作和维护经验，能够熟练讲解设备的原理、操作方法和常见故障排除技巧，并提交培训记录及操作手册。培训时间应根据采购人的实际需求进行合理安排，可分阶段进行，确保采购人</w:t>
      </w:r>
      <w:r>
        <w:rPr>
          <w:rFonts w:hint="eastAsia" w:ascii="宋体" w:hAnsi="宋体" w:cs="宋体"/>
          <w:sz w:val="24"/>
          <w:szCs w:val="24"/>
          <w:highlight w:val="none"/>
          <w:lang w:val="en-US" w:eastAsia="zh-CN"/>
        </w:rPr>
        <w:t>指定</w:t>
      </w:r>
      <w:r>
        <w:rPr>
          <w:rFonts w:hint="eastAsia" w:ascii="宋体" w:hAnsi="宋体" w:cs="宋体"/>
          <w:sz w:val="24"/>
          <w:szCs w:val="24"/>
          <w:highlight w:val="none"/>
        </w:rPr>
        <w:t>人员有足够的时间学习和实践。直至采购人</w:t>
      </w:r>
      <w:r>
        <w:rPr>
          <w:rFonts w:hint="eastAsia" w:ascii="宋体" w:hAnsi="宋体" w:cs="宋体"/>
          <w:sz w:val="24"/>
          <w:szCs w:val="24"/>
          <w:highlight w:val="none"/>
          <w:lang w:val="en-US" w:eastAsia="zh-CN"/>
        </w:rPr>
        <w:t>指定</w:t>
      </w:r>
      <w:r>
        <w:rPr>
          <w:rFonts w:hint="eastAsia" w:ascii="宋体" w:hAnsi="宋体" w:cs="宋体"/>
          <w:sz w:val="24"/>
          <w:szCs w:val="24"/>
          <w:highlight w:val="none"/>
        </w:rPr>
        <w:t>人员能熟练独立工作，同时能完成一般常见故障的维修工作为止，时长不少于7个工作日，培训人员3～5人，一切费用由投标人承担。</w:t>
      </w:r>
    </w:p>
    <w:p w14:paraId="45B1E936">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highlight w:val="none"/>
        </w:rPr>
        <w:t>培训内容应包括设备的操作使用、日常维护保养、常见故障诊断与排除等方面。直至采购人的教师或技术人员能熟练</w:t>
      </w:r>
      <w:r>
        <w:rPr>
          <w:rFonts w:hint="eastAsia" w:ascii="宋体" w:hAnsi="宋体" w:cs="宋体"/>
          <w:sz w:val="24"/>
          <w:szCs w:val="24"/>
        </w:rPr>
        <w:t>独立工作，同时能完成一般常见故障的维修工作为止。在培训结束后，投标人需对学员进行考核，考核方式可采用理论考试和实际操作考核相结合的方式。考核合格后，颁发培训合格证书。若学员考核不合格，投标人应免费提供再次培训的机会，直至学员通过考核。一切培训费用由投标人承担。</w:t>
      </w:r>
    </w:p>
    <w:p w14:paraId="38210762">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4.维修保养</w:t>
      </w:r>
    </w:p>
    <w:p w14:paraId="59125010">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（1）所有设备保修期为两年（自验收合格之日起），生产厂家提供终身维修,并提供整机的维修资料。</w:t>
      </w:r>
    </w:p>
    <w:p w14:paraId="3E618385">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（2）若提供的货物出现问题，投标人</w:t>
      </w:r>
      <w:r>
        <w:rPr>
          <w:rFonts w:hint="eastAsia" w:ascii="宋体" w:hAnsi="宋体" w:cs="宋体"/>
          <w:sz w:val="24"/>
          <w:szCs w:val="24"/>
          <w:lang w:eastAsia="zh-CN"/>
        </w:rPr>
        <w:t>需在1小时内响应</w:t>
      </w:r>
      <w:r>
        <w:rPr>
          <w:rFonts w:hint="eastAsia" w:ascii="宋体" w:hAnsi="宋体" w:cs="宋体"/>
          <w:sz w:val="24"/>
          <w:szCs w:val="24"/>
        </w:rPr>
        <w:t>，4小时到达现场并处理，4小时内修复，4小时内无法恢复的，质保期内投标人必须2个工作日内免费完成更换全新设备，并提供7×24小时售后服务。</w:t>
      </w:r>
    </w:p>
    <w:p w14:paraId="3278E62B">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（3）在保修期限内，同一商品、同一质量问题连续两次维修仍无法正常使用，供应厂商必须予以更换同品牌、同型号新机器。</w:t>
      </w:r>
    </w:p>
    <w:p w14:paraId="331B28F1">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rPr>
        <w:t>（4）投标人根据招标文件要求提供详细的售后服务方案，包含：①产品售后维修更换方案；②售后服务人员配</w:t>
      </w:r>
      <w:r>
        <w:rPr>
          <w:rFonts w:hint="eastAsia" w:ascii="宋体" w:hAnsi="宋体" w:cs="宋体"/>
          <w:sz w:val="24"/>
          <w:szCs w:val="24"/>
          <w:highlight w:val="none"/>
        </w:rPr>
        <w:t>置；③产品维护响应计划；④应急处理方案。</w:t>
      </w:r>
    </w:p>
    <w:p w14:paraId="0C61F543">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5.★投标人中标后</w:t>
      </w:r>
      <w:r>
        <w:rPr>
          <w:rFonts w:hint="eastAsia" w:ascii="宋体" w:hAnsi="宋体" w:cs="宋体"/>
          <w:b/>
          <w:bCs/>
          <w:sz w:val="24"/>
          <w:szCs w:val="24"/>
          <w:highlight w:val="none"/>
          <w:lang w:val="en-US" w:eastAsia="zh-CN"/>
        </w:rPr>
        <w:t>须具备</w:t>
      </w:r>
      <w:r>
        <w:rPr>
          <w:rFonts w:hint="eastAsia" w:ascii="宋体" w:hAnsi="宋体" w:cs="宋体"/>
          <w:b/>
          <w:bCs/>
          <w:sz w:val="24"/>
          <w:szCs w:val="24"/>
          <w:highlight w:val="none"/>
        </w:rPr>
        <w:t>构建培训体系</w:t>
      </w:r>
    </w:p>
    <w:p w14:paraId="13D95387">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（1）无人机驾驶员</w:t>
      </w:r>
    </w:p>
    <w:p w14:paraId="22FDBFCA">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1）首期履约建设目标（</w:t>
      </w:r>
      <w:r>
        <w:rPr>
          <w:rFonts w:hint="eastAsia" w:ascii="宋体" w:hAnsi="宋体" w:cs="宋体"/>
          <w:b/>
          <w:bCs/>
          <w:sz w:val="24"/>
          <w:szCs w:val="24"/>
          <w:lang w:val="en-US" w:eastAsia="zh-CN"/>
        </w:rPr>
        <w:t>自合签订之日起三个月内</w:t>
      </w:r>
      <w:r>
        <w:rPr>
          <w:rFonts w:hint="eastAsia" w:ascii="宋体" w:hAnsi="宋体" w:cs="宋体"/>
          <w:b/>
          <w:bCs/>
          <w:sz w:val="24"/>
          <w:szCs w:val="24"/>
        </w:rPr>
        <w:t>完成）</w:t>
      </w:r>
    </w:p>
    <w:p w14:paraId="0657F88B">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课程教材开发：需随设备提供全套成熟、完整的教学资源包，与企业共同开发培训课程，制定培训课程标准，构建与培养高技能人才需求相适应的培训课程体系，至少应包含《无人机地面站》、《无人机操控技术》2门课程的教学PPT、实训指导书、设备操作手册及常见故障排查指南，培训课程应以工作任务为导向，以提升职业能力为核心，体现专业学习和工作实践紧密结合的“工学一体、学做合一”的特征。</w:t>
      </w:r>
    </w:p>
    <w:p w14:paraId="2828D2F9">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师资队伍建设：根据国高基地的建设情况配备具有高级工及以上职业资格或CAAC</w:t>
      </w:r>
      <w:r>
        <w:rPr>
          <w:rFonts w:hint="eastAsia" w:ascii="宋体" w:hAnsi="宋体" w:cs="宋体"/>
          <w:b/>
          <w:bCs/>
          <w:sz w:val="24"/>
          <w:szCs w:val="24"/>
          <w:lang w:val="en-US" w:eastAsia="zh-CN"/>
        </w:rPr>
        <w:t>相关专业</w:t>
      </w:r>
      <w:r>
        <w:rPr>
          <w:rFonts w:hint="eastAsia" w:ascii="宋体" w:hAnsi="宋体" w:cs="宋体"/>
          <w:b/>
          <w:bCs/>
          <w:sz w:val="24"/>
          <w:szCs w:val="24"/>
        </w:rPr>
        <w:t>教员执照的专业教师2名，推荐企业技师、骨干专业技术人员成为采购人的兼职教师，保障采购人的师生比例达到1:16-1:20。</w:t>
      </w:r>
    </w:p>
    <w:p w14:paraId="674FBBD8">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师资培养：须与采购人一同完成师资能力提升等相关工作，涵盖师资培训、技能强化等方面，确保师资水平有效提升，并提供师资能力提升培养方案；组织采购人教师到院校、企业培训不少于1次；须承担培训教学质量评价工作，涵盖过程性考核与终结性考核，需确保全面、准确完成这两项考核任务，以评估培训教学质量。</w:t>
      </w:r>
    </w:p>
    <w:p w14:paraId="4A5FA340">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实训设备管理：按照采购人要求配备所在专业培养高技能人才需求相适应的设备，增加长航时无人机模拟驾驶器2台，按照采购人要求及时提供设施设备台账，设施设备管理制度等相关设备管理材料，确保培训设备工位、先进程度与特色专业相匹配，满足培训高技能人才需求。</w:t>
      </w:r>
    </w:p>
    <w:p w14:paraId="7A685D03">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院校合作：应具备高校资源引荐能力，确保采购人能与不少于2所高校建立深度合作关系并签订合作协议。合作开展多方面产教融合、短期培训、技能评定等培训项目至少一项。</w:t>
      </w:r>
    </w:p>
    <w:p w14:paraId="710588BB">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企业合作：应具备企业资源引荐能力，确保采购人与不少于2家中大型企业签订合作协议，结合区域重点产业规划，重点与区内企业开展“订单式”培训。同时，需与采购人和合作企业共同制定高技能人才培训方案、培训课程标准，开发培训课程不少于1套并将教材装订成册，并建立契合高技能人才培养需求的培训教材开发机制。</w:t>
      </w:r>
    </w:p>
    <w:p w14:paraId="726FBA0F">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新型学徒制培训：须与采购人一同组织开展企业新型学徒制培训，需在项目执行过程中完成对企业及学员的满意度调查，确保服务质量与反馈收集。</w:t>
      </w:r>
    </w:p>
    <w:p w14:paraId="1744D613">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创新成果：须形成1套具有创新性的职业技能培训实施方案；需承担创新性成果材料收集工作，确保所收集材料完整、准确且能充分体现创新性。</w:t>
      </w:r>
    </w:p>
    <w:p w14:paraId="6C45F804">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高技能人才培养成果：应具备校企资源引荐及培训学员招生宣传能力，确保采购人能够完成500人以上的职业技能培训，且培养高技能人才300人以上，按照采购人要求汇总学员花名册、身份证复印件、</w:t>
      </w:r>
      <w:r>
        <w:rPr>
          <w:rFonts w:hint="eastAsia" w:ascii="宋体" w:hAnsi="宋体" w:cs="宋体"/>
          <w:b/>
          <w:bCs/>
          <w:sz w:val="24"/>
          <w:szCs w:val="24"/>
          <w:lang w:eastAsia="zh-CN"/>
        </w:rPr>
        <w:t>高技能人才等级证书等相关材料</w:t>
      </w:r>
      <w:r>
        <w:rPr>
          <w:rFonts w:hint="eastAsia" w:ascii="宋体" w:hAnsi="宋体" w:cs="宋体"/>
          <w:b/>
          <w:bCs/>
          <w:sz w:val="24"/>
          <w:szCs w:val="24"/>
        </w:rPr>
        <w:t>；针对在校学生开展高质量培训并实现成功就业50人以上，并提供相关材料。</w:t>
      </w:r>
    </w:p>
    <w:p w14:paraId="3F7C8B07">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培训质量：投标人提供的相应设备及专业讲师培训，参加培训后学员评价满意率需达90%以上。使用相应设备参加培训后用人单位评价满意率达90%以上。</w:t>
      </w:r>
    </w:p>
    <w:p w14:paraId="0F82BDE9">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总结报告：按照采购人要求提供无人机装调检修工专业各年度建设情况报告，包含设备使用率、使用效果、培训规模、培训成效、创新成果等各项建设内容，确保基地顺利通过验收。</w:t>
      </w:r>
    </w:p>
    <w:p w14:paraId="32BAD651">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2）第二阶段建设目标（2027年8月15日前完成）</w:t>
      </w:r>
    </w:p>
    <w:p w14:paraId="699907F7">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课程教材开发：需做好培训实施过程监督记录（含教研记录、培训听课记录、评教记录、学员座谈会、专家评价记录、督导记录等）；需随设备提供全套成熟、完整的教学资源包，与企业共同开发培训课程，制定培训课程标准，构建与培养高技能人才需求相适应的培训课程体系，至少应包含《摄影方法与技巧》《无人机植保技术》2门课程的的教学PPT、实训指导书、设备操作手册及常见故障排查指南，培训课程应以工作任务为导向，以提升职业能力为核心，体现专业学习和工作实践紧密结合的“工学一体、学做合一”的特征。</w:t>
      </w:r>
    </w:p>
    <w:p w14:paraId="5411E921">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rPr>
        <w:t>师资队伍建设：根据国高</w:t>
      </w:r>
      <w:r>
        <w:rPr>
          <w:rFonts w:hint="eastAsia" w:ascii="宋体" w:hAnsi="宋体" w:cs="宋体"/>
          <w:b/>
          <w:bCs/>
          <w:sz w:val="24"/>
          <w:szCs w:val="24"/>
          <w:highlight w:val="none"/>
        </w:rPr>
        <w:t>基地的建设情况继续配备具有高级工及以上职业资格或</w:t>
      </w:r>
      <w:r>
        <w:rPr>
          <w:rFonts w:hint="eastAsia" w:ascii="宋体" w:hAnsi="宋体" w:cs="宋体"/>
          <w:b/>
          <w:bCs/>
          <w:sz w:val="24"/>
          <w:szCs w:val="24"/>
          <w:highlight w:val="none"/>
          <w:lang w:eastAsia="zh-CN"/>
        </w:rPr>
        <w:t>CAAC相关专业教员执照</w:t>
      </w:r>
      <w:r>
        <w:rPr>
          <w:rFonts w:hint="eastAsia" w:ascii="宋体" w:hAnsi="宋体" w:cs="宋体"/>
          <w:b/>
          <w:bCs/>
          <w:sz w:val="24"/>
          <w:szCs w:val="24"/>
          <w:highlight w:val="none"/>
        </w:rPr>
        <w:t>的专业教师2名，推荐企业技师、骨干专业技术人员成为采购人的兼职教师，保障采购人的师生比例达到1:16-1:20。</w:t>
      </w:r>
    </w:p>
    <w:p w14:paraId="5EA1E978">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highlight w:val="none"/>
        </w:rPr>
        <w:t>师资培养：须与采购人一同完成</w:t>
      </w:r>
      <w:r>
        <w:rPr>
          <w:rFonts w:hint="eastAsia" w:ascii="宋体" w:hAnsi="宋体" w:cs="宋体"/>
          <w:b/>
          <w:bCs/>
          <w:sz w:val="24"/>
          <w:szCs w:val="24"/>
        </w:rPr>
        <w:t>师资能力提升等相关工作，涵盖师资培训、技能强化等方面，确保师资水平有效提升，并提供师资能力提升培养方案；组织采购人教师到院校、企业培训不少于1次；须承担培训教学质量评价工作，涵盖过程性考核与终结性考核，需确保全面、准确完成这两项考核任务，以评估培训教学质量。</w:t>
      </w:r>
    </w:p>
    <w:p w14:paraId="2EF62A13">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实训设备管理：持续优化设备配置，按照采购人要求配备所在专业培养高技能人才需求相适应的设备，按照采购人要求及时提供设施设备台账，设施设备管理制度等相关设备管理材料，确保培训设备工位、先进程度与特色专业相匹配，满足培训高技能人才需求。</w:t>
      </w:r>
    </w:p>
    <w:p w14:paraId="0461DFF1">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院校合作：应具备高校资源引荐能力，确保采购人能与不少于2所高校建立深度合作关系并签订合作协议。合作开展多方面产教融合、短期培训、技能评定等培训项目至少一项。</w:t>
      </w:r>
    </w:p>
    <w:p w14:paraId="5FF3F00F">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企业合作：应具备企业资源引荐能力，确保采购人与不少于2家中大型企业签订合作协议，结合区域重点产业规划，重点与区内企业开展“订单式”培训。同时，需与采购人和合作企业共同制定高技能人才培训方案、培训课程标准，开发培训课程不少于1套并将教材装订成册，并建立契合高技能人才培养需求的培训教材开发机制。</w:t>
      </w:r>
    </w:p>
    <w:p w14:paraId="234DF7F6">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新型学徒制培训：须与采购人一同组织开展企业新型学徒制培训，需在项目执行过程中完成对企业及学员的满意度调查，确保服务质量与反馈收集。</w:t>
      </w:r>
    </w:p>
    <w:p w14:paraId="52C143ED">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创新成果：须形成1套具有创新性的职业技能培训实施方案；需承担创新性成果材料收集工作，确保所收集材料完整、准确且能充分体现创新性。</w:t>
      </w:r>
    </w:p>
    <w:p w14:paraId="55E6F3A0">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高技能人才培养成果：应具备校企资源引荐及培训学员招生宣传能力，确保采购人能够完成500人以上的职业技能培训，且培养高技能人才300人以上，按照采购人要求汇总学员花名册、身份证复印件、</w:t>
      </w:r>
      <w:r>
        <w:rPr>
          <w:rFonts w:hint="eastAsia" w:ascii="宋体" w:hAnsi="宋体" w:cs="宋体"/>
          <w:b/>
          <w:bCs/>
          <w:sz w:val="24"/>
          <w:szCs w:val="24"/>
          <w:lang w:eastAsia="zh-CN"/>
        </w:rPr>
        <w:t>高技能人才等级证书等相关材料</w:t>
      </w:r>
      <w:r>
        <w:rPr>
          <w:rFonts w:hint="eastAsia" w:ascii="宋体" w:hAnsi="宋体" w:cs="宋体"/>
          <w:b/>
          <w:bCs/>
          <w:sz w:val="24"/>
          <w:szCs w:val="24"/>
        </w:rPr>
        <w:t>；针对在校学生开展高质量培训并实现成功就业50人以上，并提供相关材料。</w:t>
      </w:r>
    </w:p>
    <w:p w14:paraId="4C61CDCA">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培训质量：投标人提供的相应设备及专业讲师培训，参加培训后学员评价满意率需达90%以上。使用相应设备参加培训后用人单位评价满意率达90%以上。</w:t>
      </w:r>
    </w:p>
    <w:p w14:paraId="71C683B6">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总结报告：按照采购人要求提供无人机装调检修工专业各年度建设情况报告，包含设备使用率、使用效果、培训规模、培训成效、创新成果等各项建设内容，确保基地顺利通过验收。</w:t>
      </w:r>
    </w:p>
    <w:p w14:paraId="5B36AD07">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3）第三阶段建设目标（至合同服务期结束）</w:t>
      </w:r>
    </w:p>
    <w:p w14:paraId="001396AA">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投标人须严格遵循前两年的服务标准与要求，持续为采购人提供专业、高效的支持服务，确保基地建设的稳定运行。保障基地当年度完成高技能人才培训不少于400人，且培养高级工及以上人才不低于培训人数的80%，应按照采购人要求汇总学员花名册、身份证复印件、高技能人才等级证书等</w:t>
      </w:r>
      <w:r>
        <w:rPr>
          <w:rFonts w:hint="eastAsia" w:ascii="宋体" w:hAnsi="宋体" w:cs="宋体"/>
          <w:b/>
          <w:bCs/>
          <w:sz w:val="24"/>
          <w:szCs w:val="24"/>
          <w:lang w:val="en-US" w:eastAsia="zh-CN"/>
        </w:rPr>
        <w:t>相关</w:t>
      </w:r>
      <w:r>
        <w:rPr>
          <w:rFonts w:hint="eastAsia" w:ascii="宋体" w:hAnsi="宋体" w:cs="宋体"/>
          <w:b/>
          <w:bCs/>
          <w:sz w:val="24"/>
          <w:szCs w:val="24"/>
        </w:rPr>
        <w:t>材料。</w:t>
      </w:r>
    </w:p>
    <w:p w14:paraId="44A48311">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（2）无人机装调检修工</w:t>
      </w:r>
    </w:p>
    <w:p w14:paraId="2B8B484D">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1）首期履约建设目标（</w:t>
      </w:r>
      <w:r>
        <w:rPr>
          <w:rFonts w:hint="eastAsia" w:ascii="宋体" w:hAnsi="宋体" w:cs="宋体"/>
          <w:b/>
          <w:bCs/>
          <w:sz w:val="24"/>
          <w:szCs w:val="24"/>
          <w:lang w:val="en-US" w:eastAsia="zh-CN"/>
        </w:rPr>
        <w:t>自合同签订之日起三个月内</w:t>
      </w:r>
      <w:r>
        <w:rPr>
          <w:rFonts w:hint="eastAsia" w:ascii="宋体" w:hAnsi="宋体" w:cs="宋体"/>
          <w:b/>
          <w:bCs/>
          <w:sz w:val="24"/>
          <w:szCs w:val="24"/>
        </w:rPr>
        <w:t>完成）</w:t>
      </w:r>
    </w:p>
    <w:p w14:paraId="6035E072">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课程教材开发：需随设备提供全套成熟、完整的教学资源包，与企业共同开发培训课程，制定培训课程标准，构建与培养高技能人才需求相适应的培训课程体系，至少应包含《无人机装配技术》、《无人机修理》教材的教学PPT、实训指导书、设备操作手册及常见故障排查指南，培训课程应以工作任务为导向，以提升职业能力为核心，体现专业学习和工作实践紧密结合的“工学一体、学做合一”的特征。</w:t>
      </w:r>
    </w:p>
    <w:p w14:paraId="73686716">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师资队伍建设：根据国高基地的建设情况配备具有高级工以上职业资格或</w:t>
      </w:r>
      <w:r>
        <w:rPr>
          <w:rFonts w:hint="eastAsia" w:ascii="宋体" w:hAnsi="宋体" w:cs="宋体"/>
          <w:b/>
          <w:bCs/>
          <w:sz w:val="24"/>
          <w:szCs w:val="24"/>
          <w:lang w:eastAsia="zh-CN"/>
        </w:rPr>
        <w:t>CAAC相关专业教员执照</w:t>
      </w:r>
      <w:r>
        <w:rPr>
          <w:rFonts w:hint="eastAsia" w:ascii="宋体" w:hAnsi="宋体" w:cs="宋体"/>
          <w:b/>
          <w:bCs/>
          <w:sz w:val="24"/>
          <w:szCs w:val="24"/>
        </w:rPr>
        <w:t>的专业教师2名，推荐企业技师、骨干专业技术人员成为采购人的兼职教师，保障采购人的师生比例达到1:16-1:20。</w:t>
      </w:r>
    </w:p>
    <w:p w14:paraId="1E57E4E2">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师资培养：须与采购人一同完成师资能力提升等相关工作，涵盖师资培训、技能强化等方面，确保师资水平有效提升，并提供师资能力提升培养方案。组织师资到院校、企业培训不少于1次，须承担培训教学质量评价工作，涵盖过程性考核与终结性考核，需确保全面、准确完成这两项考核任务，以评估培训教学质量。</w:t>
      </w:r>
    </w:p>
    <w:p w14:paraId="0983E400">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实训设备管理：增加飞机可更换机电单元实训台、飞机外场可更换电子实训台、无人机模拟维修平台等设备。按照采购人要求及时提供设施设备台账，设施设备管理制度等相关设备管理材料，确保培训设备工位、先进程度与特色专业相匹配，满足培训高技能人才需求。</w:t>
      </w:r>
    </w:p>
    <w:p w14:paraId="41BA6938">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院校合作：应具备高校资源引荐能力，确保采购人能与不少于2所高校建立深度合作关系并签订合作协议。合作开展多方面产教融合、短期培训、技能评定等项目至少一项。</w:t>
      </w:r>
    </w:p>
    <w:p w14:paraId="1C63C542">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企业合作：应具备企业资源引荐能力，确保采购人与不少于2家中大型企业签订合作协议，结合区域重点产业规划，重点与区内企业开展“订单式”培训。同时，需与采购人和合作企业共同制定高技能人才培训方案、培训课程标准，开发培训课程不少于1套并将教材装订成册，并建立契合高技能人才培养需求的培训教材开发机制。</w:t>
      </w:r>
    </w:p>
    <w:p w14:paraId="27E93971">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新型学徒制培训：须与采购人一同组织开展企业新型学徒制培训，需在项目执行过程中完成对企业及学员的满意度调查，确保服务质量与反馈收集。</w:t>
      </w:r>
    </w:p>
    <w:p w14:paraId="6190E86F">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创新成果：须形成1套具有创新性的职业技能培训实施方案；需承担创新性成果材料收集工作，确保所收集材料完整、准确且能充分体现创新性。</w:t>
      </w:r>
    </w:p>
    <w:p w14:paraId="3B3272C9">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高技能人才培养成果：应具备校企资源引荐及培训学员招生宣传能力，确保采购人能够完成1000人以上的职业技能培训，且培养高技能人才300人以上，按照采购人要求汇总学员花名册、身份证复印件、</w:t>
      </w:r>
      <w:r>
        <w:rPr>
          <w:rFonts w:hint="eastAsia" w:ascii="宋体" w:hAnsi="宋体" w:cs="宋体"/>
          <w:b/>
          <w:bCs/>
          <w:sz w:val="24"/>
          <w:szCs w:val="24"/>
          <w:lang w:eastAsia="zh-CN"/>
        </w:rPr>
        <w:t>高技能人才等级证书等相关材料</w:t>
      </w:r>
      <w:r>
        <w:rPr>
          <w:rFonts w:hint="eastAsia" w:ascii="宋体" w:hAnsi="宋体" w:cs="宋体"/>
          <w:b/>
          <w:bCs/>
          <w:sz w:val="24"/>
          <w:szCs w:val="24"/>
        </w:rPr>
        <w:t>；针对在校学生开展高质量培训并实现成功就业50人以上，并提供相关材料。</w:t>
      </w:r>
    </w:p>
    <w:p w14:paraId="5123EB40">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培训质量要求：投标人提供的相应设备及专业讲师培训，参加培训后学员评价满意率需达90%以上。使用相应设备参加培训后用人单位评价满意率达90%以上。</w:t>
      </w:r>
    </w:p>
    <w:p w14:paraId="33A7CDF7">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总结报告：按照采购人要求提供无人机装调检修工专业各年度建设情况报告，包含设备使用率、使用效果、培训规模、培训成效、创新成果等各项建设内容，确保基地顺利通过验收。</w:t>
      </w:r>
    </w:p>
    <w:p w14:paraId="54B2E102">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2）第二阶段建设目标（</w:t>
      </w:r>
      <w:r>
        <w:rPr>
          <w:rFonts w:hint="eastAsia" w:ascii="宋体" w:hAnsi="宋体" w:cs="宋体"/>
          <w:b/>
          <w:bCs/>
          <w:sz w:val="24"/>
          <w:szCs w:val="24"/>
          <w:lang w:eastAsia="zh-CN"/>
        </w:rPr>
        <w:t>2027年8月15日</w:t>
      </w:r>
      <w:r>
        <w:rPr>
          <w:rFonts w:hint="eastAsia" w:ascii="宋体" w:hAnsi="宋体" w:cs="宋体"/>
          <w:b/>
          <w:bCs/>
          <w:sz w:val="24"/>
          <w:szCs w:val="24"/>
        </w:rPr>
        <w:t>前完成）</w:t>
      </w:r>
    </w:p>
    <w:p w14:paraId="7C917109">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rPr>
        <w:t>课程教材开发：需做好培训实施过程监督记录（含教研记录、培训听课记录、评教记录、学员座谈会、专家评价记录、督导记录等）；需随设备提供全套成熟、完整的教学资源包，与企业共同开发培训课程，制定培训课程标准，构建与培养高技能人才需求相适应的培训课程体系，至少应包含《无人机复合材料修理》《无人机结构修理》2门课程的的教学PPT、实训指导书、设备操作手册及常见故障排查指南，培训课程应以工作任务为导向，以提升职业能力为核心，体现专业学习和工作实践紧密结合的“工学</w:t>
      </w:r>
      <w:r>
        <w:rPr>
          <w:rFonts w:hint="eastAsia" w:ascii="宋体" w:hAnsi="宋体" w:cs="宋体"/>
          <w:b/>
          <w:bCs/>
          <w:sz w:val="24"/>
          <w:szCs w:val="24"/>
          <w:highlight w:val="none"/>
        </w:rPr>
        <w:t>一体、学做合一”的特征。</w:t>
      </w:r>
    </w:p>
    <w:p w14:paraId="4EE85029">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highlight w:val="none"/>
        </w:rPr>
        <w:t>师资队伍建设：根据国高基地的建设情况继续配备具有高级工以上职业资格或</w:t>
      </w:r>
      <w:r>
        <w:rPr>
          <w:rFonts w:hint="eastAsia" w:ascii="宋体" w:hAnsi="宋体" w:cs="宋体"/>
          <w:b/>
          <w:bCs/>
          <w:sz w:val="24"/>
          <w:szCs w:val="24"/>
          <w:highlight w:val="none"/>
          <w:lang w:eastAsia="zh-CN"/>
        </w:rPr>
        <w:t>CAAC相关专业教员执照</w:t>
      </w:r>
      <w:r>
        <w:rPr>
          <w:rFonts w:hint="eastAsia" w:ascii="宋体" w:hAnsi="宋体" w:cs="宋体"/>
          <w:b/>
          <w:bCs/>
          <w:sz w:val="24"/>
          <w:szCs w:val="24"/>
          <w:highlight w:val="none"/>
        </w:rPr>
        <w:t>的专业教</w:t>
      </w:r>
      <w:r>
        <w:rPr>
          <w:rFonts w:hint="eastAsia" w:ascii="宋体" w:hAnsi="宋体" w:cs="宋体"/>
          <w:b/>
          <w:bCs/>
          <w:sz w:val="24"/>
          <w:szCs w:val="24"/>
        </w:rPr>
        <w:t>师4名，推荐企业技师、骨干专业技术人员成为采购人的兼职教师，保障采购人的师生比例达到1:16-1:20。</w:t>
      </w:r>
    </w:p>
    <w:p w14:paraId="6B16767E">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师资培养：须与采购人一同完成师资能力提升等相关工作，涵盖师资培训、技能强化等方面，确保师资水平有效提升，并提供师资能力提升培养方案。组织师资到院校、企业培训不少于1次，须承担培训教学质量评价工作，涵盖过程性考核与终结性考核，需确保全面、准确完成这两项考核任务，以评估培训教学质量。</w:t>
      </w:r>
    </w:p>
    <w:p w14:paraId="6C1D07DB">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实训设备管理：持续优化设备配置，梳理设施设备管理台账，按照采购人要求及时提供设施设备台账，设施设备管理制度等相关设备管理材料，确保培训设备工位、先进程度与特色专业相匹配，满足培训高技能人才需求。</w:t>
      </w:r>
    </w:p>
    <w:p w14:paraId="55A4BB81">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院校合作：应具备高校资源引荐能力，确保采购人能与不少于2所高校建立深度合作关系并签订合作协议。合作开展多方面产教融合、短期培训、技能评定等项目至少一项。</w:t>
      </w:r>
    </w:p>
    <w:p w14:paraId="2ADF833F">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企业合作：应具备企业资源引荐能力，确保采购人与不少于2家中大型企业签订合作协议，结合区域重点产业规划，重点与区内企业开展“订单式”培训。同时，需与采购人和合作企业共同制定高技能人才培训方案、培训课程标准，开发培训课程不少于1套并将教材装订成册，并建立契合高技能人才培养需求的培训教材开发机制。</w:t>
      </w:r>
    </w:p>
    <w:p w14:paraId="262F8CF2">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新型学徒制培训：须与采购人一同组织开展企业新型学徒制培训，需在项目执行过程中完成对企业及学员的满意度调查，确保服务质量与反馈收集。</w:t>
      </w:r>
    </w:p>
    <w:p w14:paraId="751C61E5">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创新成果：须形成1套具有创新性的职业技能培训实施方案；需承担创新性成果材料收集工作，确保所收集材料完整、准确且能充分体现创新性。</w:t>
      </w:r>
    </w:p>
    <w:p w14:paraId="38FD5E68">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高技能人才培养成果：应具备校企资源引荐及培训学员招生宣传能力，确保采购人能够完成1000人以上的职业技能培训，且培养高技能人才300人以上，按照采购人要求汇总学员花名册、身份证复印件、</w:t>
      </w:r>
      <w:r>
        <w:rPr>
          <w:rFonts w:hint="eastAsia" w:ascii="宋体" w:hAnsi="宋体" w:cs="宋体"/>
          <w:b/>
          <w:bCs/>
          <w:sz w:val="24"/>
          <w:szCs w:val="24"/>
          <w:lang w:eastAsia="zh-CN"/>
        </w:rPr>
        <w:t>高技能人才等级证书等相关材料</w:t>
      </w:r>
      <w:r>
        <w:rPr>
          <w:rFonts w:hint="eastAsia" w:ascii="宋体" w:hAnsi="宋体" w:cs="宋体"/>
          <w:b/>
          <w:bCs/>
          <w:sz w:val="24"/>
          <w:szCs w:val="24"/>
        </w:rPr>
        <w:t>；针对在校学生开展高质量培训并实现成功就业50人以上，并提供相关材料。</w:t>
      </w:r>
    </w:p>
    <w:p w14:paraId="7C2C7CC2">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培训质量要求：投标人提供的相应设备及专业讲师培训，参加培训后学员评价满意率需达90%以上。使用相应设备参加培训后用人单位评价满意率达90%以上。</w:t>
      </w:r>
    </w:p>
    <w:p w14:paraId="34F8CBC8">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总结报告：按照采购人要求提供无人机装调检修工专业各年度建设情况报告，包含设备使用率、使用效果、培训规模、培训成效、创新成果等各项建设内容，确保基地顺利通过验收。</w:t>
      </w:r>
    </w:p>
    <w:p w14:paraId="451EA357">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3）第三阶段建设目标（至合同服务期结束）</w:t>
      </w:r>
    </w:p>
    <w:p w14:paraId="2A26C81A">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rPr>
        <w:t>投标人须严格遵循前两年的服务标准与要求，持续为采购人提供专业、高效的支持服务，确保基地建设的稳定运行。保障基地当年度完成高技能人才培训不少于400人，且培养高级</w:t>
      </w:r>
      <w:r>
        <w:rPr>
          <w:rFonts w:hint="eastAsia" w:ascii="宋体" w:hAnsi="宋体" w:cs="宋体"/>
          <w:b/>
          <w:bCs/>
          <w:sz w:val="24"/>
          <w:szCs w:val="24"/>
          <w:highlight w:val="none"/>
        </w:rPr>
        <w:t>工及以上人才不低于培训人数的80%，应按照采购人要求汇总学员花名册、身份证复印件、</w:t>
      </w:r>
      <w:r>
        <w:rPr>
          <w:rFonts w:hint="eastAsia" w:ascii="宋体" w:hAnsi="宋体" w:cs="宋体"/>
          <w:b/>
          <w:bCs/>
          <w:sz w:val="24"/>
          <w:szCs w:val="24"/>
          <w:highlight w:val="none"/>
          <w:lang w:eastAsia="zh-CN"/>
        </w:rPr>
        <w:t>高技能人才等级证书等相关材料</w:t>
      </w:r>
      <w:r>
        <w:rPr>
          <w:rFonts w:hint="eastAsia" w:ascii="宋体" w:hAnsi="宋体" w:cs="宋体"/>
          <w:b/>
          <w:bCs/>
          <w:sz w:val="24"/>
          <w:szCs w:val="24"/>
          <w:highlight w:val="none"/>
        </w:rPr>
        <w:t>。</w:t>
      </w:r>
    </w:p>
    <w:p w14:paraId="140FC3AA">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highlight w:val="none"/>
        </w:rPr>
      </w:pPr>
      <w:r>
        <w:rPr>
          <w:rFonts w:hint="eastAsia" w:ascii="宋体" w:hAnsi="宋体" w:cs="宋体"/>
          <w:b w:val="0"/>
          <w:bCs w:val="0"/>
          <w:sz w:val="24"/>
          <w:szCs w:val="24"/>
          <w:highlight w:val="none"/>
        </w:rPr>
        <w:t>6.技术要求</w:t>
      </w:r>
    </w:p>
    <w:p w14:paraId="43BE6EFC">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highlight w:val="none"/>
        </w:rPr>
      </w:pPr>
      <w:r>
        <w:rPr>
          <w:rFonts w:hint="eastAsia" w:ascii="宋体" w:hAnsi="宋体" w:cs="宋体"/>
          <w:b w:val="0"/>
          <w:bCs w:val="0"/>
          <w:sz w:val="24"/>
          <w:szCs w:val="24"/>
          <w:highlight w:val="none"/>
        </w:rPr>
        <w:t>（1）投标人中标后所提供产品必须为全新正规合格产品。</w:t>
      </w:r>
    </w:p>
    <w:p w14:paraId="49FA4C8B">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highlight w:val="none"/>
        </w:rPr>
      </w:pPr>
      <w:r>
        <w:rPr>
          <w:rFonts w:hint="eastAsia" w:ascii="宋体" w:hAnsi="宋体" w:cs="宋体"/>
          <w:b w:val="0"/>
          <w:bCs w:val="0"/>
          <w:sz w:val="24"/>
          <w:szCs w:val="24"/>
          <w:highlight w:val="none"/>
        </w:rPr>
        <w:t>（2）提供所投产品详细的配置清单，包括产品名称、品牌、规格型号、数量等。</w:t>
      </w:r>
    </w:p>
    <w:p w14:paraId="69C8299E">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highlight w:val="none"/>
        </w:rPr>
      </w:pPr>
      <w:r>
        <w:rPr>
          <w:rFonts w:hint="eastAsia" w:ascii="宋体" w:hAnsi="宋体" w:cs="宋体"/>
          <w:b w:val="0"/>
          <w:bCs w:val="0"/>
          <w:sz w:val="24"/>
          <w:szCs w:val="24"/>
          <w:highlight w:val="none"/>
        </w:rPr>
        <w:t>（3）投标人中标后提供生产厂家完整的随机资料，包括完整的使用和维修手册等。</w:t>
      </w:r>
    </w:p>
    <w:p w14:paraId="2297808D">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highlight w:val="none"/>
        </w:rPr>
      </w:pPr>
      <w:r>
        <w:rPr>
          <w:rFonts w:hint="eastAsia" w:ascii="宋体" w:hAnsi="宋体" w:cs="宋体"/>
          <w:b w:val="0"/>
          <w:bCs w:val="0"/>
          <w:sz w:val="24"/>
          <w:szCs w:val="24"/>
          <w:highlight w:val="none"/>
        </w:rPr>
        <w:t>（4）提供所投产品详细的介绍及技术指标、产品参数。</w:t>
      </w:r>
    </w:p>
    <w:p w14:paraId="37DF5FA5">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highlight w:val="none"/>
        </w:rPr>
      </w:pPr>
      <w:r>
        <w:rPr>
          <w:rFonts w:hint="eastAsia" w:ascii="宋体" w:hAnsi="宋体" w:cs="宋体"/>
          <w:b w:val="0"/>
          <w:bCs w:val="0"/>
          <w:sz w:val="24"/>
          <w:szCs w:val="24"/>
          <w:highlight w:val="none"/>
        </w:rPr>
        <w:t>（5）提供详细的售后服务方案。</w:t>
      </w:r>
    </w:p>
    <w:p w14:paraId="55C5F52B">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highlight w:val="none"/>
        </w:rPr>
      </w:pPr>
      <w:r>
        <w:rPr>
          <w:rFonts w:hint="eastAsia" w:ascii="宋体" w:hAnsi="宋体" w:cs="宋体"/>
          <w:b w:val="0"/>
          <w:bCs w:val="0"/>
          <w:sz w:val="24"/>
          <w:szCs w:val="24"/>
          <w:highlight w:val="none"/>
        </w:rPr>
        <w:t>（6）投标人须提供所投产品生产厂家服务机构情况，包括地址、联系方式及技术人员数量等。</w:t>
      </w:r>
    </w:p>
    <w:p w14:paraId="52C70E00">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highlight w:val="none"/>
        </w:rPr>
      </w:pPr>
      <w:r>
        <w:rPr>
          <w:rFonts w:hint="eastAsia" w:ascii="宋体" w:hAnsi="宋体" w:cs="宋体"/>
          <w:b w:val="0"/>
          <w:bCs w:val="0"/>
          <w:sz w:val="24"/>
          <w:szCs w:val="24"/>
          <w:highlight w:val="none"/>
          <w:lang w:eastAsia="zh-CN"/>
        </w:rPr>
        <w:t>7</w:t>
      </w:r>
      <w:r>
        <w:rPr>
          <w:rFonts w:hint="eastAsia" w:ascii="宋体" w:hAnsi="宋体" w:cs="宋体"/>
          <w:b w:val="0"/>
          <w:bCs w:val="0"/>
          <w:sz w:val="24"/>
          <w:szCs w:val="24"/>
          <w:highlight w:val="none"/>
        </w:rPr>
        <w:t>.其他要求</w:t>
      </w:r>
    </w:p>
    <w:p w14:paraId="17151D71">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highlight w:val="none"/>
        </w:rPr>
      </w:pPr>
      <w:r>
        <w:rPr>
          <w:rFonts w:hint="eastAsia" w:ascii="宋体" w:hAnsi="宋体" w:cs="宋体"/>
          <w:b w:val="0"/>
          <w:bCs w:val="0"/>
          <w:sz w:val="24"/>
          <w:szCs w:val="24"/>
          <w:highlight w:val="none"/>
        </w:rPr>
        <w:t>（1）投标人应秉持实训中心为国家级高技能人才培训基地建设主体的原则，全面协助实训中心完成基地建设与验收的各项具体工作，确保基地顺利通过验收。</w:t>
      </w:r>
    </w:p>
    <w:p w14:paraId="4854C360">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highlight w:val="none"/>
        </w:rPr>
      </w:pPr>
      <w:r>
        <w:rPr>
          <w:rFonts w:hint="eastAsia" w:ascii="宋体" w:hAnsi="宋体" w:cs="宋体"/>
          <w:b w:val="0"/>
          <w:bCs w:val="0"/>
          <w:sz w:val="24"/>
          <w:szCs w:val="24"/>
          <w:highlight w:val="none"/>
        </w:rPr>
        <w:t>（2）涉及所有培训的实施由采购人指定地点。</w:t>
      </w:r>
    </w:p>
    <w:p w14:paraId="63CEE535">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highlight w:val="none"/>
        </w:rPr>
        <w:t>（3）采购人对培训实施过程进行全程跟踪，对实施过程中发现的问题和不足，有权提出合理性要求并进行改</w:t>
      </w:r>
      <w:r>
        <w:rPr>
          <w:rFonts w:hint="eastAsia" w:ascii="宋体" w:hAnsi="宋体" w:cs="宋体"/>
          <w:b w:val="0"/>
          <w:bCs w:val="0"/>
          <w:sz w:val="24"/>
          <w:szCs w:val="24"/>
        </w:rPr>
        <w:t>进和完善；</w:t>
      </w:r>
    </w:p>
    <w:p w14:paraId="30E1C285">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（4）培训对象由采购人指定，培训对象对培训结果的满意率应达90%以上；</w:t>
      </w:r>
    </w:p>
    <w:p w14:paraId="74125AB4">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（5）涉及职业工种课程资源开发服务，采购人有权对课程资源的应用效果进行跟踪并提出改进意见；</w:t>
      </w:r>
    </w:p>
    <w:p w14:paraId="3E64D780">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（6）课程资源应符合国家职业标准，与现场设备性能相吻合。</w:t>
      </w:r>
    </w:p>
    <w:p w14:paraId="06B0BC5E">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（7）知识产权要求</w:t>
      </w:r>
    </w:p>
    <w:p w14:paraId="1D9CD01B">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投标人所提供的产品、软件、资料等不侵犯任何第三方的知识产权，如因此产生纠纷，由中标人承担全部责任。</w:t>
      </w:r>
    </w:p>
    <w:p w14:paraId="7783824D">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（8）保密条款要求</w:t>
      </w:r>
    </w:p>
    <w:p w14:paraId="37314B96">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1）投标人须严格保守项目实施过程中知悉的采购人商业秘密、技术资料及培训数据等信息，未经采购人书面同意，不得向任何第三方披露、使用或允许第三方使用。</w:t>
      </w:r>
    </w:p>
    <w:p w14:paraId="2DE8F440">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highlight w:val="none"/>
          <w:lang w:eastAsia="zh-CN"/>
        </w:rPr>
      </w:pPr>
      <w:r>
        <w:rPr>
          <w:rFonts w:hint="eastAsia" w:ascii="宋体" w:hAnsi="宋体" w:cs="宋体"/>
          <w:b w:val="0"/>
          <w:bCs w:val="0"/>
          <w:sz w:val="24"/>
          <w:szCs w:val="24"/>
        </w:rPr>
        <w:t>2）项目结束后，投标人应将所有涉密资料归还采购人或按采购人要求销毁。如因投标人原因导致泄密，投标人应承担全部法律责任及经济赔偿责任，并赔偿采购人因此遭受的全部损失。</w:t>
      </w:r>
    </w:p>
    <w:p w14:paraId="60658AA9">
      <w:pPr>
        <w:pStyle w:val="7"/>
        <w:keepNext w:val="0"/>
        <w:keepLines w:val="0"/>
        <w:pageBreakBefore w:val="0"/>
        <w:widowControl/>
        <w:numPr>
          <w:ilvl w:val="0"/>
          <w:numId w:val="0"/>
        </w:numPr>
        <w:kinsoku/>
        <w:wordWrap/>
        <w:overflowPunct/>
        <w:topLinePunct w:val="0"/>
        <w:bidi w:val="0"/>
        <w:adjustRightInd w:val="0"/>
        <w:snapToGrid w:val="0"/>
        <w:spacing w:line="360" w:lineRule="auto"/>
        <w:ind w:left="561" w:leftChars="0" w:hanging="561" w:hangingChars="233"/>
        <w:jc w:val="left"/>
        <w:rPr>
          <w:rFonts w:hint="eastAsia" w:ascii="宋体"/>
          <w:b/>
          <w:kern w:val="0"/>
          <w:sz w:val="24"/>
          <w:szCs w:val="24"/>
          <w:highlight w:val="none"/>
        </w:rPr>
      </w:pPr>
      <w:r>
        <w:rPr>
          <w:rFonts w:hint="default" w:ascii="宋体" w:hAnsi="Times New Roman" w:eastAsia="宋体" w:cs="Times New Roman"/>
          <w:b/>
          <w:kern w:val="0"/>
          <w:sz w:val="24"/>
          <w:szCs w:val="24"/>
          <w:highlight w:val="none"/>
          <w:lang w:val="en-US" w:eastAsia="zh-CN" w:bidi="ar-SA"/>
        </w:rPr>
        <w:t>七、</w:t>
      </w:r>
      <w:r>
        <w:rPr>
          <w:rFonts w:hint="eastAsia" w:ascii="宋体"/>
          <w:b/>
          <w:kern w:val="0"/>
          <w:sz w:val="24"/>
          <w:szCs w:val="24"/>
          <w:highlight w:val="none"/>
        </w:rPr>
        <w:t>采购项目交付或者实施的时间和地点</w:t>
      </w:r>
    </w:p>
    <w:p w14:paraId="79740903">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highlight w:val="none"/>
          <w:lang w:eastAsia="zh-CN"/>
        </w:rPr>
      </w:pPr>
      <w:r>
        <w:rPr>
          <w:rFonts w:hint="eastAsia" w:ascii="宋体" w:hAnsi="宋体" w:cs="宋体"/>
          <w:b/>
          <w:bCs/>
          <w:sz w:val="24"/>
          <w:szCs w:val="24"/>
          <w:highlight w:val="none"/>
          <w:lang w:val="en-US" w:eastAsia="zh-CN"/>
        </w:rPr>
        <w:t>1.★</w:t>
      </w:r>
      <w:r>
        <w:rPr>
          <w:rFonts w:hint="eastAsia" w:ascii="宋体" w:hAnsi="宋体" w:cs="宋体"/>
          <w:b/>
          <w:bCs/>
          <w:sz w:val="24"/>
          <w:szCs w:val="24"/>
          <w:highlight w:val="none"/>
          <w:lang w:eastAsia="zh-CN"/>
        </w:rPr>
        <w:t>实施时间：自合同签订之日起45日供货安装调试完成，并经采购人对设备验收合格后完成为期三年的培训基地建设及培训相关工作。</w:t>
      </w:r>
    </w:p>
    <w:p w14:paraId="28637527">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highlight w:val="none"/>
          <w:lang w:eastAsia="zh-CN"/>
        </w:rPr>
      </w:pPr>
      <w:r>
        <w:rPr>
          <w:rFonts w:hint="eastAsia" w:ascii="宋体" w:hAnsi="宋体" w:cs="宋体"/>
          <w:b/>
          <w:bCs/>
          <w:sz w:val="24"/>
          <w:szCs w:val="24"/>
          <w:highlight w:val="none"/>
          <w:lang w:val="en-US" w:eastAsia="zh-CN"/>
        </w:rPr>
        <w:t>2</w:t>
      </w:r>
      <w:r>
        <w:rPr>
          <w:rFonts w:hint="eastAsia" w:ascii="宋体" w:hAnsi="宋体" w:cs="宋体"/>
          <w:b/>
          <w:bCs/>
          <w:sz w:val="24"/>
          <w:szCs w:val="24"/>
          <w:highlight w:val="none"/>
          <w:lang w:eastAsia="zh-CN"/>
        </w:rPr>
        <w:t>.★质保期：自设备验收合格之日起2年。</w:t>
      </w:r>
    </w:p>
    <w:p w14:paraId="2E65B569">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3</w:t>
      </w:r>
      <w:r>
        <w:rPr>
          <w:rFonts w:hint="eastAsia" w:ascii="宋体" w:hAnsi="宋体" w:cs="宋体"/>
          <w:b/>
          <w:bCs/>
          <w:sz w:val="24"/>
          <w:szCs w:val="24"/>
          <w:highlight w:val="none"/>
          <w:lang w:eastAsia="zh-CN"/>
        </w:rPr>
        <w:t>.★实施地点：采购人指定地点。</w:t>
      </w:r>
    </w:p>
    <w:p w14:paraId="64CCFEA4">
      <w:pPr>
        <w:pStyle w:val="7"/>
        <w:keepNext w:val="0"/>
        <w:keepLines w:val="0"/>
        <w:pageBreakBefore w:val="0"/>
        <w:widowControl/>
        <w:numPr>
          <w:ilvl w:val="0"/>
          <w:numId w:val="0"/>
        </w:numPr>
        <w:kinsoku/>
        <w:wordWrap/>
        <w:overflowPunct/>
        <w:topLinePunct w:val="0"/>
        <w:bidi w:val="0"/>
        <w:adjustRightInd w:val="0"/>
        <w:snapToGrid w:val="0"/>
        <w:spacing w:line="360" w:lineRule="auto"/>
        <w:ind w:left="561" w:leftChars="0" w:hanging="561" w:hangingChars="233"/>
        <w:jc w:val="left"/>
        <w:rPr>
          <w:rFonts w:hint="eastAsia" w:ascii="宋体" w:hAnsi="Times New Roman" w:eastAsia="宋体" w:cs="Times New Roman"/>
          <w:b/>
          <w:bCs/>
          <w:kern w:val="0"/>
          <w:sz w:val="24"/>
          <w:szCs w:val="24"/>
          <w:highlight w:val="none"/>
        </w:rPr>
      </w:pPr>
      <w:bookmarkStart w:id="0" w:name="_Toc1627"/>
      <w:bookmarkStart w:id="1" w:name="_Toc10402"/>
      <w:bookmarkStart w:id="2" w:name="_Toc21433"/>
      <w:bookmarkStart w:id="3" w:name="_Toc31234"/>
      <w:r>
        <w:rPr>
          <w:rFonts w:hint="eastAsia" w:ascii="宋体" w:hAnsi="Times New Roman" w:eastAsia="宋体" w:cs="Times New Roman"/>
          <w:b/>
          <w:bCs/>
          <w:kern w:val="0"/>
          <w:sz w:val="24"/>
          <w:szCs w:val="24"/>
          <w:highlight w:val="none"/>
          <w:lang w:val="en-US" w:eastAsia="zh-CN" w:bidi="ar-SA"/>
        </w:rPr>
        <w:t>八、</w:t>
      </w:r>
      <w:r>
        <w:rPr>
          <w:rFonts w:hint="eastAsia" w:ascii="宋体" w:hAnsi="Times New Roman" w:eastAsia="宋体" w:cs="Times New Roman"/>
          <w:b/>
          <w:bCs/>
          <w:kern w:val="0"/>
          <w:sz w:val="24"/>
          <w:szCs w:val="24"/>
          <w:highlight w:val="none"/>
        </w:rPr>
        <w:t>★</w:t>
      </w:r>
      <w:r>
        <w:rPr>
          <w:rFonts w:hint="eastAsia" w:ascii="宋体" w:hAnsi="Times New Roman" w:eastAsia="宋体" w:cs="Times New Roman"/>
          <w:b/>
          <w:bCs/>
          <w:kern w:val="0"/>
          <w:sz w:val="24"/>
          <w:szCs w:val="24"/>
          <w:highlight w:val="none"/>
          <w:lang w:val="en-US" w:eastAsia="zh-CN"/>
        </w:rPr>
        <w:t>质量要求</w:t>
      </w:r>
    </w:p>
    <w:p w14:paraId="5615F935">
      <w:pPr>
        <w:pStyle w:val="8"/>
        <w:keepNext w:val="0"/>
        <w:keepLines w:val="0"/>
        <w:pageBreakBefore w:val="0"/>
        <w:kinsoku/>
        <w:wordWrap/>
        <w:overflowPunct/>
        <w:topLinePunct w:val="0"/>
        <w:bidi w:val="0"/>
        <w:adjustRightInd w:val="0"/>
        <w:snapToGrid w:val="0"/>
        <w:spacing w:line="360" w:lineRule="auto"/>
        <w:ind w:firstLine="482" w:firstLineChars="200"/>
        <w:jc w:val="both"/>
        <w:rPr>
          <w:rFonts w:ascii="宋体" w:hAnsi="宋体" w:eastAsia="宋体" w:cs="Arial"/>
          <w:b/>
          <w:bCs/>
          <w:color w:val="auto"/>
          <w:highlight w:val="none"/>
        </w:rPr>
      </w:pPr>
      <w:r>
        <w:rPr>
          <w:rFonts w:hint="eastAsia" w:ascii="宋体" w:hAnsi="宋体" w:eastAsia="宋体" w:cs="Arial"/>
          <w:b/>
          <w:bCs/>
          <w:color w:val="auto"/>
          <w:highlight w:val="none"/>
        </w:rPr>
        <w:t>满足国家、地方和行业现行的法律法规、规章制度、规范及招标文件的规定。</w:t>
      </w:r>
    </w:p>
    <w:p w14:paraId="50FEC5B1">
      <w:pPr>
        <w:pStyle w:val="7"/>
        <w:keepNext w:val="0"/>
        <w:keepLines w:val="0"/>
        <w:pageBreakBefore w:val="0"/>
        <w:widowControl/>
        <w:numPr>
          <w:ilvl w:val="0"/>
          <w:numId w:val="0"/>
        </w:numPr>
        <w:kinsoku/>
        <w:wordWrap/>
        <w:overflowPunct/>
        <w:topLinePunct w:val="0"/>
        <w:bidi w:val="0"/>
        <w:adjustRightInd w:val="0"/>
        <w:snapToGrid w:val="0"/>
        <w:spacing w:line="360" w:lineRule="auto"/>
        <w:ind w:left="561" w:leftChars="0" w:hanging="561" w:hangingChars="233"/>
        <w:jc w:val="left"/>
        <w:rPr>
          <w:rFonts w:hint="eastAsia" w:ascii="宋体" w:hAnsi="Times New Roman" w:eastAsia="宋体" w:cs="Times New Roman"/>
          <w:b/>
          <w:bCs/>
          <w:kern w:val="0"/>
          <w:sz w:val="24"/>
          <w:szCs w:val="24"/>
          <w:highlight w:val="none"/>
        </w:rPr>
      </w:pPr>
      <w:r>
        <w:rPr>
          <w:rFonts w:hint="eastAsia" w:ascii="宋体" w:hAnsi="Times New Roman" w:eastAsia="宋体" w:cs="Times New Roman"/>
          <w:b/>
          <w:bCs/>
          <w:kern w:val="0"/>
          <w:sz w:val="24"/>
          <w:szCs w:val="24"/>
          <w:highlight w:val="none"/>
          <w:lang w:val="en-US" w:eastAsia="zh-CN" w:bidi="ar-SA"/>
        </w:rPr>
        <w:t>九、</w:t>
      </w:r>
      <w:r>
        <w:rPr>
          <w:rFonts w:hint="eastAsia" w:ascii="宋体" w:hAnsi="Times New Roman" w:eastAsia="宋体" w:cs="Times New Roman"/>
          <w:b/>
          <w:bCs/>
          <w:kern w:val="0"/>
          <w:sz w:val="24"/>
          <w:szCs w:val="24"/>
          <w:highlight w:val="none"/>
        </w:rPr>
        <w:t>★付款方式</w:t>
      </w:r>
    </w:p>
    <w:p w14:paraId="3C83DE14">
      <w:pPr>
        <w:pStyle w:val="8"/>
        <w:keepNext w:val="0"/>
        <w:keepLines w:val="0"/>
        <w:pageBreakBefore w:val="0"/>
        <w:kinsoku/>
        <w:wordWrap/>
        <w:overflowPunct/>
        <w:topLinePunct w:val="0"/>
        <w:bidi w:val="0"/>
        <w:adjustRightInd w:val="0"/>
        <w:snapToGrid w:val="0"/>
        <w:spacing w:line="360" w:lineRule="auto"/>
        <w:ind w:firstLine="482" w:firstLineChars="200"/>
        <w:jc w:val="both"/>
        <w:rPr>
          <w:rFonts w:hint="eastAsia" w:ascii="宋体" w:eastAsia="宋体" w:cs="宋体"/>
          <w:b/>
          <w:bCs/>
          <w:color w:val="auto"/>
          <w:lang w:eastAsia="zh-CN"/>
        </w:rPr>
      </w:pPr>
      <w:r>
        <w:rPr>
          <w:rFonts w:hint="eastAsia" w:ascii="宋体" w:eastAsia="宋体" w:cs="宋体"/>
          <w:b/>
          <w:bCs/>
          <w:color w:val="auto"/>
          <w:lang w:eastAsia="zh-CN"/>
        </w:rPr>
        <w:t>合同签订后，采购人支付合同总额的40%，设备到货安装调试完成并经采购人对设备验收合格后支付合同总额的50%，三年服务期结束且经采购人最终验收合格后支付合同剩余款项。</w:t>
      </w:r>
    </w:p>
    <w:p w14:paraId="6E736367">
      <w:pPr>
        <w:pStyle w:val="8"/>
        <w:keepNext w:val="0"/>
        <w:keepLines w:val="0"/>
        <w:pageBreakBefore w:val="0"/>
        <w:kinsoku/>
        <w:wordWrap/>
        <w:overflowPunct/>
        <w:topLinePunct w:val="0"/>
        <w:bidi w:val="0"/>
        <w:adjustRightInd w:val="0"/>
        <w:snapToGrid w:val="0"/>
        <w:spacing w:line="360" w:lineRule="auto"/>
        <w:ind w:firstLine="482" w:firstLineChars="200"/>
        <w:jc w:val="both"/>
        <w:rPr>
          <w:rFonts w:ascii="宋体" w:eastAsia="宋体" w:cs="宋体"/>
          <w:b/>
          <w:bCs/>
          <w:color w:val="auto"/>
        </w:rPr>
      </w:pPr>
      <w:r>
        <w:rPr>
          <w:rFonts w:hint="eastAsia" w:ascii="宋体" w:eastAsia="宋体" w:cs="宋体"/>
          <w:b/>
          <w:bCs/>
          <w:color w:val="auto"/>
          <w:lang w:eastAsia="zh-CN"/>
        </w:rPr>
        <w:t>注：上述付款方式均由中标单位开具相应数额的发票后，采购人予以支付。</w:t>
      </w:r>
    </w:p>
    <w:p w14:paraId="65159F3F">
      <w:pPr>
        <w:pStyle w:val="7"/>
        <w:keepNext w:val="0"/>
        <w:keepLines w:val="0"/>
        <w:pageBreakBefore w:val="0"/>
        <w:widowControl/>
        <w:numPr>
          <w:ilvl w:val="0"/>
          <w:numId w:val="0"/>
        </w:numPr>
        <w:kinsoku/>
        <w:wordWrap/>
        <w:overflowPunct/>
        <w:topLinePunct w:val="0"/>
        <w:bidi w:val="0"/>
        <w:adjustRightInd w:val="0"/>
        <w:snapToGrid w:val="0"/>
        <w:spacing w:line="360" w:lineRule="auto"/>
        <w:ind w:left="561" w:leftChars="0" w:hanging="561" w:hangingChars="233"/>
        <w:jc w:val="left"/>
        <w:rPr>
          <w:rFonts w:hint="eastAsia" w:ascii="宋体"/>
          <w:b/>
          <w:kern w:val="0"/>
          <w:sz w:val="24"/>
          <w:szCs w:val="24"/>
        </w:rPr>
      </w:pPr>
      <w:r>
        <w:rPr>
          <w:rFonts w:hint="default" w:ascii="宋体" w:hAnsi="Times New Roman" w:eastAsia="宋体" w:cs="Times New Roman"/>
          <w:b/>
          <w:kern w:val="0"/>
          <w:sz w:val="24"/>
          <w:szCs w:val="24"/>
          <w:lang w:val="en-US" w:eastAsia="zh-CN" w:bidi="ar-SA"/>
        </w:rPr>
        <w:t>十、</w:t>
      </w:r>
      <w:r>
        <w:rPr>
          <w:rFonts w:hint="eastAsia" w:ascii="宋体"/>
          <w:b/>
          <w:kern w:val="0"/>
          <w:sz w:val="24"/>
          <w:szCs w:val="24"/>
          <w:lang w:val="en-US" w:eastAsia="zh-CN"/>
        </w:rPr>
        <w:t>履约</w:t>
      </w:r>
      <w:r>
        <w:rPr>
          <w:rFonts w:hint="eastAsia" w:ascii="宋体"/>
          <w:b/>
          <w:kern w:val="0"/>
          <w:sz w:val="24"/>
          <w:szCs w:val="24"/>
        </w:rPr>
        <w:t>验收标准及方法</w:t>
      </w:r>
    </w:p>
    <w:bookmarkEnd w:id="0"/>
    <w:bookmarkEnd w:id="1"/>
    <w:bookmarkEnd w:id="2"/>
    <w:bookmarkEnd w:id="3"/>
    <w:p w14:paraId="57C1FE1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val="0"/>
        <w:snapToGrid w:val="0"/>
        <w:spacing w:line="360" w:lineRule="auto"/>
        <w:ind w:firstLine="480" w:firstLineChars="200"/>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1.验收主体：</w:t>
      </w:r>
      <w:r>
        <w:rPr>
          <w:rFonts w:hint="eastAsia" w:ascii="宋体" w:hAnsi="宋体" w:cs="宋体"/>
          <w:color w:val="auto"/>
          <w:kern w:val="2"/>
          <w:sz w:val="24"/>
          <w:szCs w:val="24"/>
          <w:lang w:val="en-US" w:eastAsia="zh-CN" w:bidi="ar-SA"/>
        </w:rPr>
        <w:t>天津港保税区职业技能公共实训中心</w:t>
      </w:r>
      <w:r>
        <w:rPr>
          <w:rFonts w:hint="default" w:ascii="宋体" w:hAnsi="宋体" w:eastAsia="宋体" w:cs="宋体"/>
          <w:color w:val="auto"/>
          <w:kern w:val="2"/>
          <w:sz w:val="24"/>
          <w:szCs w:val="24"/>
          <w:lang w:val="en-US" w:eastAsia="zh-CN" w:bidi="ar-SA"/>
        </w:rPr>
        <w:t>。</w:t>
      </w:r>
    </w:p>
    <w:p w14:paraId="68567C6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val="0"/>
        <w:snapToGrid w:val="0"/>
        <w:spacing w:line="360" w:lineRule="auto"/>
        <w:ind w:firstLine="480" w:firstLineChars="200"/>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2.验收时间：</w:t>
      </w:r>
    </w:p>
    <w:p w14:paraId="1A6D706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val="0"/>
        <w:snapToGrid w:val="0"/>
        <w:spacing w:line="360" w:lineRule="auto"/>
        <w:ind w:firstLine="480" w:firstLineChars="200"/>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第一阶段：自设备安装调试完成后15个工作日内完成验收。</w:t>
      </w:r>
    </w:p>
    <w:p w14:paraId="76A64C1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val="0"/>
        <w:snapToGrid w:val="0"/>
        <w:spacing w:line="360" w:lineRule="auto"/>
        <w:ind w:firstLine="480" w:firstLineChars="200"/>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第二阶段：合同签订服务期结束后15个工作日内完成验收。</w:t>
      </w:r>
    </w:p>
    <w:p w14:paraId="77EFB30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val="0"/>
        <w:snapToGrid w:val="0"/>
        <w:spacing w:line="360" w:lineRule="auto"/>
        <w:ind w:firstLine="480" w:firstLineChars="200"/>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3.验收方式：</w:t>
      </w:r>
      <w:r>
        <w:rPr>
          <w:rFonts w:hint="eastAsia" w:ascii="宋体" w:hAnsi="宋体" w:cs="宋体"/>
          <w:color w:val="auto"/>
          <w:kern w:val="2"/>
          <w:sz w:val="24"/>
          <w:szCs w:val="24"/>
          <w:lang w:val="en-US" w:eastAsia="zh-CN" w:bidi="ar-SA"/>
        </w:rPr>
        <w:t>采购人</w:t>
      </w:r>
      <w:r>
        <w:rPr>
          <w:rFonts w:hint="default" w:ascii="宋体" w:hAnsi="宋体" w:eastAsia="宋体" w:cs="宋体"/>
          <w:color w:val="auto"/>
          <w:kern w:val="2"/>
          <w:sz w:val="24"/>
          <w:szCs w:val="24"/>
          <w:lang w:val="en-US" w:eastAsia="zh-CN" w:bidi="ar-SA"/>
        </w:rPr>
        <w:t>根据项目完成情况填写验收书及验收书附表并经审核后加盖</w:t>
      </w:r>
      <w:r>
        <w:rPr>
          <w:rFonts w:hint="eastAsia" w:ascii="宋体" w:hAnsi="宋体" w:cs="宋体"/>
          <w:color w:val="auto"/>
          <w:kern w:val="2"/>
          <w:sz w:val="24"/>
          <w:szCs w:val="24"/>
          <w:lang w:val="en-US" w:eastAsia="zh-CN" w:bidi="ar-SA"/>
        </w:rPr>
        <w:t>双方</w:t>
      </w:r>
      <w:r>
        <w:rPr>
          <w:rFonts w:hint="default" w:ascii="宋体" w:hAnsi="宋体" w:eastAsia="宋体" w:cs="宋体"/>
          <w:color w:val="auto"/>
          <w:kern w:val="2"/>
          <w:sz w:val="24"/>
          <w:szCs w:val="24"/>
          <w:lang w:val="en-US" w:eastAsia="zh-CN" w:bidi="ar-SA"/>
        </w:rPr>
        <w:t>单位公章。</w:t>
      </w:r>
    </w:p>
    <w:p w14:paraId="34AD5F0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val="0"/>
        <w:snapToGrid w:val="0"/>
        <w:spacing w:line="360" w:lineRule="auto"/>
        <w:ind w:firstLine="480" w:firstLineChars="200"/>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4.验收程序：每次付款前由</w:t>
      </w:r>
      <w:r>
        <w:rPr>
          <w:rFonts w:hint="eastAsia" w:ascii="宋体" w:hAnsi="宋体" w:eastAsia="宋体" w:cs="宋体"/>
          <w:color w:val="auto"/>
          <w:kern w:val="2"/>
          <w:sz w:val="24"/>
          <w:szCs w:val="24"/>
          <w:lang w:val="en-US" w:eastAsia="zh-CN" w:bidi="ar-SA"/>
        </w:rPr>
        <w:t>天津港保税区职业技能公共实训中心</w:t>
      </w:r>
      <w:r>
        <w:rPr>
          <w:rFonts w:hint="default" w:ascii="宋体" w:hAnsi="宋体" w:eastAsia="宋体" w:cs="宋体"/>
          <w:color w:val="auto"/>
          <w:kern w:val="2"/>
          <w:sz w:val="24"/>
          <w:szCs w:val="24"/>
          <w:lang w:val="en-US" w:eastAsia="zh-CN" w:bidi="ar-SA"/>
        </w:rPr>
        <w:t>会同中标单位根据项目完成情况填写验收书及验收书附表并经</w:t>
      </w:r>
      <w:r>
        <w:rPr>
          <w:rFonts w:hint="eastAsia" w:ascii="宋体" w:hAnsi="宋体" w:cs="宋体"/>
          <w:color w:val="auto"/>
          <w:kern w:val="2"/>
          <w:sz w:val="24"/>
          <w:szCs w:val="24"/>
          <w:lang w:val="en-US" w:eastAsia="zh-CN" w:bidi="ar-SA"/>
        </w:rPr>
        <w:t>采购人</w:t>
      </w:r>
      <w:r>
        <w:rPr>
          <w:rFonts w:hint="default" w:ascii="宋体" w:hAnsi="宋体" w:eastAsia="宋体" w:cs="宋体"/>
          <w:color w:val="auto"/>
          <w:kern w:val="2"/>
          <w:sz w:val="24"/>
          <w:szCs w:val="24"/>
          <w:lang w:val="en-US" w:eastAsia="zh-CN" w:bidi="ar-SA"/>
        </w:rPr>
        <w:t>审核盖章，合同履行结束后由</w:t>
      </w:r>
      <w:r>
        <w:rPr>
          <w:rFonts w:hint="eastAsia" w:ascii="宋体" w:hAnsi="宋体" w:cs="宋体"/>
          <w:color w:val="auto"/>
          <w:kern w:val="2"/>
          <w:sz w:val="24"/>
          <w:szCs w:val="24"/>
          <w:lang w:val="en-US" w:eastAsia="zh-CN" w:bidi="ar-SA"/>
        </w:rPr>
        <w:t>采购人</w:t>
      </w:r>
      <w:r>
        <w:rPr>
          <w:rFonts w:hint="default" w:ascii="宋体" w:hAnsi="宋体" w:eastAsia="宋体" w:cs="宋体"/>
          <w:color w:val="auto"/>
          <w:kern w:val="2"/>
          <w:sz w:val="24"/>
          <w:szCs w:val="24"/>
          <w:lang w:val="en-US" w:eastAsia="zh-CN" w:bidi="ar-SA"/>
        </w:rPr>
        <w:t>保存全部验收资料及手续文件。</w:t>
      </w:r>
    </w:p>
    <w:p w14:paraId="55DB946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val="0"/>
        <w:snapToGrid w:val="0"/>
        <w:spacing w:line="360" w:lineRule="auto"/>
        <w:ind w:firstLine="480" w:firstLineChars="200"/>
        <w:rPr>
          <w:rFonts w:hint="default" w:ascii="宋体" w:hAnsi="宋体" w:eastAsia="宋体" w:cs="宋体"/>
          <w:color w:val="auto"/>
          <w:kern w:val="2"/>
          <w:sz w:val="24"/>
          <w:szCs w:val="24"/>
          <w:highlight w:val="none"/>
          <w:lang w:val="en-US" w:eastAsia="zh-CN" w:bidi="ar-SA"/>
        </w:rPr>
      </w:pPr>
      <w:r>
        <w:rPr>
          <w:rFonts w:hint="default" w:ascii="宋体" w:hAnsi="宋体" w:eastAsia="宋体" w:cs="宋体"/>
          <w:color w:val="auto"/>
          <w:kern w:val="2"/>
          <w:sz w:val="24"/>
          <w:szCs w:val="24"/>
          <w:lang w:val="en-US" w:eastAsia="zh-CN" w:bidi="ar-SA"/>
        </w:rPr>
        <w:t>5.验收内容：本项目全部</w:t>
      </w:r>
      <w:r>
        <w:rPr>
          <w:rFonts w:hint="default" w:ascii="宋体" w:hAnsi="宋体" w:eastAsia="宋体" w:cs="宋体"/>
          <w:color w:val="auto"/>
          <w:kern w:val="2"/>
          <w:sz w:val="24"/>
          <w:szCs w:val="24"/>
          <w:highlight w:val="none"/>
          <w:lang w:val="en-US" w:eastAsia="zh-CN" w:bidi="ar-SA"/>
        </w:rPr>
        <w:t>服务内容及拟派人员情况。</w:t>
      </w:r>
    </w:p>
    <w:p w14:paraId="74F3263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val="0"/>
        <w:snapToGrid w:val="0"/>
        <w:spacing w:line="360" w:lineRule="auto"/>
        <w:ind w:firstLine="480" w:firstLineChars="200"/>
        <w:rPr>
          <w:rFonts w:hint="default" w:ascii="宋体" w:hAnsi="宋体" w:eastAsia="宋体" w:cs="宋体"/>
          <w:color w:val="auto"/>
          <w:kern w:val="2"/>
          <w:sz w:val="24"/>
          <w:szCs w:val="24"/>
          <w:highlight w:val="none"/>
          <w:lang w:val="en-US" w:eastAsia="zh-CN" w:bidi="ar-SA"/>
        </w:rPr>
      </w:pPr>
      <w:r>
        <w:rPr>
          <w:rFonts w:hint="default" w:ascii="宋体" w:hAnsi="宋体" w:eastAsia="宋体" w:cs="宋体"/>
          <w:color w:val="auto"/>
          <w:kern w:val="2"/>
          <w:sz w:val="24"/>
          <w:szCs w:val="24"/>
          <w:highlight w:val="none"/>
          <w:lang w:val="en-US" w:eastAsia="zh-CN" w:bidi="ar-SA"/>
        </w:rPr>
        <w:t>6.验收阶段，</w:t>
      </w:r>
      <w:r>
        <w:rPr>
          <w:rFonts w:hint="eastAsia" w:ascii="宋体" w:hAnsi="宋体" w:cs="宋体"/>
          <w:color w:val="auto"/>
          <w:kern w:val="2"/>
          <w:sz w:val="24"/>
          <w:szCs w:val="24"/>
          <w:highlight w:val="none"/>
          <w:lang w:val="en-US" w:eastAsia="zh-CN" w:bidi="ar-SA"/>
        </w:rPr>
        <w:t>采购人</w:t>
      </w:r>
      <w:r>
        <w:rPr>
          <w:rFonts w:hint="default" w:ascii="宋体" w:hAnsi="宋体" w:eastAsia="宋体" w:cs="宋体"/>
          <w:color w:val="auto"/>
          <w:kern w:val="2"/>
          <w:sz w:val="24"/>
          <w:szCs w:val="24"/>
          <w:highlight w:val="none"/>
          <w:lang w:val="en-US" w:eastAsia="zh-CN" w:bidi="ar-SA"/>
        </w:rPr>
        <w:t>将结合本项目招投标文件内容、本合同约定，以及现行有效的国家标准、行业标准、地方标准，兼顾项目实际执行情况与客观量化指标，编制对应的考核打分表及考核管理办法。</w:t>
      </w:r>
      <w:r>
        <w:rPr>
          <w:rFonts w:hint="eastAsia" w:ascii="宋体" w:hAnsi="宋体" w:cs="宋体"/>
          <w:color w:val="auto"/>
          <w:kern w:val="2"/>
          <w:sz w:val="24"/>
          <w:szCs w:val="24"/>
          <w:highlight w:val="none"/>
          <w:lang w:val="en-US" w:eastAsia="zh-CN" w:bidi="ar-SA"/>
        </w:rPr>
        <w:t>投标人</w:t>
      </w:r>
      <w:r>
        <w:rPr>
          <w:rFonts w:hint="default" w:ascii="宋体" w:hAnsi="宋体" w:eastAsia="宋体" w:cs="宋体"/>
          <w:color w:val="auto"/>
          <w:kern w:val="2"/>
          <w:sz w:val="24"/>
          <w:szCs w:val="24"/>
          <w:highlight w:val="none"/>
          <w:lang w:val="en-US" w:eastAsia="zh-CN" w:bidi="ar-SA"/>
        </w:rPr>
        <w:t>须严格遵照考核标准执行，配合完成全流程验收工作。</w:t>
      </w:r>
    </w:p>
    <w:p w14:paraId="561BED5B">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val="0"/>
        <w:snapToGrid w:val="0"/>
        <w:spacing w:line="360" w:lineRule="auto"/>
        <w:ind w:firstLine="480" w:firstLineChars="200"/>
        <w:rPr>
          <w:rFonts w:hint="eastAsia" w:ascii="宋体" w:hAnsi="宋体" w:cs="宋体"/>
          <w:sz w:val="24"/>
          <w:szCs w:val="24"/>
          <w:highlight w:val="none"/>
        </w:rPr>
      </w:pPr>
    </w:p>
    <w:p w14:paraId="22F0373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val="0"/>
        <w:snapToGrid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cs="宋体"/>
          <w:sz w:val="24"/>
          <w:szCs w:val="24"/>
          <w:highlight w:val="none"/>
        </w:rPr>
        <w:t>注：</w:t>
      </w:r>
      <w:r>
        <w:rPr>
          <w:rFonts w:hint="eastAsia" w:ascii="宋体" w:hAnsi="宋体" w:eastAsia="宋体" w:cs="宋体"/>
          <w:sz w:val="24"/>
          <w:szCs w:val="24"/>
          <w:highlight w:val="none"/>
          <w:lang w:val="en-US" w:eastAsia="zh-CN"/>
        </w:rPr>
        <w:t>项目需求书中标注“★”号条款为实质性条款，不得出现负偏离，否则投标无效。标注“■”要求为本项目产品重要指标。标注“▲”号的产品为核心产品，提供相同品牌核心产品且通过资格审查、符合性审查的不同投标人，按一家投标人计算。</w:t>
      </w:r>
    </w:p>
    <w:p w14:paraId="6F509233">
      <w:pPr>
        <w:snapToGrid w:val="0"/>
        <w:spacing w:line="360" w:lineRule="auto"/>
        <w:ind w:firstLine="480" w:firstLineChars="200"/>
        <w:rPr>
          <w:rFonts w:hint="eastAsia" w:ascii="宋体" w:hAnsi="宋体" w:eastAsia="宋体" w:cs="宋体"/>
          <w:sz w:val="24"/>
          <w:szCs w:val="24"/>
          <w:highlight w:val="green"/>
          <w:lang w:val="en-US" w:eastAsia="zh-CN"/>
        </w:rPr>
        <w:sectPr>
          <w:pgSz w:w="11905" w:h="16838"/>
          <w:pgMar w:top="2041" w:right="1559" w:bottom="1701" w:left="1559" w:header="1134" w:footer="992" w:gutter="0"/>
          <w:pgNumType w:fmt="numberInDash"/>
          <w:cols w:space="720" w:num="1"/>
          <w:docGrid w:type="lines" w:linePitch="313" w:charSpace="0"/>
        </w:sectPr>
      </w:pPr>
    </w:p>
    <w:p w14:paraId="6F6F3687">
      <w:pPr>
        <w:keepNext w:val="0"/>
        <w:keepLines w:val="0"/>
        <w:pageBreakBefore w:val="0"/>
        <w:kinsoku/>
        <w:wordWrap/>
        <w:overflowPunct/>
        <w:topLinePunct w:val="0"/>
        <w:bidi w:val="0"/>
        <w:adjustRightInd w:val="0"/>
        <w:snapToGrid w:val="0"/>
        <w:spacing w:line="360" w:lineRule="auto"/>
        <w:ind w:left="0" w:leftChars="0" w:firstLine="422" w:firstLineChars="175"/>
        <w:jc w:val="both"/>
        <w:rPr>
          <w:rFonts w:hint="default" w:ascii="宋体" w:hAnsi="Times New Roman" w:eastAsia="宋体" w:cs="宋体"/>
          <w:b/>
          <w:bCs w:val="0"/>
          <w:sz w:val="24"/>
          <w:szCs w:val="24"/>
          <w:lang w:val="en-US" w:eastAsia="zh-CN"/>
        </w:rPr>
      </w:pPr>
      <w:r>
        <w:rPr>
          <w:rFonts w:hint="eastAsia" w:ascii="宋体" w:hAnsi="Times New Roman" w:eastAsia="宋体" w:cs="宋体"/>
          <w:b/>
          <w:bCs w:val="0"/>
          <w:sz w:val="24"/>
          <w:szCs w:val="24"/>
          <w:lang w:val="en-US" w:eastAsia="zh-CN"/>
        </w:rPr>
        <w:t>附件2</w:t>
      </w:r>
    </w:p>
    <w:p w14:paraId="7A4C3BC3">
      <w:pPr>
        <w:keepNext w:val="0"/>
        <w:keepLines w:val="0"/>
        <w:pageBreakBefore w:val="0"/>
        <w:kinsoku/>
        <w:wordWrap/>
        <w:overflowPunct/>
        <w:topLinePunct w:val="0"/>
        <w:bidi w:val="0"/>
        <w:adjustRightInd w:val="0"/>
        <w:snapToGrid w:val="0"/>
        <w:spacing w:line="360" w:lineRule="auto"/>
        <w:jc w:val="center"/>
        <w:rPr>
          <w:rFonts w:hint="eastAsia" w:ascii="宋体" w:hAnsi="Times New Roman" w:eastAsia="宋体" w:cs="宋体"/>
          <w:b/>
          <w:bCs w:val="0"/>
          <w:sz w:val="36"/>
          <w:szCs w:val="36"/>
          <w:lang w:val="en-US" w:eastAsia="zh-CN"/>
        </w:rPr>
      </w:pPr>
      <w:r>
        <w:rPr>
          <w:rFonts w:hint="eastAsia" w:ascii="宋体" w:hAnsi="Times New Roman" w:eastAsia="宋体" w:cs="宋体"/>
          <w:b/>
          <w:bCs w:val="0"/>
          <w:sz w:val="36"/>
          <w:szCs w:val="36"/>
          <w:lang w:val="en-US" w:eastAsia="zh-CN"/>
        </w:rPr>
        <w:t>采购清单</w:t>
      </w:r>
    </w:p>
    <w:tbl>
      <w:tblPr>
        <w:tblStyle w:val="4"/>
        <w:tblW w:w="5000" w:type="pct"/>
        <w:tblInd w:w="0" w:type="dxa"/>
        <w:tblLayout w:type="autofit"/>
        <w:tblCellMar>
          <w:top w:w="0" w:type="dxa"/>
          <w:left w:w="108" w:type="dxa"/>
          <w:bottom w:w="0" w:type="dxa"/>
          <w:right w:w="108" w:type="dxa"/>
        </w:tblCellMar>
      </w:tblPr>
      <w:tblGrid>
        <w:gridCol w:w="487"/>
        <w:gridCol w:w="1909"/>
        <w:gridCol w:w="9936"/>
        <w:gridCol w:w="490"/>
        <w:gridCol w:w="490"/>
      </w:tblGrid>
      <w:tr w14:paraId="5559F641">
        <w:tblPrEx>
          <w:tblCellMar>
            <w:top w:w="0" w:type="dxa"/>
            <w:left w:w="108" w:type="dxa"/>
            <w:bottom w:w="0" w:type="dxa"/>
            <w:right w:w="108" w:type="dxa"/>
          </w:tblCellMar>
        </w:tblPrEx>
        <w:trPr>
          <w:trHeight w:val="288" w:hRule="atLeast"/>
        </w:trPr>
        <w:tc>
          <w:tcPr>
            <w:tcW w:w="183" w:type="pct"/>
            <w:tcBorders>
              <w:top w:val="single" w:color="auto" w:sz="4" w:space="0"/>
              <w:left w:val="single" w:color="auto" w:sz="4" w:space="0"/>
              <w:bottom w:val="single" w:color="auto" w:sz="4" w:space="0"/>
              <w:right w:val="single" w:color="auto" w:sz="4" w:space="0"/>
            </w:tcBorders>
            <w:vAlign w:val="center"/>
          </w:tcPr>
          <w:p w14:paraId="267AA742">
            <w:pPr>
              <w:widowControl/>
              <w:snapToGrid w:val="0"/>
              <w:spacing w:line="360" w:lineRule="auto"/>
              <w:rPr>
                <w:rFonts w:hint="eastAsia" w:ascii="宋体" w:hAnsi="宋体" w:cs="宋体"/>
                <w:sz w:val="24"/>
                <w:szCs w:val="24"/>
              </w:rPr>
            </w:pPr>
            <w:r>
              <w:rPr>
                <w:rFonts w:hint="eastAsia" w:ascii="宋体" w:hAnsi="宋体" w:cs="宋体"/>
                <w:sz w:val="24"/>
                <w:szCs w:val="24"/>
              </w:rPr>
              <w:t>序号</w:t>
            </w:r>
          </w:p>
        </w:tc>
        <w:tc>
          <w:tcPr>
            <w:tcW w:w="717" w:type="pct"/>
            <w:tcBorders>
              <w:top w:val="single" w:color="auto" w:sz="4" w:space="0"/>
              <w:left w:val="nil"/>
              <w:bottom w:val="single" w:color="auto" w:sz="4" w:space="0"/>
              <w:right w:val="single" w:color="auto" w:sz="4" w:space="0"/>
            </w:tcBorders>
            <w:vAlign w:val="center"/>
          </w:tcPr>
          <w:p w14:paraId="44C86421">
            <w:pPr>
              <w:widowControl/>
              <w:snapToGrid w:val="0"/>
              <w:spacing w:line="360" w:lineRule="auto"/>
              <w:rPr>
                <w:rFonts w:hint="eastAsia" w:ascii="宋体" w:hAnsi="宋体" w:cs="宋体"/>
                <w:sz w:val="24"/>
                <w:szCs w:val="24"/>
              </w:rPr>
            </w:pPr>
            <w:r>
              <w:rPr>
                <w:rFonts w:hint="eastAsia" w:ascii="宋体" w:hAnsi="宋体" w:cs="宋体"/>
                <w:sz w:val="24"/>
                <w:szCs w:val="24"/>
              </w:rPr>
              <w:t>设备名称</w:t>
            </w:r>
          </w:p>
        </w:tc>
        <w:tc>
          <w:tcPr>
            <w:tcW w:w="3731" w:type="pct"/>
            <w:tcBorders>
              <w:top w:val="single" w:color="auto" w:sz="4" w:space="0"/>
              <w:left w:val="single" w:color="auto" w:sz="4" w:space="0"/>
              <w:bottom w:val="single" w:color="auto" w:sz="4" w:space="0"/>
              <w:right w:val="single" w:color="auto" w:sz="4" w:space="0"/>
            </w:tcBorders>
            <w:vAlign w:val="center"/>
          </w:tcPr>
          <w:p w14:paraId="45C83098">
            <w:pPr>
              <w:widowControl/>
              <w:snapToGrid w:val="0"/>
              <w:spacing w:line="360" w:lineRule="auto"/>
              <w:rPr>
                <w:rFonts w:hint="eastAsia" w:ascii="宋体" w:hAnsi="宋体" w:cs="宋体"/>
                <w:sz w:val="24"/>
                <w:szCs w:val="24"/>
              </w:rPr>
            </w:pPr>
            <w:r>
              <w:rPr>
                <w:rFonts w:hint="eastAsia" w:ascii="宋体" w:hAnsi="宋体" w:cs="宋体"/>
                <w:sz w:val="24"/>
                <w:szCs w:val="24"/>
              </w:rPr>
              <w:t>技术参数</w:t>
            </w:r>
          </w:p>
        </w:tc>
        <w:tc>
          <w:tcPr>
            <w:tcW w:w="184" w:type="pct"/>
            <w:tcBorders>
              <w:top w:val="single" w:color="auto" w:sz="4" w:space="0"/>
              <w:left w:val="nil"/>
              <w:bottom w:val="single" w:color="auto" w:sz="4" w:space="0"/>
              <w:right w:val="single" w:color="auto" w:sz="4" w:space="0"/>
            </w:tcBorders>
            <w:vAlign w:val="center"/>
          </w:tcPr>
          <w:p w14:paraId="0D6BC458">
            <w:pPr>
              <w:widowControl/>
              <w:snapToGrid w:val="0"/>
              <w:spacing w:line="360" w:lineRule="auto"/>
              <w:rPr>
                <w:rFonts w:hint="eastAsia" w:ascii="宋体" w:hAnsi="宋体" w:cs="宋体"/>
                <w:sz w:val="24"/>
                <w:szCs w:val="24"/>
              </w:rPr>
            </w:pPr>
            <w:r>
              <w:rPr>
                <w:rFonts w:hint="eastAsia" w:ascii="宋体" w:hAnsi="宋体" w:cs="宋体"/>
                <w:sz w:val="24"/>
                <w:szCs w:val="24"/>
              </w:rPr>
              <w:t>数量</w:t>
            </w:r>
          </w:p>
        </w:tc>
        <w:tc>
          <w:tcPr>
            <w:tcW w:w="184" w:type="pct"/>
            <w:tcBorders>
              <w:top w:val="single" w:color="auto" w:sz="4" w:space="0"/>
              <w:left w:val="nil"/>
              <w:bottom w:val="single" w:color="auto" w:sz="4" w:space="0"/>
              <w:right w:val="single" w:color="auto" w:sz="4" w:space="0"/>
            </w:tcBorders>
            <w:vAlign w:val="center"/>
          </w:tcPr>
          <w:p w14:paraId="0478C97A">
            <w:pPr>
              <w:widowControl/>
              <w:snapToGrid w:val="0"/>
              <w:spacing w:line="360" w:lineRule="auto"/>
              <w:rPr>
                <w:rFonts w:hint="eastAsia" w:ascii="宋体" w:hAnsi="宋体" w:cs="宋体"/>
                <w:sz w:val="24"/>
                <w:szCs w:val="24"/>
              </w:rPr>
            </w:pPr>
            <w:r>
              <w:rPr>
                <w:rFonts w:hint="eastAsia" w:ascii="宋体" w:hAnsi="宋体" w:cs="宋体"/>
                <w:sz w:val="24"/>
                <w:szCs w:val="24"/>
              </w:rPr>
              <w:t>备注</w:t>
            </w:r>
          </w:p>
        </w:tc>
      </w:tr>
      <w:tr w14:paraId="6D72A1B7">
        <w:tblPrEx>
          <w:tblCellMar>
            <w:top w:w="0" w:type="dxa"/>
            <w:left w:w="108" w:type="dxa"/>
            <w:bottom w:w="0" w:type="dxa"/>
            <w:right w:w="108" w:type="dxa"/>
          </w:tblCellMar>
        </w:tblPrEx>
        <w:trPr>
          <w:trHeight w:val="288" w:hRule="atLeast"/>
        </w:trPr>
        <w:tc>
          <w:tcPr>
            <w:tcW w:w="183" w:type="pct"/>
            <w:tcBorders>
              <w:top w:val="single" w:color="auto" w:sz="4" w:space="0"/>
              <w:left w:val="single" w:color="auto" w:sz="4" w:space="0"/>
              <w:bottom w:val="single" w:color="auto" w:sz="4" w:space="0"/>
              <w:right w:val="single" w:color="auto" w:sz="4" w:space="0"/>
            </w:tcBorders>
            <w:vAlign w:val="center"/>
          </w:tcPr>
          <w:p w14:paraId="7DCD9BBB">
            <w:pPr>
              <w:widowControl/>
              <w:snapToGrid w:val="0"/>
              <w:spacing w:line="360" w:lineRule="auto"/>
              <w:rPr>
                <w:rFonts w:hint="eastAsia" w:ascii="宋体" w:hAnsi="宋体" w:cs="宋体"/>
                <w:sz w:val="24"/>
                <w:szCs w:val="24"/>
              </w:rPr>
            </w:pPr>
            <w:r>
              <w:rPr>
                <w:rFonts w:hint="eastAsia" w:ascii="宋体" w:hAnsi="宋体" w:cs="宋体"/>
                <w:sz w:val="24"/>
                <w:szCs w:val="24"/>
              </w:rPr>
              <w:t>1</w:t>
            </w:r>
          </w:p>
        </w:tc>
        <w:tc>
          <w:tcPr>
            <w:tcW w:w="717" w:type="pct"/>
            <w:tcBorders>
              <w:top w:val="single" w:color="auto" w:sz="4" w:space="0"/>
              <w:left w:val="nil"/>
              <w:bottom w:val="single" w:color="auto" w:sz="4" w:space="0"/>
              <w:right w:val="single" w:color="auto" w:sz="4" w:space="0"/>
            </w:tcBorders>
            <w:vAlign w:val="center"/>
          </w:tcPr>
          <w:p w14:paraId="3A1A7811">
            <w:pPr>
              <w:widowControl/>
              <w:snapToGrid w:val="0"/>
              <w:spacing w:line="360" w:lineRule="auto"/>
              <w:rPr>
                <w:rFonts w:hint="eastAsia" w:ascii="宋体" w:hAnsi="宋体" w:cs="宋体"/>
                <w:sz w:val="24"/>
                <w:szCs w:val="24"/>
              </w:rPr>
            </w:pPr>
            <w:r>
              <w:rPr>
                <w:rFonts w:hint="eastAsia" w:ascii="宋体" w:hAnsi="宋体" w:cs="宋体"/>
                <w:sz w:val="24"/>
                <w:szCs w:val="24"/>
              </w:rPr>
              <w:t>▲长航时无人机（eVTOL）模拟驾驶器</w:t>
            </w:r>
          </w:p>
        </w:tc>
        <w:tc>
          <w:tcPr>
            <w:tcW w:w="3731" w:type="pct"/>
            <w:tcBorders>
              <w:top w:val="single" w:color="auto" w:sz="4" w:space="0"/>
              <w:left w:val="single" w:color="auto" w:sz="4" w:space="0"/>
              <w:bottom w:val="single" w:color="auto" w:sz="4" w:space="0"/>
              <w:right w:val="single" w:color="auto" w:sz="4" w:space="0"/>
            </w:tcBorders>
            <w:vAlign w:val="center"/>
          </w:tcPr>
          <w:p w14:paraId="30F19B7F">
            <w:pPr>
              <w:widowControl/>
              <w:snapToGrid w:val="0"/>
              <w:spacing w:line="360" w:lineRule="auto"/>
              <w:rPr>
                <w:rFonts w:hint="eastAsia" w:ascii="宋体" w:hAnsi="宋体" w:cs="宋体"/>
                <w:sz w:val="24"/>
                <w:szCs w:val="24"/>
              </w:rPr>
            </w:pPr>
            <w:r>
              <w:rPr>
                <w:rFonts w:hint="eastAsia" w:ascii="宋体" w:hAnsi="宋体" w:cs="宋体"/>
                <w:sz w:val="24"/>
                <w:szCs w:val="24"/>
              </w:rPr>
              <w:t>1.总体要求</w:t>
            </w:r>
          </w:p>
          <w:p w14:paraId="41B6EB15">
            <w:pPr>
              <w:widowControl/>
              <w:snapToGrid w:val="0"/>
              <w:spacing w:line="360" w:lineRule="auto"/>
              <w:rPr>
                <w:rFonts w:hint="eastAsia" w:ascii="宋体" w:hAnsi="宋体" w:cs="宋体"/>
                <w:sz w:val="24"/>
                <w:szCs w:val="24"/>
              </w:rPr>
            </w:pPr>
            <w:r>
              <w:rPr>
                <w:rFonts w:hint="eastAsia" w:ascii="宋体" w:hAnsi="宋体" w:cs="宋体"/>
                <w:sz w:val="24"/>
                <w:szCs w:val="24"/>
              </w:rPr>
              <w:t>本模拟驾驶器为用于eVTOL机型飞行训练的高等级模拟设备，应采用高保真实物仿真技术，集成高精度飞行动力学模型、高沉浸感座舱环境与高拟真度视景系统。系统整体设计应满足eVTOL垂直起降、飞行与巡航各阶段的训练需求。</w:t>
            </w:r>
          </w:p>
          <w:p w14:paraId="361B79DD">
            <w:pPr>
              <w:widowControl/>
              <w:snapToGrid w:val="0"/>
              <w:spacing w:line="360" w:lineRule="auto"/>
              <w:rPr>
                <w:rFonts w:hint="eastAsia" w:ascii="宋体" w:hAnsi="宋体" w:cs="宋体"/>
                <w:sz w:val="24"/>
                <w:szCs w:val="24"/>
              </w:rPr>
            </w:pPr>
            <w:r>
              <w:rPr>
                <w:rFonts w:hint="eastAsia" w:ascii="宋体" w:hAnsi="宋体" w:cs="宋体"/>
                <w:sz w:val="24"/>
                <w:szCs w:val="24"/>
              </w:rPr>
              <w:t>2.外观、结构与硬件规格</w:t>
            </w:r>
          </w:p>
          <w:p w14:paraId="0C3ED606">
            <w:pPr>
              <w:widowControl/>
              <w:snapToGrid w:val="0"/>
              <w:spacing w:line="360" w:lineRule="auto"/>
              <w:rPr>
                <w:rFonts w:hint="eastAsia" w:ascii="宋体" w:hAnsi="宋体" w:cs="宋体"/>
                <w:sz w:val="24"/>
                <w:szCs w:val="24"/>
              </w:rPr>
            </w:pPr>
            <w:r>
              <w:rPr>
                <w:rFonts w:hint="eastAsia" w:ascii="宋体" w:hAnsi="宋体" w:cs="宋体"/>
                <w:b/>
                <w:bCs/>
                <w:sz w:val="24"/>
                <w:szCs w:val="24"/>
              </w:rPr>
              <w:t>■2.1座舱结构：座舱主体应采用铝合金或钢材结构，整体外观应接近真实飞行器驾驶舱段。外部尺寸应不小于：长1200mm×宽800mm×高600mm，内部净高不低于900mm，为飞行员提供符合人机工学的操作空间。</w:t>
            </w:r>
          </w:p>
          <w:p w14:paraId="58BAA729">
            <w:pPr>
              <w:widowControl/>
              <w:snapToGrid w:val="0"/>
              <w:spacing w:line="360" w:lineRule="auto"/>
              <w:rPr>
                <w:rFonts w:hint="eastAsia" w:ascii="宋体" w:hAnsi="宋体" w:cs="宋体"/>
                <w:sz w:val="24"/>
                <w:szCs w:val="24"/>
                <w:highlight w:val="none"/>
              </w:rPr>
            </w:pPr>
            <w:r>
              <w:rPr>
                <w:rFonts w:hint="eastAsia" w:ascii="宋体" w:hAnsi="宋体" w:cs="宋体"/>
                <w:sz w:val="24"/>
                <w:szCs w:val="24"/>
              </w:rPr>
              <w:t>2.2显示系统：应配备不少于3台≥55英寸的专业级液晶显示器，以不低于120度的水平环绕视角进行排列。单台显示器分</w:t>
            </w:r>
            <w:r>
              <w:rPr>
                <w:rFonts w:hint="eastAsia" w:ascii="宋体" w:hAnsi="宋体" w:cs="宋体"/>
                <w:sz w:val="24"/>
                <w:szCs w:val="24"/>
                <w:highlight w:val="none"/>
              </w:rPr>
              <w:t>辨率应不低于3840×2160，刷新率不低于120Hz。</w:t>
            </w:r>
          </w:p>
          <w:p w14:paraId="752B89D0">
            <w:pPr>
              <w:widowControl/>
              <w:snapToGrid w:val="0"/>
              <w:spacing w:line="360" w:lineRule="auto"/>
              <w:rPr>
                <w:rFonts w:hint="eastAsia" w:ascii="宋体" w:hAnsi="宋体" w:cs="宋体"/>
                <w:sz w:val="24"/>
                <w:szCs w:val="24"/>
                <w:highlight w:val="none"/>
              </w:rPr>
            </w:pPr>
            <w:r>
              <w:rPr>
                <w:rFonts w:hint="eastAsia" w:ascii="宋体" w:hAnsi="宋体" w:cs="宋体"/>
                <w:sz w:val="24"/>
                <w:szCs w:val="24"/>
                <w:highlight w:val="none"/>
              </w:rPr>
              <w:t>2.3计算硬件</w:t>
            </w:r>
          </w:p>
          <w:p w14:paraId="0C5D7A9D">
            <w:pPr>
              <w:widowControl/>
              <w:snapToGrid w:val="0"/>
              <w:spacing w:line="360" w:lineRule="auto"/>
              <w:rPr>
                <w:rFonts w:hint="eastAsia" w:ascii="宋体" w:hAnsi="宋体" w:cs="宋体"/>
                <w:sz w:val="24"/>
                <w:szCs w:val="24"/>
                <w:highlight w:val="none"/>
              </w:rPr>
            </w:pPr>
            <w:r>
              <w:rPr>
                <w:rFonts w:hint="eastAsia" w:ascii="宋体" w:hAnsi="宋体" w:cs="宋体"/>
                <w:sz w:val="24"/>
                <w:szCs w:val="24"/>
                <w:highlight w:val="none"/>
              </w:rPr>
              <w:t>图形计算机：应配置高性能仿真计算机，其CPU核心数不少于20核，线程数不少于28线程，主频不低于2.1GHz。内存容量不低于32GB DDR</w:t>
            </w:r>
            <w:r>
              <w:rPr>
                <w:rFonts w:hint="eastAsia" w:ascii="宋体" w:hAnsi="宋体" w:cs="宋体"/>
                <w:sz w:val="24"/>
                <w:szCs w:val="24"/>
                <w:highlight w:val="none"/>
                <w:lang w:val="en-US" w:eastAsia="zh-CN"/>
              </w:rPr>
              <w:t>5</w:t>
            </w:r>
            <w:r>
              <w:rPr>
                <w:rFonts w:hint="eastAsia" w:ascii="宋体" w:hAnsi="宋体" w:cs="宋体"/>
                <w:sz w:val="24"/>
                <w:szCs w:val="24"/>
                <w:highlight w:val="none"/>
              </w:rPr>
              <w:t>，频率不低于5600MHz，显卡流处理器核心数不少于4000个，显存容量不低于8GB GDDR6，显存位宽不低于128-bit。</w:t>
            </w:r>
          </w:p>
          <w:p w14:paraId="07AC257F">
            <w:pPr>
              <w:widowControl/>
              <w:snapToGrid w:val="0"/>
              <w:spacing w:line="360" w:lineRule="auto"/>
              <w:rPr>
                <w:rFonts w:hint="eastAsia" w:ascii="宋体" w:hAnsi="宋体" w:cs="宋体"/>
                <w:sz w:val="24"/>
                <w:szCs w:val="24"/>
                <w:highlight w:val="none"/>
              </w:rPr>
            </w:pPr>
            <w:r>
              <w:rPr>
                <w:rFonts w:hint="eastAsia" w:ascii="宋体" w:hAnsi="宋体" w:cs="宋体"/>
                <w:sz w:val="24"/>
                <w:szCs w:val="24"/>
                <w:highlight w:val="none"/>
              </w:rPr>
              <w:t>存储：系统应配置不少于1TB的SSD用于系统与软件。</w:t>
            </w:r>
          </w:p>
          <w:p w14:paraId="4C33B253">
            <w:pPr>
              <w:widowControl/>
              <w:snapToGrid w:val="0"/>
              <w:spacing w:line="360" w:lineRule="auto"/>
              <w:rPr>
                <w:rFonts w:hint="eastAsia" w:ascii="宋体" w:hAnsi="宋体" w:cs="宋体"/>
                <w:sz w:val="24"/>
                <w:szCs w:val="24"/>
              </w:rPr>
            </w:pPr>
            <w:r>
              <w:rPr>
                <w:rFonts w:hint="eastAsia" w:ascii="宋体" w:hAnsi="宋体" w:cs="宋体"/>
                <w:sz w:val="24"/>
                <w:szCs w:val="24"/>
                <w:highlight w:val="none"/>
              </w:rPr>
              <w:t>2.4操控装置：应配备符合目标eVT</w:t>
            </w:r>
            <w:r>
              <w:rPr>
                <w:rFonts w:hint="eastAsia" w:ascii="宋体" w:hAnsi="宋体" w:cs="宋体"/>
                <w:sz w:val="24"/>
                <w:szCs w:val="24"/>
              </w:rPr>
              <w:t>OL机型操纵逻辑的高保真驾驶杆。</w:t>
            </w:r>
          </w:p>
          <w:p w14:paraId="11B7D240">
            <w:pPr>
              <w:widowControl/>
              <w:snapToGrid w:val="0"/>
              <w:spacing w:line="360" w:lineRule="auto"/>
              <w:rPr>
                <w:rFonts w:hint="eastAsia" w:ascii="宋体" w:hAnsi="宋体" w:cs="宋体"/>
                <w:sz w:val="24"/>
                <w:szCs w:val="24"/>
              </w:rPr>
            </w:pPr>
            <w:r>
              <w:rPr>
                <w:rFonts w:hint="eastAsia" w:ascii="宋体" w:hAnsi="宋体" w:cs="宋体"/>
                <w:sz w:val="24"/>
                <w:szCs w:val="24"/>
              </w:rPr>
              <w:t>3.核心仿真与操控功能</w:t>
            </w:r>
          </w:p>
          <w:p w14:paraId="2621679D">
            <w:pPr>
              <w:widowControl/>
              <w:snapToGrid w:val="0"/>
              <w:spacing w:line="360" w:lineRule="auto"/>
              <w:rPr>
                <w:rFonts w:hint="eastAsia" w:ascii="宋体" w:hAnsi="宋体" w:cs="宋体"/>
                <w:sz w:val="24"/>
                <w:szCs w:val="24"/>
              </w:rPr>
            </w:pPr>
            <w:r>
              <w:rPr>
                <w:rFonts w:hint="eastAsia" w:ascii="宋体" w:hAnsi="宋体" w:cs="宋体"/>
                <w:sz w:val="24"/>
                <w:szCs w:val="24"/>
              </w:rPr>
              <w:t>3.1动力模型</w:t>
            </w:r>
          </w:p>
          <w:p w14:paraId="463222BC">
            <w:pPr>
              <w:widowControl/>
              <w:snapToGrid w:val="0"/>
              <w:spacing w:line="360" w:lineRule="auto"/>
              <w:rPr>
                <w:rFonts w:hint="eastAsia" w:ascii="宋体" w:hAnsi="宋体" w:cs="宋体"/>
                <w:sz w:val="24"/>
                <w:szCs w:val="24"/>
              </w:rPr>
            </w:pPr>
            <w:r>
              <w:rPr>
                <w:rFonts w:hint="eastAsia" w:ascii="宋体" w:hAnsi="宋体" w:cs="宋体"/>
                <w:sz w:val="24"/>
                <w:szCs w:val="24"/>
              </w:rPr>
              <w:t>系统应集成专为无人机特性调校的飞控动力学模型，可通过高保真飞行操纵杆和油门台实现对飞行姿态与航迹的精确控制。</w:t>
            </w:r>
          </w:p>
          <w:p w14:paraId="7EDEB260">
            <w:pPr>
              <w:widowControl/>
              <w:snapToGrid w:val="0"/>
              <w:spacing w:line="360" w:lineRule="auto"/>
              <w:rPr>
                <w:rFonts w:hint="eastAsia" w:ascii="宋体" w:hAnsi="宋体" w:cs="宋体"/>
                <w:sz w:val="24"/>
                <w:szCs w:val="24"/>
              </w:rPr>
            </w:pPr>
            <w:r>
              <w:rPr>
                <w:rFonts w:hint="eastAsia" w:ascii="宋体" w:hAnsi="宋体" w:cs="宋体"/>
                <w:sz w:val="24"/>
                <w:szCs w:val="24"/>
              </w:rPr>
              <w:t>3.2高精度数据同步</w:t>
            </w:r>
          </w:p>
          <w:p w14:paraId="2E695B7C">
            <w:pPr>
              <w:widowControl/>
              <w:snapToGrid w:val="0"/>
              <w:spacing w:line="360" w:lineRule="auto"/>
              <w:rPr>
                <w:rFonts w:hint="eastAsia" w:ascii="宋体" w:hAnsi="宋体" w:cs="宋体"/>
                <w:sz w:val="24"/>
                <w:szCs w:val="24"/>
              </w:rPr>
            </w:pPr>
            <w:r>
              <w:rPr>
                <w:rFonts w:hint="eastAsia" w:ascii="宋体" w:hAnsi="宋体" w:cs="宋体"/>
                <w:sz w:val="24"/>
                <w:szCs w:val="24"/>
              </w:rPr>
              <w:t>应具有物理世界（操纵动作、无人机姿态）与虚拟视景之间的超低延迟同步，端到端延迟严格小于90ms。</w:t>
            </w:r>
          </w:p>
          <w:p w14:paraId="370BF02C">
            <w:pPr>
              <w:widowControl/>
              <w:snapToGrid w:val="0"/>
              <w:spacing w:line="360" w:lineRule="auto"/>
              <w:rPr>
                <w:rFonts w:hint="eastAsia" w:ascii="宋体" w:hAnsi="宋体" w:cs="宋体"/>
                <w:sz w:val="24"/>
                <w:szCs w:val="24"/>
              </w:rPr>
            </w:pPr>
            <w:r>
              <w:rPr>
                <w:rFonts w:hint="eastAsia" w:ascii="宋体" w:hAnsi="宋体" w:cs="宋体"/>
                <w:sz w:val="24"/>
                <w:szCs w:val="24"/>
              </w:rPr>
              <w:t>3.2视角切换</w:t>
            </w:r>
          </w:p>
          <w:p w14:paraId="76C0AD05">
            <w:pPr>
              <w:widowControl/>
              <w:snapToGrid w:val="0"/>
              <w:spacing w:line="360" w:lineRule="auto"/>
              <w:rPr>
                <w:rFonts w:ascii="宋体" w:hAnsi="宋体" w:cs="宋体"/>
                <w:sz w:val="24"/>
                <w:szCs w:val="24"/>
              </w:rPr>
            </w:pPr>
            <w:r>
              <w:rPr>
                <w:rFonts w:hint="eastAsia" w:ascii="宋体" w:hAnsi="宋体" w:cs="宋体"/>
                <w:sz w:val="24"/>
                <w:szCs w:val="24"/>
              </w:rPr>
              <w:t>系统应具有第一人称视角（舱内驾驶视角）与第三人称全局视角切换功能。</w:t>
            </w:r>
          </w:p>
          <w:p w14:paraId="59E7494F">
            <w:pPr>
              <w:widowControl/>
              <w:snapToGrid w:val="0"/>
              <w:spacing w:line="360" w:lineRule="auto"/>
              <w:rPr>
                <w:rFonts w:ascii="宋体" w:hAnsi="宋体" w:cs="宋体"/>
                <w:b/>
                <w:bCs/>
                <w:color w:val="auto"/>
                <w:sz w:val="24"/>
                <w:szCs w:val="24"/>
              </w:rPr>
            </w:pPr>
            <w:r>
              <w:rPr>
                <w:rFonts w:hint="eastAsia" w:ascii="宋体" w:hAnsi="宋体" w:cs="宋体"/>
                <w:b/>
                <w:bCs/>
                <w:color w:val="auto"/>
                <w:sz w:val="24"/>
                <w:szCs w:val="24"/>
              </w:rPr>
              <w:t>3.3虚拟EVTOL</w:t>
            </w:r>
          </w:p>
          <w:p w14:paraId="080726D5">
            <w:pPr>
              <w:widowControl/>
              <w:snapToGrid w:val="0"/>
              <w:spacing w:line="360" w:lineRule="auto"/>
              <w:rPr>
                <w:rFonts w:ascii="宋体" w:hAnsi="宋体" w:cs="宋体"/>
                <w:b/>
                <w:bCs/>
                <w:sz w:val="24"/>
                <w:szCs w:val="24"/>
              </w:rPr>
            </w:pPr>
            <w:r>
              <w:rPr>
                <w:rFonts w:hint="eastAsia" w:ascii="宋体" w:hAnsi="宋体" w:cs="宋体"/>
                <w:b/>
                <w:bCs/>
                <w:sz w:val="24"/>
                <w:szCs w:val="24"/>
              </w:rPr>
              <w:t>■（1）</w:t>
            </w:r>
            <w:r>
              <w:rPr>
                <w:rFonts w:ascii="宋体" w:hAnsi="宋体" w:cs="宋体"/>
                <w:b/>
                <w:bCs/>
                <w:color w:val="auto"/>
                <w:sz w:val="24"/>
                <w:szCs w:val="24"/>
              </w:rPr>
              <w:t>虚拟eVTOL应对涉及操作的区域和部件进行详细建模仿真，对操作要点进行重点突出，并通过ID CARD配备文字说明和照片。应结合实操手册清单项目实现不少于20个部件拆装的模拟仿真操作，能够按照手册程序步骤进行拆装操作等，同时应配备至少50个部件的ID CARD</w:t>
            </w:r>
            <w:r>
              <w:rPr>
                <w:rFonts w:hint="eastAsia" w:ascii="宋体" w:hAnsi="宋体" w:cs="宋体"/>
                <w:b/>
                <w:bCs/>
                <w:color w:val="auto"/>
                <w:sz w:val="24"/>
                <w:szCs w:val="24"/>
                <w:lang w:eastAsia="zh-CN"/>
              </w:rPr>
              <w:t>。</w:t>
            </w:r>
          </w:p>
          <w:p w14:paraId="2310C0FB">
            <w:pPr>
              <w:widowControl/>
              <w:snapToGrid w:val="0"/>
              <w:spacing w:line="360" w:lineRule="auto"/>
              <w:rPr>
                <w:rFonts w:ascii="宋体" w:hAnsi="宋体" w:cs="宋体"/>
                <w:b/>
                <w:bCs/>
                <w:color w:val="000000"/>
                <w:sz w:val="24"/>
                <w:szCs w:val="24"/>
              </w:rPr>
            </w:pPr>
            <w:r>
              <w:rPr>
                <w:rFonts w:hint="eastAsia" w:ascii="宋体" w:hAnsi="宋体" w:cs="宋体"/>
                <w:b/>
                <w:bCs/>
                <w:color w:val="000000"/>
                <w:sz w:val="24"/>
                <w:szCs w:val="24"/>
              </w:rPr>
              <w:t>●</w:t>
            </w:r>
            <w:r>
              <w:rPr>
                <w:rFonts w:ascii="宋体" w:hAnsi="宋体" w:cs="宋体"/>
                <w:b/>
                <w:bCs/>
                <w:color w:val="000000"/>
                <w:sz w:val="24"/>
                <w:szCs w:val="24"/>
              </w:rPr>
              <w:t>（</w:t>
            </w:r>
            <w:r>
              <w:rPr>
                <w:rFonts w:ascii="宋体" w:hAnsi="宋体" w:cs="宋体"/>
                <w:b/>
                <w:bCs/>
                <w:color w:val="000000"/>
                <w:sz w:val="24"/>
                <w:szCs w:val="24"/>
                <w:lang w:eastAsia="zh-CN"/>
              </w:rPr>
              <w:t>2</w:t>
            </w:r>
            <w:r>
              <w:rPr>
                <w:rFonts w:ascii="宋体" w:hAnsi="宋体" w:cs="宋体"/>
                <w:b/>
                <w:bCs/>
                <w:color w:val="000000"/>
                <w:sz w:val="24"/>
                <w:szCs w:val="24"/>
              </w:rPr>
              <w:t>）虚拟eVTOL具备培训科目中涉及的航材、工具、GSE设备等功能，并可以实现部件位置识别、拆装、测试、MEL、勤务、排故等交互式操作功能。</w:t>
            </w:r>
          </w:p>
          <w:p w14:paraId="33E2AD69">
            <w:pPr>
              <w:widowControl/>
              <w:snapToGrid w:val="0"/>
              <w:spacing w:line="360" w:lineRule="auto"/>
              <w:rPr>
                <w:rFonts w:hint="eastAsia" w:ascii="宋体" w:hAnsi="宋体" w:cs="宋体"/>
                <w:b/>
                <w:bCs/>
                <w:sz w:val="24"/>
                <w:szCs w:val="24"/>
              </w:rPr>
            </w:pPr>
            <w:r>
              <w:rPr>
                <w:rFonts w:hint="eastAsia" w:ascii="宋体" w:hAnsi="宋体" w:cs="宋体"/>
                <w:b/>
                <w:bCs/>
                <w:sz w:val="24"/>
                <w:szCs w:val="24"/>
              </w:rPr>
              <w:t>■（3）</w:t>
            </w:r>
            <w:r>
              <w:rPr>
                <w:rFonts w:ascii="宋体" w:hAnsi="宋体" w:cs="宋体"/>
                <w:b/>
                <w:bCs/>
                <w:color w:val="auto"/>
                <w:sz w:val="24"/>
                <w:szCs w:val="24"/>
              </w:rPr>
              <w:t>虚拟驾驶舱应有良好的人机交互界面，包括冻结、复位、故障设置、快速启动等快捷功能。</w:t>
            </w:r>
          </w:p>
          <w:p w14:paraId="2C62BC4C">
            <w:pPr>
              <w:widowControl/>
              <w:snapToGrid w:val="0"/>
              <w:spacing w:line="360" w:lineRule="auto"/>
              <w:rPr>
                <w:rFonts w:hint="eastAsia" w:ascii="宋体" w:hAnsi="宋体" w:cs="宋体"/>
                <w:sz w:val="24"/>
                <w:szCs w:val="24"/>
              </w:rPr>
            </w:pPr>
            <w:r>
              <w:rPr>
                <w:rFonts w:hint="eastAsia" w:ascii="宋体" w:hAnsi="宋体" w:cs="宋体"/>
                <w:sz w:val="24"/>
                <w:szCs w:val="24"/>
              </w:rPr>
              <w:t>4.视景与环境仿真系统参数</w:t>
            </w:r>
          </w:p>
          <w:p w14:paraId="71FC38F7">
            <w:pPr>
              <w:widowControl/>
              <w:snapToGrid w:val="0"/>
              <w:spacing w:line="360" w:lineRule="auto"/>
              <w:rPr>
                <w:rFonts w:hint="eastAsia" w:ascii="宋体" w:hAnsi="宋体" w:cs="宋体"/>
                <w:sz w:val="24"/>
                <w:szCs w:val="24"/>
              </w:rPr>
            </w:pPr>
            <w:r>
              <w:rPr>
                <w:rFonts w:hint="eastAsia" w:ascii="宋体" w:hAnsi="宋体" w:cs="宋体"/>
                <w:b/>
                <w:bCs/>
                <w:sz w:val="24"/>
                <w:szCs w:val="24"/>
              </w:rPr>
              <w:t>■4.1基础渲染性能：在加载包含不少于20万栋独立建筑模型的典型超大城市场景时，系统应能保持最低60FPS的图像更新率。</w:t>
            </w:r>
          </w:p>
          <w:p w14:paraId="1B5DAF22">
            <w:pPr>
              <w:widowControl/>
              <w:snapToGrid w:val="0"/>
              <w:spacing w:line="360" w:lineRule="auto"/>
              <w:rPr>
                <w:rFonts w:hint="eastAsia" w:ascii="宋体" w:hAnsi="宋体" w:cs="宋体"/>
                <w:sz w:val="24"/>
                <w:szCs w:val="24"/>
              </w:rPr>
            </w:pPr>
            <w:r>
              <w:rPr>
                <w:rFonts w:hint="eastAsia" w:ascii="宋体" w:hAnsi="宋体" w:cs="宋体"/>
                <w:sz w:val="24"/>
                <w:szCs w:val="24"/>
              </w:rPr>
              <w:t>4.2视觉数据</w:t>
            </w:r>
          </w:p>
          <w:p w14:paraId="26767BBE">
            <w:pPr>
              <w:widowControl/>
              <w:snapToGrid w:val="0"/>
              <w:spacing w:line="360" w:lineRule="auto"/>
              <w:rPr>
                <w:rFonts w:hint="eastAsia" w:ascii="宋体" w:hAnsi="宋体" w:cs="宋体"/>
                <w:sz w:val="24"/>
                <w:szCs w:val="24"/>
              </w:rPr>
            </w:pPr>
            <w:r>
              <w:rPr>
                <w:rFonts w:hint="eastAsia" w:ascii="宋体" w:hAnsi="宋体" w:cs="宋体"/>
                <w:sz w:val="24"/>
                <w:szCs w:val="24"/>
              </w:rPr>
              <w:t>纹理分辨率：主要地景纹理分辨率应不低于60厘米/像素。</w:t>
            </w:r>
          </w:p>
          <w:p w14:paraId="2EDFE68C">
            <w:pPr>
              <w:widowControl/>
              <w:snapToGrid w:val="0"/>
              <w:spacing w:line="360" w:lineRule="auto"/>
              <w:rPr>
                <w:rFonts w:hint="eastAsia" w:ascii="宋体" w:hAnsi="宋体" w:cs="宋体"/>
                <w:sz w:val="24"/>
                <w:szCs w:val="24"/>
              </w:rPr>
            </w:pPr>
            <w:r>
              <w:rPr>
                <w:rFonts w:hint="eastAsia" w:ascii="宋体" w:hAnsi="宋体" w:cs="宋体"/>
                <w:sz w:val="24"/>
                <w:szCs w:val="24"/>
              </w:rPr>
              <w:t>DEM精度不低于30米/像素。</w:t>
            </w:r>
          </w:p>
          <w:p w14:paraId="78D51022">
            <w:pPr>
              <w:widowControl/>
              <w:snapToGrid w:val="0"/>
              <w:spacing w:line="360" w:lineRule="auto"/>
              <w:rPr>
                <w:rFonts w:hint="eastAsia" w:ascii="宋体" w:hAnsi="宋体" w:cs="宋体"/>
                <w:sz w:val="24"/>
                <w:szCs w:val="24"/>
              </w:rPr>
            </w:pPr>
            <w:r>
              <w:rPr>
                <w:rFonts w:hint="eastAsia" w:ascii="宋体" w:hAnsi="宋体" w:cs="宋体"/>
                <w:sz w:val="24"/>
                <w:szCs w:val="24"/>
              </w:rPr>
              <w:t>4.3环境模拟</w:t>
            </w:r>
          </w:p>
          <w:p w14:paraId="410B69B5">
            <w:pPr>
              <w:widowControl/>
              <w:snapToGrid w:val="0"/>
              <w:spacing w:line="360" w:lineRule="auto"/>
              <w:rPr>
                <w:rFonts w:hint="eastAsia" w:ascii="宋体" w:hAnsi="宋体" w:cs="宋体"/>
                <w:b/>
                <w:bCs/>
                <w:sz w:val="24"/>
                <w:szCs w:val="24"/>
              </w:rPr>
            </w:pPr>
            <w:r>
              <w:rPr>
                <w:rFonts w:hint="eastAsia" w:ascii="宋体" w:hAnsi="宋体" w:cs="宋体"/>
                <w:b/>
                <w:bCs/>
                <w:sz w:val="24"/>
                <w:szCs w:val="24"/>
              </w:rPr>
              <w:t>●天气系统：应具备模拟雨、雪、雾、霾、沙尘等粒子效果及降水量、能见度等参数可连续调节。</w:t>
            </w:r>
          </w:p>
          <w:p w14:paraId="092D1334">
            <w:pPr>
              <w:widowControl/>
              <w:snapToGrid w:val="0"/>
              <w:spacing w:line="360" w:lineRule="auto"/>
              <w:rPr>
                <w:rFonts w:hint="eastAsia" w:ascii="宋体" w:hAnsi="宋体" w:cs="宋体"/>
                <w:sz w:val="24"/>
                <w:szCs w:val="24"/>
              </w:rPr>
            </w:pPr>
            <w:r>
              <w:rPr>
                <w:rFonts w:hint="eastAsia" w:ascii="宋体" w:hAnsi="宋体" w:cs="宋体"/>
                <w:sz w:val="24"/>
                <w:szCs w:val="24"/>
              </w:rPr>
              <w:t>光照系统：应具备全局动态光照，支持24小时晨昏变化。</w:t>
            </w:r>
          </w:p>
          <w:p w14:paraId="324760AD">
            <w:pPr>
              <w:widowControl/>
              <w:snapToGrid w:val="0"/>
              <w:spacing w:line="360" w:lineRule="auto"/>
              <w:rPr>
                <w:rFonts w:hint="eastAsia" w:ascii="宋体" w:hAnsi="宋体" w:cs="宋体"/>
                <w:sz w:val="24"/>
                <w:szCs w:val="24"/>
              </w:rPr>
            </w:pPr>
            <w:r>
              <w:rPr>
                <w:rFonts w:hint="eastAsia" w:ascii="宋体" w:hAnsi="宋体" w:cs="宋体"/>
                <w:b/>
                <w:bCs/>
                <w:sz w:val="24"/>
                <w:szCs w:val="24"/>
              </w:rPr>
              <w:t>●物理效应：降雪应具有在建筑、道路、植被表面依据物理参数动态累积；降雨应能在飞行器风挡表面形成流淌效果，且可在建筑地面呈现表面湿润效果。</w:t>
            </w:r>
            <w:r>
              <w:rPr>
                <w:rFonts w:hint="eastAsia" w:ascii="宋体" w:hAnsi="宋体" w:cs="宋体"/>
                <w:b/>
                <w:bCs/>
                <w:sz w:val="24"/>
                <w:szCs w:val="24"/>
                <w:highlight w:val="none"/>
              </w:rPr>
              <w:t>至少包括降雪动态累积过程、降雨流淌的效果、建筑地面表面湿润效果</w:t>
            </w:r>
            <w:r>
              <w:rPr>
                <w:rFonts w:hint="eastAsia" w:ascii="宋体" w:hAnsi="宋体" w:cs="宋体"/>
                <w:b/>
                <w:bCs/>
                <w:sz w:val="24"/>
                <w:szCs w:val="24"/>
                <w:highlight w:val="none"/>
                <w:lang w:eastAsia="zh-CN"/>
              </w:rPr>
              <w:t>。（</w:t>
            </w:r>
            <w:r>
              <w:rPr>
                <w:rFonts w:hint="eastAsia" w:ascii="宋体" w:hAnsi="宋体" w:cs="宋体"/>
                <w:b/>
                <w:bCs/>
                <w:sz w:val="24"/>
                <w:szCs w:val="24"/>
              </w:rPr>
              <w:t>演示时间不少于20秒，</w:t>
            </w:r>
            <w:r>
              <w:rPr>
                <w:rFonts w:hint="eastAsia" w:ascii="宋体" w:hAnsi="宋体" w:cs="宋体"/>
                <w:b/>
                <w:bCs/>
                <w:sz w:val="24"/>
                <w:szCs w:val="24"/>
                <w:lang w:eastAsia="zh-CN"/>
              </w:rPr>
              <w:t>附在投标文件技术标电子版内</w:t>
            </w:r>
            <w:r>
              <w:rPr>
                <w:rFonts w:hint="eastAsia" w:ascii="宋体" w:hAnsi="宋体" w:cs="宋体"/>
                <w:b/>
                <w:bCs/>
                <w:sz w:val="24"/>
                <w:szCs w:val="24"/>
                <w:highlight w:val="none"/>
                <w:lang w:eastAsia="zh-CN"/>
              </w:rPr>
              <w:t>）</w:t>
            </w:r>
          </w:p>
          <w:p w14:paraId="14E19F64">
            <w:pPr>
              <w:widowControl/>
              <w:snapToGrid w:val="0"/>
              <w:spacing w:line="360" w:lineRule="auto"/>
              <w:rPr>
                <w:rFonts w:hint="eastAsia" w:ascii="宋体" w:hAnsi="宋体" w:cs="宋体"/>
                <w:sz w:val="24"/>
                <w:szCs w:val="24"/>
              </w:rPr>
            </w:pPr>
            <w:r>
              <w:rPr>
                <w:rFonts w:hint="eastAsia" w:ascii="宋体" w:hAnsi="宋体" w:cs="宋体"/>
                <w:sz w:val="24"/>
                <w:szCs w:val="24"/>
              </w:rPr>
              <w:t>4.4地景生成与数据库</w:t>
            </w:r>
          </w:p>
          <w:p w14:paraId="02FD8614">
            <w:pPr>
              <w:widowControl/>
              <w:snapToGrid w:val="0"/>
              <w:spacing w:line="360" w:lineRule="auto"/>
              <w:rPr>
                <w:rFonts w:hint="eastAsia" w:ascii="宋体" w:hAnsi="宋体" w:cs="宋体"/>
                <w:b/>
                <w:bCs/>
                <w:sz w:val="24"/>
                <w:szCs w:val="24"/>
                <w:highlight w:val="yellow"/>
              </w:rPr>
            </w:pPr>
            <w:r>
              <w:rPr>
                <w:rFonts w:hint="eastAsia" w:ascii="宋体" w:hAnsi="宋体" w:cs="宋体"/>
                <w:b/>
                <w:bCs/>
                <w:sz w:val="24"/>
                <w:szCs w:val="24"/>
              </w:rPr>
              <w:t>■生成速度：基于标准GIS数据，生成200平方公里建筑场景框架的时间应不大于30秒。</w:t>
            </w:r>
          </w:p>
          <w:p w14:paraId="7A984549">
            <w:pPr>
              <w:spacing w:line="360" w:lineRule="auto"/>
            </w:pPr>
            <w:r>
              <w:rPr>
                <w:rFonts w:hint="eastAsia" w:ascii="宋体" w:hAnsi="宋体" w:cs="宋体"/>
                <w:b/>
                <w:bCs/>
                <w:sz w:val="24"/>
                <w:szCs w:val="24"/>
              </w:rPr>
              <w:t>■生成精度与周期：所有建筑、道路、植被、水系应具备与地形智能、精准、自动化融合，杜绝建筑道路悬浮、水系穿模等常见视觉瑕疵。</w:t>
            </w:r>
          </w:p>
          <w:p w14:paraId="29A456B9">
            <w:pPr>
              <w:widowControl/>
              <w:snapToGrid w:val="0"/>
              <w:spacing w:line="360" w:lineRule="auto"/>
              <w:rPr>
                <w:rFonts w:hint="eastAsia" w:ascii="宋体" w:hAnsi="宋体" w:cs="宋体"/>
                <w:sz w:val="24"/>
                <w:szCs w:val="24"/>
              </w:rPr>
            </w:pPr>
            <w:r>
              <w:rPr>
                <w:rFonts w:hint="eastAsia" w:ascii="宋体" w:hAnsi="宋体" w:cs="宋体"/>
                <w:b/>
                <w:bCs/>
                <w:sz w:val="24"/>
                <w:szCs w:val="24"/>
              </w:rPr>
              <w:t>●提供高保真数字孪生场景，建筑模型具备逼真的外观纹理与几何细节。（</w:t>
            </w:r>
            <w:r>
              <w:rPr>
                <w:rFonts w:hint="eastAsia" w:ascii="宋体" w:hAnsi="宋体" w:cs="宋体"/>
                <w:b/>
                <w:bCs/>
                <w:sz w:val="24"/>
                <w:szCs w:val="24"/>
                <w:lang w:val="en-US" w:eastAsia="zh-CN"/>
              </w:rPr>
              <w:t>需</w:t>
            </w:r>
            <w:r>
              <w:rPr>
                <w:rFonts w:hint="eastAsia" w:ascii="宋体" w:hAnsi="宋体" w:cs="宋体"/>
                <w:b/>
                <w:bCs/>
                <w:sz w:val="24"/>
                <w:szCs w:val="24"/>
              </w:rPr>
              <w:t>提供演示视频</w:t>
            </w:r>
            <w:r>
              <w:rPr>
                <w:rFonts w:hint="eastAsia" w:ascii="宋体" w:hAnsi="宋体" w:cs="宋体"/>
                <w:b/>
                <w:bCs/>
                <w:sz w:val="24"/>
                <w:szCs w:val="24"/>
                <w:lang w:eastAsia="zh-CN"/>
              </w:rPr>
              <w:t>，</w:t>
            </w:r>
            <w:r>
              <w:rPr>
                <w:rFonts w:hint="eastAsia" w:ascii="宋体" w:hAnsi="宋体" w:cs="宋体"/>
                <w:b/>
                <w:bCs/>
                <w:sz w:val="24"/>
                <w:szCs w:val="24"/>
              </w:rPr>
              <w:t>演示时间不少于20秒，</w:t>
            </w:r>
            <w:r>
              <w:rPr>
                <w:rFonts w:hint="eastAsia" w:ascii="宋体" w:hAnsi="宋体" w:cs="宋体"/>
                <w:b/>
                <w:bCs/>
                <w:sz w:val="24"/>
                <w:szCs w:val="24"/>
                <w:lang w:eastAsia="zh-CN"/>
              </w:rPr>
              <w:t>附在投标文件技术标电子版内</w:t>
            </w:r>
            <w:r>
              <w:rPr>
                <w:rFonts w:hint="eastAsia" w:ascii="宋体" w:hAnsi="宋体" w:cs="宋体"/>
                <w:b/>
                <w:bCs/>
                <w:sz w:val="24"/>
                <w:szCs w:val="24"/>
              </w:rPr>
              <w:t>）</w:t>
            </w:r>
          </w:p>
        </w:tc>
        <w:tc>
          <w:tcPr>
            <w:tcW w:w="184" w:type="pct"/>
            <w:tcBorders>
              <w:top w:val="single" w:color="auto" w:sz="4" w:space="0"/>
              <w:left w:val="nil"/>
              <w:bottom w:val="single" w:color="auto" w:sz="4" w:space="0"/>
              <w:right w:val="single" w:color="auto" w:sz="4" w:space="0"/>
            </w:tcBorders>
            <w:vAlign w:val="center"/>
          </w:tcPr>
          <w:p w14:paraId="040E7C8C">
            <w:pPr>
              <w:widowControl/>
              <w:snapToGrid w:val="0"/>
              <w:spacing w:line="360" w:lineRule="auto"/>
              <w:rPr>
                <w:rFonts w:hint="eastAsia" w:ascii="宋体" w:hAnsi="宋体" w:cs="宋体"/>
                <w:sz w:val="24"/>
                <w:szCs w:val="24"/>
              </w:rPr>
            </w:pPr>
            <w:r>
              <w:rPr>
                <w:rFonts w:hint="eastAsia" w:ascii="宋体" w:hAnsi="宋体" w:cs="宋体"/>
                <w:sz w:val="24"/>
                <w:szCs w:val="24"/>
              </w:rPr>
              <w:t>2</w:t>
            </w:r>
          </w:p>
        </w:tc>
        <w:tc>
          <w:tcPr>
            <w:tcW w:w="184" w:type="pct"/>
            <w:tcBorders>
              <w:top w:val="single" w:color="auto" w:sz="4" w:space="0"/>
              <w:left w:val="nil"/>
              <w:bottom w:val="single" w:color="auto" w:sz="4" w:space="0"/>
              <w:right w:val="single" w:color="auto" w:sz="4" w:space="0"/>
            </w:tcBorders>
            <w:vAlign w:val="center"/>
          </w:tcPr>
          <w:p w14:paraId="061E77A3">
            <w:pPr>
              <w:widowControl/>
              <w:snapToGrid w:val="0"/>
              <w:spacing w:line="360" w:lineRule="auto"/>
              <w:rPr>
                <w:rFonts w:hint="eastAsia" w:ascii="宋体" w:hAnsi="宋体" w:cs="宋体"/>
                <w:sz w:val="24"/>
                <w:szCs w:val="24"/>
              </w:rPr>
            </w:pPr>
          </w:p>
        </w:tc>
      </w:tr>
      <w:tr w14:paraId="60CE6E9C">
        <w:tblPrEx>
          <w:tblCellMar>
            <w:top w:w="0" w:type="dxa"/>
            <w:left w:w="108" w:type="dxa"/>
            <w:bottom w:w="0" w:type="dxa"/>
            <w:right w:w="108" w:type="dxa"/>
          </w:tblCellMar>
        </w:tblPrEx>
        <w:trPr>
          <w:trHeight w:val="288" w:hRule="atLeast"/>
        </w:trPr>
        <w:tc>
          <w:tcPr>
            <w:tcW w:w="183" w:type="pct"/>
            <w:tcBorders>
              <w:top w:val="single" w:color="auto" w:sz="4" w:space="0"/>
              <w:left w:val="single" w:color="auto" w:sz="4" w:space="0"/>
              <w:bottom w:val="single" w:color="auto" w:sz="4" w:space="0"/>
              <w:right w:val="single" w:color="auto" w:sz="4" w:space="0"/>
            </w:tcBorders>
            <w:vAlign w:val="center"/>
          </w:tcPr>
          <w:p w14:paraId="54AF4A5E">
            <w:pPr>
              <w:widowControl/>
              <w:snapToGrid w:val="0"/>
              <w:spacing w:line="360" w:lineRule="auto"/>
              <w:rPr>
                <w:rFonts w:hint="eastAsia" w:ascii="宋体" w:hAnsi="宋体" w:cs="宋体"/>
                <w:sz w:val="24"/>
                <w:szCs w:val="24"/>
              </w:rPr>
            </w:pPr>
            <w:r>
              <w:rPr>
                <w:rFonts w:hint="eastAsia" w:ascii="宋体" w:hAnsi="宋体" w:cs="宋体"/>
                <w:sz w:val="24"/>
                <w:szCs w:val="24"/>
              </w:rPr>
              <w:t>2</w:t>
            </w:r>
          </w:p>
        </w:tc>
        <w:tc>
          <w:tcPr>
            <w:tcW w:w="717" w:type="pct"/>
            <w:tcBorders>
              <w:top w:val="single" w:color="auto" w:sz="4" w:space="0"/>
              <w:left w:val="nil"/>
              <w:bottom w:val="single" w:color="auto" w:sz="4" w:space="0"/>
              <w:right w:val="single" w:color="auto" w:sz="4" w:space="0"/>
            </w:tcBorders>
            <w:vAlign w:val="center"/>
          </w:tcPr>
          <w:p w14:paraId="7A709C43">
            <w:pPr>
              <w:widowControl/>
              <w:snapToGrid w:val="0"/>
              <w:spacing w:line="360" w:lineRule="auto"/>
              <w:rPr>
                <w:rFonts w:hint="eastAsia" w:ascii="宋体" w:hAnsi="宋体" w:cs="宋体"/>
                <w:sz w:val="24"/>
                <w:szCs w:val="24"/>
              </w:rPr>
            </w:pPr>
            <w:r>
              <w:rPr>
                <w:rFonts w:hint="eastAsia" w:ascii="宋体" w:hAnsi="宋体" w:cs="宋体"/>
                <w:sz w:val="24"/>
                <w:szCs w:val="24"/>
              </w:rPr>
              <w:t>便携式无人机装调实训箱</w:t>
            </w:r>
          </w:p>
        </w:tc>
        <w:tc>
          <w:tcPr>
            <w:tcW w:w="3731" w:type="pct"/>
            <w:tcBorders>
              <w:top w:val="single" w:color="auto" w:sz="4" w:space="0"/>
              <w:left w:val="single" w:color="auto" w:sz="4" w:space="0"/>
              <w:bottom w:val="single" w:color="auto" w:sz="4" w:space="0"/>
              <w:right w:val="single" w:color="auto" w:sz="4" w:space="0"/>
            </w:tcBorders>
            <w:vAlign w:val="center"/>
          </w:tcPr>
          <w:p w14:paraId="2333FD1E">
            <w:pPr>
              <w:widowControl/>
              <w:snapToGrid w:val="0"/>
              <w:spacing w:line="360" w:lineRule="auto"/>
              <w:rPr>
                <w:rFonts w:hint="eastAsia" w:ascii="宋体" w:hAnsi="宋体" w:cs="宋体"/>
                <w:sz w:val="24"/>
                <w:szCs w:val="24"/>
              </w:rPr>
            </w:pPr>
            <w:r>
              <w:rPr>
                <w:rFonts w:hint="eastAsia" w:ascii="宋体" w:hAnsi="宋体" w:cs="宋体"/>
                <w:sz w:val="24"/>
                <w:szCs w:val="24"/>
              </w:rPr>
              <w:t>每1套需包含以下内容：</w:t>
            </w:r>
          </w:p>
          <w:p w14:paraId="21CA9CDC">
            <w:pPr>
              <w:widowControl/>
              <w:snapToGrid w:val="0"/>
              <w:spacing w:line="360" w:lineRule="auto"/>
              <w:rPr>
                <w:rFonts w:hint="eastAsia" w:ascii="宋体" w:hAnsi="宋体" w:cs="宋体"/>
                <w:sz w:val="24"/>
                <w:szCs w:val="24"/>
              </w:rPr>
            </w:pPr>
            <w:r>
              <w:rPr>
                <w:rFonts w:hint="eastAsia" w:ascii="宋体" w:hAnsi="宋体" w:cs="宋体"/>
                <w:sz w:val="24"/>
                <w:szCs w:val="24"/>
              </w:rPr>
              <w:t>一、要求该平台为散件交付，交付时提供安装说明书和安装视频（U盘储存）。</w:t>
            </w:r>
          </w:p>
          <w:p w14:paraId="46623CDE">
            <w:pPr>
              <w:widowControl/>
              <w:snapToGrid w:val="0"/>
              <w:spacing w:line="360" w:lineRule="auto"/>
              <w:rPr>
                <w:rFonts w:hint="eastAsia" w:ascii="宋体" w:hAnsi="宋体" w:cs="宋体"/>
                <w:sz w:val="24"/>
                <w:szCs w:val="24"/>
              </w:rPr>
            </w:pPr>
            <w:r>
              <w:rPr>
                <w:rFonts w:hint="eastAsia" w:ascii="宋体" w:hAnsi="宋体" w:cs="宋体"/>
                <w:sz w:val="24"/>
                <w:szCs w:val="24"/>
              </w:rPr>
              <w:t>1.飞控系统</w:t>
            </w:r>
          </w:p>
          <w:p w14:paraId="67996BB8">
            <w:pPr>
              <w:widowControl/>
              <w:snapToGrid w:val="0"/>
              <w:spacing w:line="360" w:lineRule="auto"/>
              <w:rPr>
                <w:rFonts w:hint="eastAsia" w:ascii="宋体" w:hAnsi="宋体" w:cs="宋体"/>
                <w:sz w:val="24"/>
                <w:szCs w:val="24"/>
              </w:rPr>
            </w:pPr>
            <w:r>
              <w:rPr>
                <w:rFonts w:hint="eastAsia" w:ascii="宋体" w:hAnsi="宋体" w:cs="宋体"/>
                <w:sz w:val="24"/>
                <w:szCs w:val="24"/>
              </w:rPr>
              <w:t>（1）数量：1个。</w:t>
            </w:r>
          </w:p>
          <w:p w14:paraId="2D8E1525">
            <w:pPr>
              <w:widowControl/>
              <w:snapToGrid w:val="0"/>
              <w:spacing w:line="360" w:lineRule="auto"/>
              <w:rPr>
                <w:rFonts w:hint="eastAsia" w:ascii="宋体" w:hAnsi="宋体" w:cs="宋体"/>
                <w:sz w:val="24"/>
                <w:szCs w:val="24"/>
              </w:rPr>
            </w:pPr>
            <w:r>
              <w:rPr>
                <w:rFonts w:hint="eastAsia" w:ascii="宋体" w:hAnsi="宋体" w:cs="宋体"/>
                <w:sz w:val="24"/>
                <w:szCs w:val="24"/>
              </w:rPr>
              <w:t>（2）主要处理器：不低于32位。</w:t>
            </w:r>
          </w:p>
          <w:p w14:paraId="5DFD356F">
            <w:pPr>
              <w:widowControl/>
              <w:snapToGrid w:val="0"/>
              <w:spacing w:line="360" w:lineRule="auto"/>
              <w:rPr>
                <w:rFonts w:hint="eastAsia" w:ascii="宋体" w:hAnsi="宋体" w:cs="宋体"/>
                <w:sz w:val="24"/>
                <w:szCs w:val="24"/>
              </w:rPr>
            </w:pPr>
            <w:r>
              <w:rPr>
                <w:rFonts w:hint="eastAsia" w:ascii="宋体" w:hAnsi="宋体" w:cs="宋体"/>
                <w:sz w:val="24"/>
                <w:szCs w:val="24"/>
              </w:rPr>
              <w:t>（3）协处理器：不低于32位。</w:t>
            </w:r>
          </w:p>
          <w:p w14:paraId="0BD821CE">
            <w:pPr>
              <w:widowControl/>
              <w:snapToGrid w:val="0"/>
              <w:spacing w:line="360" w:lineRule="auto"/>
              <w:rPr>
                <w:rFonts w:hint="eastAsia" w:ascii="宋体" w:hAnsi="宋体" w:cs="宋体"/>
                <w:sz w:val="24"/>
                <w:szCs w:val="24"/>
              </w:rPr>
            </w:pPr>
            <w:r>
              <w:rPr>
                <w:rFonts w:hint="eastAsia" w:ascii="宋体" w:hAnsi="宋体" w:cs="宋体"/>
                <w:sz w:val="24"/>
                <w:szCs w:val="24"/>
              </w:rPr>
              <w:t>（4）传感器：3轴加速度计/陀螺仪、气压计、具备S.BUS输入和输出、PPM输出、RSSI （PWM或电压）输入功能，可显示飞控相关参数信息。</w:t>
            </w:r>
          </w:p>
          <w:p w14:paraId="10BB1A75">
            <w:pPr>
              <w:widowControl/>
              <w:snapToGrid w:val="0"/>
              <w:spacing w:line="360" w:lineRule="auto"/>
              <w:rPr>
                <w:rFonts w:hint="eastAsia" w:ascii="宋体" w:hAnsi="宋体" w:cs="宋体"/>
                <w:sz w:val="24"/>
                <w:szCs w:val="24"/>
              </w:rPr>
            </w:pPr>
            <w:r>
              <w:rPr>
                <w:rFonts w:hint="eastAsia" w:ascii="宋体" w:hAnsi="宋体" w:cs="宋体"/>
                <w:sz w:val="24"/>
                <w:szCs w:val="24"/>
              </w:rPr>
              <w:t>2.飞行组件</w:t>
            </w:r>
          </w:p>
          <w:p w14:paraId="3F810CB3">
            <w:pPr>
              <w:widowControl/>
              <w:snapToGrid w:val="0"/>
              <w:spacing w:line="360" w:lineRule="auto"/>
              <w:rPr>
                <w:rFonts w:hint="eastAsia" w:ascii="宋体" w:hAnsi="宋体" w:cs="宋体"/>
                <w:sz w:val="24"/>
                <w:szCs w:val="24"/>
              </w:rPr>
            </w:pPr>
            <w:r>
              <w:rPr>
                <w:rFonts w:hint="eastAsia" w:ascii="宋体" w:hAnsi="宋体" w:cs="宋体"/>
                <w:sz w:val="24"/>
                <w:szCs w:val="24"/>
              </w:rPr>
              <w:t>（1）旋翼类型：四旋翼。</w:t>
            </w:r>
          </w:p>
          <w:p w14:paraId="0A610F72">
            <w:pPr>
              <w:widowControl/>
              <w:snapToGrid w:val="0"/>
              <w:spacing w:line="360" w:lineRule="auto"/>
              <w:rPr>
                <w:rFonts w:hint="eastAsia" w:ascii="宋体" w:hAnsi="宋体" w:cs="宋体"/>
                <w:sz w:val="24"/>
                <w:szCs w:val="24"/>
              </w:rPr>
            </w:pPr>
            <w:r>
              <w:rPr>
                <w:rFonts w:hint="eastAsia" w:ascii="宋体" w:hAnsi="宋体" w:cs="宋体"/>
                <w:sz w:val="24"/>
                <w:szCs w:val="24"/>
              </w:rPr>
              <w:t>（2）对称电机轴距：430mm~450mm。</w:t>
            </w:r>
          </w:p>
          <w:p w14:paraId="50A85BCD">
            <w:pPr>
              <w:widowControl/>
              <w:snapToGrid w:val="0"/>
              <w:spacing w:line="360" w:lineRule="auto"/>
              <w:rPr>
                <w:rFonts w:hint="eastAsia" w:ascii="宋体" w:hAnsi="宋体" w:cs="宋体"/>
                <w:sz w:val="24"/>
                <w:szCs w:val="24"/>
              </w:rPr>
            </w:pPr>
            <w:r>
              <w:rPr>
                <w:rFonts w:hint="eastAsia" w:ascii="宋体" w:hAnsi="宋体" w:cs="宋体"/>
                <w:sz w:val="24"/>
                <w:szCs w:val="24"/>
              </w:rPr>
              <w:t>（3）空重量：≤2kg。</w:t>
            </w:r>
          </w:p>
          <w:p w14:paraId="5D365A65">
            <w:pPr>
              <w:widowControl/>
              <w:snapToGrid w:val="0"/>
              <w:spacing w:line="360" w:lineRule="auto"/>
              <w:rPr>
                <w:rFonts w:hint="eastAsia" w:ascii="宋体" w:hAnsi="宋体" w:cs="宋体"/>
                <w:sz w:val="24"/>
                <w:szCs w:val="24"/>
              </w:rPr>
            </w:pPr>
            <w:r>
              <w:rPr>
                <w:rFonts w:hint="eastAsia" w:ascii="宋体" w:hAnsi="宋体" w:cs="宋体"/>
                <w:sz w:val="24"/>
                <w:szCs w:val="24"/>
              </w:rPr>
              <w:t>（4）载重：≥500g。</w:t>
            </w:r>
          </w:p>
          <w:p w14:paraId="275CA800">
            <w:pPr>
              <w:widowControl/>
              <w:snapToGrid w:val="0"/>
              <w:spacing w:line="360" w:lineRule="auto"/>
              <w:rPr>
                <w:rFonts w:hint="eastAsia" w:ascii="宋体" w:hAnsi="宋体" w:cs="宋体"/>
                <w:sz w:val="24"/>
                <w:szCs w:val="24"/>
              </w:rPr>
            </w:pPr>
            <w:r>
              <w:rPr>
                <w:rFonts w:hint="eastAsia" w:ascii="宋体" w:hAnsi="宋体" w:cs="宋体"/>
                <w:sz w:val="24"/>
                <w:szCs w:val="24"/>
              </w:rPr>
              <w:t>（5）电机：数量4个。</w:t>
            </w:r>
          </w:p>
          <w:p w14:paraId="3F13E9C2">
            <w:pPr>
              <w:widowControl/>
              <w:snapToGrid w:val="0"/>
              <w:spacing w:line="360" w:lineRule="auto"/>
              <w:rPr>
                <w:rFonts w:hint="eastAsia" w:ascii="宋体" w:hAnsi="宋体" w:cs="宋体"/>
                <w:sz w:val="24"/>
                <w:szCs w:val="24"/>
              </w:rPr>
            </w:pPr>
            <w:r>
              <w:rPr>
                <w:rFonts w:hint="eastAsia" w:ascii="宋体" w:hAnsi="宋体" w:cs="宋体"/>
                <w:sz w:val="24"/>
                <w:szCs w:val="24"/>
              </w:rPr>
              <w:t>（6）飞行器支持电压：10~18V。</w:t>
            </w:r>
          </w:p>
          <w:p w14:paraId="3E644191">
            <w:pPr>
              <w:widowControl/>
              <w:snapToGrid w:val="0"/>
              <w:spacing w:line="360" w:lineRule="auto"/>
              <w:rPr>
                <w:rFonts w:hint="eastAsia" w:ascii="宋体" w:hAnsi="宋体" w:cs="宋体"/>
                <w:sz w:val="24"/>
                <w:szCs w:val="24"/>
              </w:rPr>
            </w:pPr>
            <w:r>
              <w:rPr>
                <w:rFonts w:hint="eastAsia" w:ascii="宋体" w:hAnsi="宋体" w:cs="宋体"/>
                <w:sz w:val="24"/>
                <w:szCs w:val="24"/>
              </w:rPr>
              <w:t>（7）驱动电调≥4个，持续驱动电流≥30A，短时电流≥45A，三相无刷驱动。</w:t>
            </w:r>
          </w:p>
          <w:p w14:paraId="27368DD5">
            <w:pPr>
              <w:widowControl/>
              <w:snapToGrid w:val="0"/>
              <w:spacing w:line="360" w:lineRule="auto"/>
              <w:rPr>
                <w:rFonts w:hint="eastAsia" w:ascii="宋体" w:hAnsi="宋体" w:cs="宋体"/>
                <w:sz w:val="24"/>
                <w:szCs w:val="24"/>
              </w:rPr>
            </w:pPr>
            <w:r>
              <w:rPr>
                <w:rFonts w:hint="eastAsia" w:ascii="宋体" w:hAnsi="宋体" w:cs="宋体"/>
                <w:sz w:val="24"/>
                <w:szCs w:val="24"/>
              </w:rPr>
              <w:t>（8）电池≥1块，聚合物锂电池，供电电压≥11.1V，容量≥5300mA，最大放电倍率≥20C。</w:t>
            </w:r>
          </w:p>
          <w:p w14:paraId="3A9E6E02">
            <w:pPr>
              <w:widowControl/>
              <w:snapToGrid w:val="0"/>
              <w:spacing w:line="360" w:lineRule="auto"/>
              <w:rPr>
                <w:rFonts w:hint="eastAsia" w:ascii="宋体" w:hAnsi="宋体" w:cs="宋体"/>
                <w:sz w:val="24"/>
                <w:szCs w:val="24"/>
              </w:rPr>
            </w:pPr>
            <w:r>
              <w:rPr>
                <w:rFonts w:hint="eastAsia" w:ascii="宋体" w:hAnsi="宋体" w:cs="宋体"/>
                <w:sz w:val="24"/>
                <w:szCs w:val="24"/>
              </w:rPr>
              <w:t>（9）上中心板：≥2块，材质为碳纤维板，具备二次开发功能。</w:t>
            </w:r>
          </w:p>
          <w:p w14:paraId="19FD5C18">
            <w:pPr>
              <w:widowControl/>
              <w:snapToGrid w:val="0"/>
              <w:spacing w:line="360" w:lineRule="auto"/>
              <w:rPr>
                <w:rFonts w:hint="eastAsia" w:ascii="宋体" w:hAnsi="宋体" w:cs="宋体"/>
                <w:sz w:val="24"/>
                <w:szCs w:val="24"/>
              </w:rPr>
            </w:pPr>
            <w:r>
              <w:rPr>
                <w:rFonts w:hint="eastAsia" w:ascii="宋体" w:hAnsi="宋体" w:cs="宋体"/>
                <w:sz w:val="24"/>
                <w:szCs w:val="24"/>
              </w:rPr>
              <w:t>（10）下中心板：≥1块，材质为碳纤维板，厚度≥1.25mm。</w:t>
            </w:r>
          </w:p>
          <w:p w14:paraId="5C313319">
            <w:pPr>
              <w:widowControl/>
              <w:snapToGrid w:val="0"/>
              <w:spacing w:line="360" w:lineRule="auto"/>
              <w:rPr>
                <w:rFonts w:hint="eastAsia" w:ascii="宋体" w:hAnsi="宋体" w:cs="宋体"/>
                <w:sz w:val="24"/>
                <w:szCs w:val="24"/>
              </w:rPr>
            </w:pPr>
            <w:r>
              <w:rPr>
                <w:rFonts w:hint="eastAsia" w:ascii="宋体" w:hAnsi="宋体" w:cs="宋体"/>
                <w:sz w:val="24"/>
                <w:szCs w:val="24"/>
              </w:rPr>
              <w:t>（11）电池板：≥1块，材质为碳纤维板,厚度≥1.25mm。</w:t>
            </w:r>
          </w:p>
          <w:p w14:paraId="7CE8887D">
            <w:pPr>
              <w:widowControl/>
              <w:snapToGrid w:val="0"/>
              <w:spacing w:line="360" w:lineRule="auto"/>
              <w:rPr>
                <w:rFonts w:hint="eastAsia" w:ascii="宋体" w:hAnsi="宋体" w:cs="宋体"/>
                <w:sz w:val="24"/>
                <w:szCs w:val="24"/>
              </w:rPr>
            </w:pPr>
            <w:r>
              <w:rPr>
                <w:rFonts w:hint="eastAsia" w:ascii="宋体" w:hAnsi="宋体" w:cs="宋体"/>
                <w:sz w:val="24"/>
                <w:szCs w:val="24"/>
              </w:rPr>
              <w:t>（12）电池魔术扎带：2根，长度≥20cm。</w:t>
            </w:r>
          </w:p>
          <w:p w14:paraId="28A1E36E">
            <w:pPr>
              <w:widowControl/>
              <w:snapToGrid w:val="0"/>
              <w:spacing w:line="360" w:lineRule="auto"/>
              <w:rPr>
                <w:rFonts w:hint="eastAsia" w:ascii="宋体" w:hAnsi="宋体" w:cs="宋体"/>
                <w:sz w:val="24"/>
                <w:szCs w:val="24"/>
              </w:rPr>
            </w:pPr>
            <w:r>
              <w:rPr>
                <w:rFonts w:hint="eastAsia" w:ascii="宋体" w:hAnsi="宋体" w:cs="宋体"/>
                <w:sz w:val="24"/>
                <w:szCs w:val="24"/>
              </w:rPr>
              <w:t>（13）GPS支架：≥1个。</w:t>
            </w:r>
          </w:p>
          <w:p w14:paraId="07743BC2">
            <w:pPr>
              <w:widowControl/>
              <w:snapToGrid w:val="0"/>
              <w:spacing w:line="360" w:lineRule="auto"/>
              <w:rPr>
                <w:rFonts w:hint="eastAsia" w:ascii="宋体" w:hAnsi="宋体" w:cs="宋体"/>
                <w:sz w:val="24"/>
                <w:szCs w:val="24"/>
              </w:rPr>
            </w:pPr>
            <w:r>
              <w:rPr>
                <w:rFonts w:hint="eastAsia" w:ascii="宋体" w:hAnsi="宋体" w:cs="宋体"/>
                <w:sz w:val="24"/>
                <w:szCs w:val="24"/>
              </w:rPr>
              <w:t>（14）机臂≥4个，直径≥14mm碳纤维管，厚度≥1.5mm。</w:t>
            </w:r>
          </w:p>
          <w:p w14:paraId="65CC1BB7">
            <w:pPr>
              <w:widowControl/>
              <w:snapToGrid w:val="0"/>
              <w:spacing w:line="360" w:lineRule="auto"/>
              <w:rPr>
                <w:rFonts w:hint="eastAsia" w:ascii="宋体" w:hAnsi="宋体" w:cs="宋体"/>
                <w:sz w:val="24"/>
                <w:szCs w:val="24"/>
              </w:rPr>
            </w:pPr>
            <w:r>
              <w:rPr>
                <w:rFonts w:hint="eastAsia" w:ascii="宋体" w:hAnsi="宋体" w:cs="宋体"/>
                <w:sz w:val="24"/>
                <w:szCs w:val="24"/>
              </w:rPr>
              <w:t>（15）起落架≥2个，直径≥8mm碳纤维管，厚度1mm。</w:t>
            </w:r>
          </w:p>
          <w:p w14:paraId="306271A4">
            <w:pPr>
              <w:widowControl/>
              <w:snapToGrid w:val="0"/>
              <w:spacing w:line="360" w:lineRule="auto"/>
              <w:rPr>
                <w:rFonts w:hint="eastAsia" w:ascii="宋体" w:hAnsi="宋体" w:cs="宋体"/>
                <w:sz w:val="24"/>
                <w:szCs w:val="24"/>
              </w:rPr>
            </w:pPr>
            <w:r>
              <w:rPr>
                <w:rFonts w:hint="eastAsia" w:ascii="宋体" w:hAnsi="宋体" w:cs="宋体"/>
                <w:sz w:val="24"/>
                <w:szCs w:val="24"/>
              </w:rPr>
              <w:t>二、该设备提供配套的教学指导书电子版资料，教学指导书按课时例程编制，提供的内容包括但不限于如下</w:t>
            </w:r>
          </w:p>
          <w:p w14:paraId="2A840135">
            <w:pPr>
              <w:widowControl/>
              <w:snapToGrid w:val="0"/>
              <w:spacing w:line="360" w:lineRule="auto"/>
              <w:rPr>
                <w:rFonts w:hint="eastAsia" w:ascii="宋体" w:hAnsi="宋体" w:cs="宋体"/>
                <w:sz w:val="24"/>
                <w:szCs w:val="24"/>
              </w:rPr>
            </w:pPr>
            <w:r>
              <w:rPr>
                <w:rFonts w:hint="eastAsia" w:ascii="宋体" w:hAnsi="宋体" w:cs="宋体"/>
                <w:sz w:val="24"/>
                <w:szCs w:val="24"/>
              </w:rPr>
              <w:t>1.无人机系统概述。</w:t>
            </w:r>
          </w:p>
          <w:p w14:paraId="5270F3B5">
            <w:pPr>
              <w:widowControl/>
              <w:snapToGrid w:val="0"/>
              <w:spacing w:line="360" w:lineRule="auto"/>
              <w:rPr>
                <w:rFonts w:hint="eastAsia" w:ascii="宋体" w:hAnsi="宋体" w:cs="宋体"/>
                <w:sz w:val="24"/>
                <w:szCs w:val="24"/>
              </w:rPr>
            </w:pPr>
            <w:r>
              <w:rPr>
                <w:rFonts w:hint="eastAsia" w:ascii="宋体" w:hAnsi="宋体" w:cs="宋体"/>
                <w:sz w:val="24"/>
                <w:szCs w:val="24"/>
              </w:rPr>
              <w:t>2.空域与法规</w:t>
            </w:r>
          </w:p>
          <w:p w14:paraId="5C7A646C">
            <w:pPr>
              <w:widowControl/>
              <w:snapToGrid w:val="0"/>
              <w:spacing w:line="360" w:lineRule="auto"/>
              <w:rPr>
                <w:rFonts w:hint="eastAsia" w:ascii="宋体" w:hAnsi="宋体" w:cs="宋体"/>
                <w:sz w:val="24"/>
                <w:szCs w:val="24"/>
              </w:rPr>
            </w:pPr>
            <w:r>
              <w:rPr>
                <w:rFonts w:hint="eastAsia" w:ascii="宋体" w:hAnsi="宋体" w:cs="宋体"/>
                <w:sz w:val="24"/>
                <w:szCs w:val="24"/>
              </w:rPr>
              <w:t>（1）空域知识。</w:t>
            </w:r>
          </w:p>
          <w:p w14:paraId="51844F52">
            <w:pPr>
              <w:widowControl/>
              <w:snapToGrid w:val="0"/>
              <w:spacing w:line="360" w:lineRule="auto"/>
              <w:rPr>
                <w:rFonts w:hint="eastAsia" w:ascii="宋体" w:hAnsi="宋体" w:cs="宋体"/>
                <w:sz w:val="24"/>
                <w:szCs w:val="24"/>
              </w:rPr>
            </w:pPr>
            <w:r>
              <w:rPr>
                <w:rFonts w:hint="eastAsia" w:ascii="宋体" w:hAnsi="宋体" w:cs="宋体"/>
                <w:sz w:val="24"/>
                <w:szCs w:val="24"/>
              </w:rPr>
              <w:t>（2）空中交通管制。</w:t>
            </w:r>
          </w:p>
          <w:p w14:paraId="7FAC89C5">
            <w:pPr>
              <w:widowControl/>
              <w:snapToGrid w:val="0"/>
              <w:spacing w:line="360" w:lineRule="auto"/>
              <w:rPr>
                <w:rFonts w:hint="eastAsia" w:ascii="宋体" w:hAnsi="宋体" w:cs="宋体"/>
                <w:sz w:val="24"/>
                <w:szCs w:val="24"/>
              </w:rPr>
            </w:pPr>
            <w:r>
              <w:rPr>
                <w:rFonts w:hint="eastAsia" w:ascii="宋体" w:hAnsi="宋体" w:cs="宋体"/>
                <w:sz w:val="24"/>
                <w:szCs w:val="24"/>
              </w:rPr>
              <w:t>3.气象</w:t>
            </w:r>
          </w:p>
          <w:p w14:paraId="071C135E">
            <w:pPr>
              <w:widowControl/>
              <w:snapToGrid w:val="0"/>
              <w:spacing w:line="360" w:lineRule="auto"/>
              <w:rPr>
                <w:rFonts w:hint="eastAsia" w:ascii="宋体" w:hAnsi="宋体" w:cs="宋体"/>
                <w:sz w:val="24"/>
                <w:szCs w:val="24"/>
              </w:rPr>
            </w:pPr>
            <w:r>
              <w:rPr>
                <w:rFonts w:hint="eastAsia" w:ascii="宋体" w:hAnsi="宋体" w:cs="宋体"/>
                <w:sz w:val="24"/>
                <w:szCs w:val="24"/>
              </w:rPr>
              <w:t>（1）大气的基本要素。</w:t>
            </w:r>
          </w:p>
          <w:p w14:paraId="3B9402A6">
            <w:pPr>
              <w:widowControl/>
              <w:snapToGrid w:val="0"/>
              <w:spacing w:line="360" w:lineRule="auto"/>
              <w:rPr>
                <w:rFonts w:hint="eastAsia" w:ascii="宋体" w:hAnsi="宋体" w:cs="宋体"/>
                <w:sz w:val="24"/>
                <w:szCs w:val="24"/>
              </w:rPr>
            </w:pPr>
            <w:r>
              <w:rPr>
                <w:rFonts w:hint="eastAsia" w:ascii="宋体" w:hAnsi="宋体" w:cs="宋体"/>
                <w:sz w:val="24"/>
                <w:szCs w:val="24"/>
              </w:rPr>
              <w:t>（2）大气层划分。</w:t>
            </w:r>
          </w:p>
          <w:p w14:paraId="443E7096">
            <w:pPr>
              <w:widowControl/>
              <w:snapToGrid w:val="0"/>
              <w:spacing w:line="360" w:lineRule="auto"/>
              <w:rPr>
                <w:rFonts w:hint="eastAsia" w:ascii="宋体" w:hAnsi="宋体" w:cs="宋体"/>
                <w:sz w:val="24"/>
                <w:szCs w:val="24"/>
              </w:rPr>
            </w:pPr>
            <w:r>
              <w:rPr>
                <w:rFonts w:hint="eastAsia" w:ascii="宋体" w:hAnsi="宋体" w:cs="宋体"/>
                <w:sz w:val="24"/>
                <w:szCs w:val="24"/>
              </w:rPr>
              <w:t>4.无人机的组装与调试</w:t>
            </w:r>
          </w:p>
          <w:p w14:paraId="08526B38">
            <w:pPr>
              <w:widowControl/>
              <w:snapToGrid w:val="0"/>
              <w:spacing w:line="360" w:lineRule="auto"/>
              <w:rPr>
                <w:rFonts w:hint="eastAsia" w:ascii="宋体" w:hAnsi="宋体" w:cs="宋体"/>
                <w:sz w:val="24"/>
                <w:szCs w:val="24"/>
              </w:rPr>
            </w:pPr>
            <w:r>
              <w:rPr>
                <w:rFonts w:hint="eastAsia" w:ascii="宋体" w:hAnsi="宋体" w:cs="宋体"/>
                <w:sz w:val="24"/>
                <w:szCs w:val="24"/>
              </w:rPr>
              <w:t>（1）机架组装。</w:t>
            </w:r>
          </w:p>
          <w:p w14:paraId="0AB55D72">
            <w:pPr>
              <w:widowControl/>
              <w:snapToGrid w:val="0"/>
              <w:spacing w:line="360" w:lineRule="auto"/>
              <w:rPr>
                <w:rFonts w:hint="eastAsia" w:ascii="宋体" w:hAnsi="宋体" w:cs="宋体"/>
                <w:sz w:val="24"/>
                <w:szCs w:val="24"/>
              </w:rPr>
            </w:pPr>
            <w:r>
              <w:rPr>
                <w:rFonts w:hint="eastAsia" w:ascii="宋体" w:hAnsi="宋体" w:cs="宋体"/>
                <w:sz w:val="24"/>
                <w:szCs w:val="24"/>
              </w:rPr>
              <w:t>（2）动力系统的组装。</w:t>
            </w:r>
          </w:p>
          <w:p w14:paraId="769CF9BB">
            <w:pPr>
              <w:widowControl/>
              <w:snapToGrid w:val="0"/>
              <w:spacing w:line="360" w:lineRule="auto"/>
              <w:rPr>
                <w:rFonts w:hint="eastAsia" w:ascii="宋体" w:hAnsi="宋体" w:cs="宋体"/>
                <w:sz w:val="24"/>
                <w:szCs w:val="24"/>
              </w:rPr>
            </w:pPr>
            <w:r>
              <w:rPr>
                <w:rFonts w:hint="eastAsia" w:ascii="宋体" w:hAnsi="宋体" w:cs="宋体"/>
                <w:sz w:val="24"/>
                <w:szCs w:val="24"/>
              </w:rPr>
              <w:t>（3）飞控系统的组装。</w:t>
            </w:r>
          </w:p>
          <w:p w14:paraId="2887BD52">
            <w:pPr>
              <w:widowControl/>
              <w:snapToGrid w:val="0"/>
              <w:spacing w:line="360" w:lineRule="auto"/>
              <w:rPr>
                <w:rFonts w:hint="eastAsia" w:ascii="宋体" w:hAnsi="宋体" w:cs="宋体"/>
                <w:sz w:val="24"/>
                <w:szCs w:val="24"/>
              </w:rPr>
            </w:pPr>
            <w:r>
              <w:rPr>
                <w:rFonts w:hint="eastAsia" w:ascii="宋体" w:hAnsi="宋体" w:cs="宋体"/>
                <w:sz w:val="24"/>
                <w:szCs w:val="24"/>
              </w:rPr>
              <w:t>（4）无桨调试。</w:t>
            </w:r>
          </w:p>
          <w:p w14:paraId="01701F05">
            <w:pPr>
              <w:widowControl/>
              <w:snapToGrid w:val="0"/>
              <w:spacing w:line="360" w:lineRule="auto"/>
              <w:rPr>
                <w:rFonts w:hint="eastAsia" w:ascii="宋体" w:hAnsi="宋体" w:cs="宋体"/>
                <w:sz w:val="24"/>
                <w:szCs w:val="24"/>
              </w:rPr>
            </w:pPr>
            <w:r>
              <w:rPr>
                <w:rFonts w:hint="eastAsia" w:ascii="宋体" w:hAnsi="宋体" w:cs="宋体"/>
                <w:sz w:val="24"/>
                <w:szCs w:val="24"/>
              </w:rPr>
              <w:t>（5）有桨调试。</w:t>
            </w:r>
          </w:p>
          <w:p w14:paraId="0B530567">
            <w:pPr>
              <w:widowControl/>
              <w:snapToGrid w:val="0"/>
              <w:spacing w:line="360" w:lineRule="auto"/>
              <w:rPr>
                <w:rFonts w:hint="eastAsia" w:ascii="宋体" w:hAnsi="宋体" w:cs="宋体"/>
                <w:sz w:val="24"/>
                <w:szCs w:val="24"/>
              </w:rPr>
            </w:pPr>
            <w:r>
              <w:rPr>
                <w:rFonts w:hint="eastAsia" w:ascii="宋体" w:hAnsi="宋体" w:cs="宋体"/>
                <w:sz w:val="24"/>
                <w:szCs w:val="24"/>
              </w:rPr>
              <w:t>（6）调试中常见的概念。</w:t>
            </w:r>
          </w:p>
          <w:p w14:paraId="2B122E46">
            <w:pPr>
              <w:widowControl/>
              <w:snapToGrid w:val="0"/>
              <w:spacing w:line="360" w:lineRule="auto"/>
              <w:rPr>
                <w:rFonts w:hint="eastAsia" w:ascii="宋体" w:hAnsi="宋体" w:cs="宋体"/>
                <w:sz w:val="24"/>
                <w:szCs w:val="24"/>
              </w:rPr>
            </w:pPr>
            <w:r>
              <w:rPr>
                <w:rFonts w:hint="eastAsia" w:ascii="宋体" w:hAnsi="宋体" w:cs="宋体"/>
                <w:sz w:val="24"/>
                <w:szCs w:val="24"/>
              </w:rPr>
              <w:t>5.无人机的保养与维护：</w:t>
            </w:r>
          </w:p>
          <w:p w14:paraId="73221917">
            <w:pPr>
              <w:widowControl/>
              <w:snapToGrid w:val="0"/>
              <w:spacing w:line="360" w:lineRule="auto"/>
              <w:rPr>
                <w:rFonts w:hint="eastAsia" w:ascii="宋体" w:hAnsi="宋体" w:cs="宋体"/>
                <w:sz w:val="24"/>
                <w:szCs w:val="24"/>
              </w:rPr>
            </w:pPr>
            <w:r>
              <w:rPr>
                <w:rFonts w:hint="eastAsia" w:ascii="宋体" w:hAnsi="宋体" w:cs="宋体"/>
                <w:sz w:val="24"/>
                <w:szCs w:val="24"/>
              </w:rPr>
              <w:t>（1）无人机机身保养。</w:t>
            </w:r>
          </w:p>
          <w:p w14:paraId="3C6F50AA">
            <w:pPr>
              <w:widowControl/>
              <w:snapToGrid w:val="0"/>
              <w:spacing w:line="360" w:lineRule="auto"/>
              <w:rPr>
                <w:rFonts w:hint="eastAsia" w:ascii="宋体" w:hAnsi="宋体" w:cs="宋体"/>
                <w:sz w:val="24"/>
                <w:szCs w:val="24"/>
              </w:rPr>
            </w:pPr>
            <w:r>
              <w:rPr>
                <w:rFonts w:hint="eastAsia" w:ascii="宋体" w:hAnsi="宋体" w:cs="宋体"/>
                <w:sz w:val="24"/>
                <w:szCs w:val="24"/>
              </w:rPr>
              <w:t>（2）电机检查保养。</w:t>
            </w:r>
          </w:p>
          <w:p w14:paraId="02F11B62">
            <w:pPr>
              <w:widowControl/>
              <w:snapToGrid w:val="0"/>
              <w:spacing w:line="360" w:lineRule="auto"/>
              <w:rPr>
                <w:rFonts w:hint="eastAsia" w:ascii="宋体" w:hAnsi="宋体" w:cs="宋体"/>
                <w:sz w:val="24"/>
                <w:szCs w:val="24"/>
              </w:rPr>
            </w:pPr>
            <w:r>
              <w:rPr>
                <w:rFonts w:hint="eastAsia" w:ascii="宋体" w:hAnsi="宋体" w:cs="宋体"/>
                <w:sz w:val="24"/>
                <w:szCs w:val="24"/>
              </w:rPr>
              <w:t>（3）电池的使用及维护注意事项。</w:t>
            </w:r>
          </w:p>
          <w:p w14:paraId="0746B2F8">
            <w:pPr>
              <w:widowControl/>
              <w:snapToGrid w:val="0"/>
              <w:spacing w:line="360" w:lineRule="auto"/>
              <w:rPr>
                <w:rFonts w:hint="eastAsia" w:ascii="宋体" w:hAnsi="宋体" w:cs="宋体"/>
                <w:sz w:val="24"/>
                <w:szCs w:val="24"/>
              </w:rPr>
            </w:pPr>
            <w:r>
              <w:rPr>
                <w:rFonts w:hint="eastAsia" w:ascii="宋体" w:hAnsi="宋体" w:cs="宋体"/>
                <w:sz w:val="24"/>
                <w:szCs w:val="24"/>
              </w:rPr>
              <w:t>（4）无人机螺旋桨保养。</w:t>
            </w:r>
          </w:p>
          <w:p w14:paraId="7DD60F31">
            <w:pPr>
              <w:widowControl/>
              <w:snapToGrid w:val="0"/>
              <w:spacing w:line="360" w:lineRule="auto"/>
              <w:rPr>
                <w:rFonts w:hint="eastAsia" w:ascii="宋体" w:hAnsi="宋体" w:cs="宋体"/>
                <w:sz w:val="24"/>
                <w:szCs w:val="24"/>
              </w:rPr>
            </w:pPr>
            <w:r>
              <w:rPr>
                <w:rFonts w:hint="eastAsia" w:ascii="宋体" w:hAnsi="宋体" w:cs="宋体"/>
                <w:sz w:val="24"/>
                <w:szCs w:val="24"/>
              </w:rPr>
              <w:t>（5）无人机遥控器保养。</w:t>
            </w:r>
          </w:p>
          <w:p w14:paraId="3132E389">
            <w:pPr>
              <w:widowControl/>
              <w:snapToGrid w:val="0"/>
              <w:spacing w:line="360" w:lineRule="auto"/>
              <w:rPr>
                <w:rFonts w:hint="eastAsia" w:ascii="宋体" w:hAnsi="宋体" w:cs="宋体"/>
                <w:sz w:val="24"/>
                <w:szCs w:val="24"/>
              </w:rPr>
            </w:pPr>
            <w:r>
              <w:rPr>
                <w:rFonts w:hint="eastAsia" w:ascii="宋体" w:hAnsi="宋体" w:cs="宋体"/>
                <w:sz w:val="24"/>
                <w:szCs w:val="24"/>
              </w:rPr>
              <w:t>（6）无人机常用修理工具。</w:t>
            </w:r>
          </w:p>
        </w:tc>
        <w:tc>
          <w:tcPr>
            <w:tcW w:w="184" w:type="pct"/>
            <w:tcBorders>
              <w:top w:val="single" w:color="auto" w:sz="4" w:space="0"/>
              <w:left w:val="nil"/>
              <w:bottom w:val="single" w:color="auto" w:sz="4" w:space="0"/>
              <w:right w:val="single" w:color="auto" w:sz="4" w:space="0"/>
            </w:tcBorders>
            <w:vAlign w:val="center"/>
          </w:tcPr>
          <w:p w14:paraId="3715D6B8">
            <w:pPr>
              <w:widowControl/>
              <w:snapToGrid w:val="0"/>
              <w:spacing w:line="360" w:lineRule="auto"/>
              <w:rPr>
                <w:rFonts w:hint="eastAsia" w:ascii="宋体" w:hAnsi="宋体" w:cs="宋体"/>
                <w:sz w:val="24"/>
                <w:szCs w:val="24"/>
              </w:rPr>
            </w:pPr>
            <w:r>
              <w:rPr>
                <w:rFonts w:hint="eastAsia" w:ascii="宋体" w:hAnsi="宋体" w:cs="宋体"/>
                <w:sz w:val="24"/>
                <w:szCs w:val="24"/>
              </w:rPr>
              <w:t>10</w:t>
            </w:r>
          </w:p>
        </w:tc>
        <w:tc>
          <w:tcPr>
            <w:tcW w:w="184" w:type="pct"/>
            <w:tcBorders>
              <w:top w:val="single" w:color="auto" w:sz="4" w:space="0"/>
              <w:left w:val="nil"/>
              <w:bottom w:val="single" w:color="auto" w:sz="4" w:space="0"/>
              <w:right w:val="single" w:color="auto" w:sz="4" w:space="0"/>
            </w:tcBorders>
            <w:vAlign w:val="center"/>
          </w:tcPr>
          <w:p w14:paraId="628E010B">
            <w:pPr>
              <w:widowControl/>
              <w:snapToGrid w:val="0"/>
              <w:spacing w:line="360" w:lineRule="auto"/>
              <w:rPr>
                <w:rFonts w:hint="eastAsia" w:ascii="宋体" w:hAnsi="宋体" w:cs="宋体"/>
                <w:sz w:val="24"/>
                <w:szCs w:val="24"/>
              </w:rPr>
            </w:pPr>
          </w:p>
        </w:tc>
      </w:tr>
      <w:tr w14:paraId="569695D6">
        <w:tblPrEx>
          <w:tblCellMar>
            <w:top w:w="0" w:type="dxa"/>
            <w:left w:w="108" w:type="dxa"/>
            <w:bottom w:w="0" w:type="dxa"/>
            <w:right w:w="108" w:type="dxa"/>
          </w:tblCellMar>
        </w:tblPrEx>
        <w:trPr>
          <w:trHeight w:val="288" w:hRule="atLeast"/>
        </w:trPr>
        <w:tc>
          <w:tcPr>
            <w:tcW w:w="183" w:type="pct"/>
            <w:tcBorders>
              <w:top w:val="single" w:color="auto" w:sz="4" w:space="0"/>
              <w:left w:val="single" w:color="auto" w:sz="4" w:space="0"/>
              <w:bottom w:val="single" w:color="auto" w:sz="4" w:space="0"/>
              <w:right w:val="single" w:color="auto" w:sz="4" w:space="0"/>
            </w:tcBorders>
            <w:vAlign w:val="center"/>
          </w:tcPr>
          <w:p w14:paraId="3680FEE3">
            <w:pPr>
              <w:widowControl/>
              <w:snapToGrid w:val="0"/>
              <w:spacing w:line="360" w:lineRule="auto"/>
              <w:rPr>
                <w:rFonts w:hint="eastAsia" w:ascii="宋体" w:hAnsi="宋体" w:cs="宋体"/>
                <w:sz w:val="24"/>
                <w:szCs w:val="24"/>
              </w:rPr>
            </w:pPr>
            <w:r>
              <w:rPr>
                <w:rFonts w:hint="eastAsia" w:ascii="宋体" w:hAnsi="宋体" w:cs="宋体"/>
                <w:sz w:val="24"/>
                <w:szCs w:val="24"/>
              </w:rPr>
              <w:t>3</w:t>
            </w:r>
          </w:p>
        </w:tc>
        <w:tc>
          <w:tcPr>
            <w:tcW w:w="717" w:type="pct"/>
            <w:tcBorders>
              <w:top w:val="single" w:color="auto" w:sz="4" w:space="0"/>
              <w:left w:val="nil"/>
              <w:bottom w:val="single" w:color="auto" w:sz="4" w:space="0"/>
              <w:right w:val="single" w:color="auto" w:sz="4" w:space="0"/>
            </w:tcBorders>
            <w:vAlign w:val="center"/>
          </w:tcPr>
          <w:p w14:paraId="7717B99E">
            <w:pPr>
              <w:widowControl/>
              <w:snapToGrid w:val="0"/>
              <w:spacing w:line="360" w:lineRule="auto"/>
              <w:rPr>
                <w:rFonts w:hint="eastAsia" w:ascii="宋体" w:hAnsi="宋体" w:cs="宋体"/>
                <w:sz w:val="24"/>
                <w:szCs w:val="24"/>
              </w:rPr>
            </w:pPr>
            <w:r>
              <w:rPr>
                <w:rFonts w:hint="eastAsia" w:ascii="宋体" w:hAnsi="宋体" w:cs="宋体"/>
                <w:sz w:val="24"/>
                <w:szCs w:val="24"/>
              </w:rPr>
              <w:t>▲无人机装调检修仿真实训台</w:t>
            </w:r>
          </w:p>
        </w:tc>
        <w:tc>
          <w:tcPr>
            <w:tcW w:w="3731" w:type="pct"/>
            <w:tcBorders>
              <w:top w:val="single" w:color="auto" w:sz="4" w:space="0"/>
              <w:left w:val="single" w:color="auto" w:sz="4" w:space="0"/>
              <w:bottom w:val="single" w:color="auto" w:sz="4" w:space="0"/>
              <w:right w:val="single" w:color="auto" w:sz="4" w:space="0"/>
            </w:tcBorders>
            <w:vAlign w:val="center"/>
          </w:tcPr>
          <w:p w14:paraId="42D095B5">
            <w:pPr>
              <w:widowControl/>
              <w:snapToGrid w:val="0"/>
              <w:spacing w:line="360" w:lineRule="auto"/>
              <w:rPr>
                <w:rFonts w:hint="eastAsia" w:ascii="宋体" w:hAnsi="宋体" w:cs="宋体"/>
                <w:sz w:val="24"/>
                <w:szCs w:val="24"/>
              </w:rPr>
            </w:pPr>
            <w:r>
              <w:rPr>
                <w:rFonts w:hint="eastAsia" w:ascii="宋体" w:hAnsi="宋体" w:cs="宋体"/>
                <w:sz w:val="24"/>
                <w:szCs w:val="24"/>
              </w:rPr>
              <w:t>1.实训台尺寸不少于长1800mm*宽800mm*高1400mm，台架采用不低于2mm钢方管焊接成型，外径尺寸≥4cm，要求高强度、韧性强、机械性能良好，稳定性好，操作时不能有晃动。桌面铺设≥2mm厚防静电胶皮。</w:t>
            </w:r>
          </w:p>
          <w:p w14:paraId="48D5DBA1">
            <w:pPr>
              <w:widowControl/>
              <w:snapToGrid w:val="0"/>
              <w:spacing w:line="360" w:lineRule="auto"/>
              <w:rPr>
                <w:rFonts w:hint="eastAsia" w:ascii="宋体" w:hAnsi="宋体" w:cs="宋体"/>
                <w:sz w:val="24"/>
                <w:szCs w:val="24"/>
              </w:rPr>
            </w:pPr>
            <w:r>
              <w:rPr>
                <w:rFonts w:hint="eastAsia" w:ascii="宋体" w:hAnsi="宋体" w:cs="宋体"/>
                <w:sz w:val="24"/>
                <w:szCs w:val="24"/>
              </w:rPr>
              <w:t>2.实训台由检修区、调参区、仿真故障区、配套检修用无人机套件模块和工具挂板组成，工作台上安装仿真显示器1台，屏幕尺寸不小于27寸。</w:t>
            </w:r>
          </w:p>
          <w:p w14:paraId="156397A9">
            <w:pPr>
              <w:widowControl/>
              <w:snapToGrid w:val="0"/>
              <w:spacing w:line="360" w:lineRule="auto"/>
              <w:rPr>
                <w:rFonts w:hint="eastAsia" w:ascii="宋体" w:hAnsi="宋体" w:cs="宋体"/>
                <w:sz w:val="24"/>
                <w:szCs w:val="24"/>
              </w:rPr>
            </w:pPr>
            <w:r>
              <w:rPr>
                <w:rFonts w:hint="eastAsia" w:ascii="宋体" w:hAnsi="宋体" w:cs="宋体"/>
                <w:sz w:val="24"/>
                <w:szCs w:val="24"/>
              </w:rPr>
              <w:t>3.具体技术参数如下</w:t>
            </w:r>
          </w:p>
          <w:p w14:paraId="3ECFA01B">
            <w:pPr>
              <w:widowControl/>
              <w:snapToGrid w:val="0"/>
              <w:spacing w:line="360" w:lineRule="auto"/>
              <w:rPr>
                <w:rFonts w:hint="eastAsia" w:ascii="宋体" w:hAnsi="宋体" w:cs="宋体"/>
                <w:sz w:val="24"/>
                <w:szCs w:val="24"/>
              </w:rPr>
            </w:pPr>
            <w:r>
              <w:rPr>
                <w:rFonts w:hint="eastAsia" w:ascii="宋体" w:hAnsi="宋体" w:cs="宋体"/>
                <w:sz w:val="24"/>
                <w:szCs w:val="24"/>
              </w:rPr>
              <w:t>（1）工作环境温度：-10℃～+40℃；工作相对湿度：40%～85%；工作电流：＜10A；输入电压：220VAC，50Hz；包含安全保护、漏电保护、紧急停止按钮、警报器；可视化窗口1套。</w:t>
            </w:r>
          </w:p>
          <w:p w14:paraId="72833EE3">
            <w:pPr>
              <w:widowControl/>
              <w:snapToGrid w:val="0"/>
              <w:spacing w:line="360" w:lineRule="auto"/>
              <w:rPr>
                <w:rFonts w:hint="eastAsia" w:ascii="宋体" w:hAnsi="宋体" w:cs="宋体"/>
                <w:sz w:val="24"/>
                <w:szCs w:val="24"/>
              </w:rPr>
            </w:pPr>
            <w:r>
              <w:rPr>
                <w:rFonts w:hint="eastAsia" w:ascii="宋体" w:hAnsi="宋体" w:cs="宋体"/>
                <w:sz w:val="24"/>
                <w:szCs w:val="24"/>
              </w:rPr>
              <w:t>（2）工作台安装有无人机故障检修系统，能够实现如下功能</w:t>
            </w:r>
          </w:p>
          <w:p w14:paraId="7988023B">
            <w:pPr>
              <w:widowControl/>
              <w:snapToGrid w:val="0"/>
              <w:spacing w:line="360" w:lineRule="auto"/>
              <w:rPr>
                <w:rFonts w:hint="eastAsia" w:ascii="宋体" w:hAnsi="宋体" w:cs="宋体"/>
                <w:sz w:val="24"/>
                <w:szCs w:val="24"/>
              </w:rPr>
            </w:pPr>
            <w:r>
              <w:rPr>
                <w:rFonts w:hint="eastAsia" w:ascii="宋体" w:hAnsi="宋体" w:cs="宋体"/>
                <w:sz w:val="24"/>
                <w:szCs w:val="24"/>
              </w:rPr>
              <w:t>①可以通过软件对无人机各类故障进行控制和调节。</w:t>
            </w:r>
          </w:p>
          <w:p w14:paraId="68362430">
            <w:pPr>
              <w:widowControl/>
              <w:snapToGrid w:val="0"/>
              <w:spacing w:line="360" w:lineRule="auto"/>
              <w:rPr>
                <w:rFonts w:hint="eastAsia" w:ascii="宋体" w:hAnsi="宋体" w:cs="宋体"/>
                <w:sz w:val="24"/>
                <w:szCs w:val="24"/>
              </w:rPr>
            </w:pPr>
            <w:r>
              <w:rPr>
                <w:rFonts w:hint="eastAsia" w:ascii="宋体" w:hAnsi="宋体" w:cs="宋体"/>
                <w:sz w:val="24"/>
                <w:szCs w:val="24"/>
              </w:rPr>
              <w:t>②可以自动识别排除故障的结果并进行评分。</w:t>
            </w:r>
          </w:p>
          <w:p w14:paraId="0AFECBEB">
            <w:pPr>
              <w:widowControl/>
              <w:snapToGrid w:val="0"/>
              <w:spacing w:line="360" w:lineRule="auto"/>
              <w:rPr>
                <w:rFonts w:hint="eastAsia" w:ascii="宋体" w:hAnsi="宋体" w:cs="宋体"/>
                <w:sz w:val="24"/>
                <w:szCs w:val="24"/>
              </w:rPr>
            </w:pPr>
            <w:r>
              <w:rPr>
                <w:rFonts w:hint="eastAsia" w:ascii="宋体" w:hAnsi="宋体" w:cs="宋体"/>
                <w:sz w:val="24"/>
                <w:szCs w:val="24"/>
              </w:rPr>
              <w:t>③能够对操控无人机执行各种动作的质量进行监控和评分。</w:t>
            </w:r>
          </w:p>
          <w:p w14:paraId="70D4FC49">
            <w:pPr>
              <w:widowControl/>
              <w:snapToGrid w:val="0"/>
              <w:spacing w:line="360" w:lineRule="auto"/>
              <w:rPr>
                <w:rFonts w:hint="eastAsia" w:ascii="宋体" w:hAnsi="宋体" w:cs="宋体"/>
                <w:sz w:val="24"/>
                <w:szCs w:val="24"/>
              </w:rPr>
            </w:pPr>
            <w:r>
              <w:rPr>
                <w:rFonts w:hint="eastAsia" w:ascii="宋体" w:hAnsi="宋体" w:cs="宋体"/>
                <w:sz w:val="24"/>
                <w:szCs w:val="24"/>
              </w:rPr>
              <w:t>④可以对多旋翼无人机故障检修的技能操作过程等进行可视化管理操作和查看。</w:t>
            </w:r>
          </w:p>
          <w:p w14:paraId="18D3D61C">
            <w:pPr>
              <w:widowControl/>
              <w:snapToGrid w:val="0"/>
              <w:spacing w:line="360" w:lineRule="auto"/>
              <w:rPr>
                <w:rFonts w:hint="eastAsia" w:ascii="宋体" w:hAnsi="宋体" w:cs="宋体"/>
                <w:sz w:val="24"/>
                <w:szCs w:val="24"/>
              </w:rPr>
            </w:pPr>
            <w:r>
              <w:rPr>
                <w:rFonts w:hint="eastAsia" w:ascii="宋体" w:hAnsi="宋体" w:cs="宋体"/>
                <w:sz w:val="24"/>
                <w:szCs w:val="24"/>
              </w:rPr>
              <w:t>⑤可以对多旋翼无人机故障检修的技能评价阶段性结果等进行可视化查看和管理操作。</w:t>
            </w:r>
          </w:p>
          <w:p w14:paraId="19AB6C7D">
            <w:pPr>
              <w:widowControl/>
              <w:snapToGrid w:val="0"/>
              <w:spacing w:line="360" w:lineRule="auto"/>
              <w:rPr>
                <w:rFonts w:hint="eastAsia" w:ascii="宋体" w:hAnsi="宋体" w:cs="宋体"/>
                <w:sz w:val="24"/>
                <w:szCs w:val="24"/>
              </w:rPr>
            </w:pPr>
            <w:r>
              <w:rPr>
                <w:rFonts w:hint="eastAsia" w:ascii="宋体" w:hAnsi="宋体" w:cs="宋体"/>
                <w:sz w:val="24"/>
                <w:szCs w:val="24"/>
              </w:rPr>
              <w:t>⑥支持的故障检测及维修项目不少于20类参数类故障、20类电气类故障。</w:t>
            </w:r>
          </w:p>
          <w:p w14:paraId="12C39A41">
            <w:pPr>
              <w:widowControl/>
              <w:snapToGrid w:val="0"/>
              <w:spacing w:line="360" w:lineRule="auto"/>
              <w:rPr>
                <w:rFonts w:hint="eastAsia" w:ascii="宋体" w:hAnsi="宋体" w:cs="宋体"/>
                <w:sz w:val="24"/>
                <w:szCs w:val="24"/>
              </w:rPr>
            </w:pPr>
            <w:r>
              <w:rPr>
                <w:rFonts w:hint="eastAsia" w:ascii="宋体" w:hAnsi="宋体" w:cs="宋体"/>
                <w:sz w:val="24"/>
                <w:szCs w:val="24"/>
              </w:rPr>
              <w:t>（3）工作台安装有无人机测试调参系统，运动极限值：X轴≥±25°、Y轴≥±25°、Z轴≥150毫米、运动方向锁≥3轴；支持机型：轴距≤550毫米，旋翼≤12寸，固定位到飞行器最高点高度≤200毫米，能够实现如下功能</w:t>
            </w:r>
          </w:p>
          <w:p w14:paraId="039B8F8E">
            <w:pPr>
              <w:widowControl/>
              <w:snapToGrid w:val="0"/>
              <w:spacing w:line="360" w:lineRule="auto"/>
              <w:rPr>
                <w:rFonts w:hint="eastAsia" w:ascii="宋体" w:hAnsi="宋体" w:cs="宋体"/>
                <w:sz w:val="24"/>
                <w:szCs w:val="24"/>
              </w:rPr>
            </w:pPr>
            <w:r>
              <w:rPr>
                <w:rFonts w:hint="eastAsia" w:ascii="宋体" w:hAnsi="宋体" w:cs="宋体"/>
                <w:sz w:val="24"/>
                <w:szCs w:val="24"/>
              </w:rPr>
              <w:t>①防护箱采取前开门设计，方便取放需要调试检修的无人机。</w:t>
            </w:r>
          </w:p>
          <w:p w14:paraId="4525B140">
            <w:pPr>
              <w:widowControl/>
              <w:snapToGrid w:val="0"/>
              <w:spacing w:line="360" w:lineRule="auto"/>
              <w:rPr>
                <w:rFonts w:hint="eastAsia" w:ascii="宋体" w:hAnsi="宋体" w:cs="宋体"/>
                <w:sz w:val="24"/>
                <w:szCs w:val="24"/>
              </w:rPr>
            </w:pPr>
            <w:r>
              <w:rPr>
                <w:rFonts w:hint="eastAsia" w:ascii="宋体" w:hAnsi="宋体" w:cs="宋体"/>
                <w:sz w:val="24"/>
                <w:szCs w:val="24"/>
              </w:rPr>
              <w:t>②无人机与基座采取快拆的方式连接，测试取放更加方便。</w:t>
            </w:r>
          </w:p>
          <w:p w14:paraId="32AB273F">
            <w:pPr>
              <w:widowControl/>
              <w:snapToGrid w:val="0"/>
              <w:spacing w:line="360" w:lineRule="auto"/>
              <w:rPr>
                <w:rFonts w:hint="eastAsia" w:ascii="宋体" w:hAnsi="宋体" w:cs="宋体"/>
                <w:sz w:val="24"/>
                <w:szCs w:val="24"/>
              </w:rPr>
            </w:pPr>
            <w:r>
              <w:rPr>
                <w:rFonts w:hint="eastAsia" w:ascii="宋体" w:hAnsi="宋体" w:cs="宋体"/>
                <w:sz w:val="24"/>
                <w:szCs w:val="24"/>
              </w:rPr>
              <w:t>③测试飞行的无人机连接在云台上，可实现起飞、偏航、俯仰、倾转等实际飞行过程中的相应动作。</w:t>
            </w:r>
          </w:p>
          <w:p w14:paraId="128B7AC6">
            <w:pPr>
              <w:widowControl/>
              <w:snapToGrid w:val="0"/>
              <w:spacing w:line="360" w:lineRule="auto"/>
              <w:rPr>
                <w:rFonts w:hint="eastAsia" w:ascii="宋体" w:hAnsi="宋体" w:cs="宋体"/>
                <w:sz w:val="24"/>
                <w:szCs w:val="24"/>
              </w:rPr>
            </w:pPr>
            <w:r>
              <w:rPr>
                <w:rFonts w:hint="eastAsia" w:ascii="宋体" w:hAnsi="宋体" w:cs="宋体"/>
                <w:sz w:val="24"/>
                <w:szCs w:val="24"/>
              </w:rPr>
              <w:t>④可结合配套检修无人机进行飞行操控情况评分，完成前倾、后倾、左倾、右倾、回平等动作性能评估，以验证检修后无人机的稳定性、操控性。</w:t>
            </w:r>
          </w:p>
          <w:p w14:paraId="7BE84922">
            <w:pPr>
              <w:widowControl/>
              <w:snapToGrid w:val="0"/>
              <w:spacing w:line="360" w:lineRule="auto"/>
              <w:rPr>
                <w:rFonts w:hint="eastAsia" w:ascii="宋体" w:hAnsi="宋体" w:cs="宋体"/>
                <w:sz w:val="24"/>
                <w:szCs w:val="24"/>
              </w:rPr>
            </w:pPr>
            <w:r>
              <w:rPr>
                <w:rFonts w:hint="eastAsia" w:ascii="宋体" w:hAnsi="宋体" w:cs="宋体"/>
                <w:sz w:val="24"/>
                <w:szCs w:val="24"/>
              </w:rPr>
              <w:t>（4）配套检修用无人机套件模块</w:t>
            </w:r>
          </w:p>
          <w:p w14:paraId="6D2B453A">
            <w:pPr>
              <w:widowControl/>
              <w:snapToGrid w:val="0"/>
              <w:spacing w:line="360" w:lineRule="auto"/>
              <w:rPr>
                <w:rFonts w:hint="eastAsia" w:ascii="宋体" w:hAnsi="宋体" w:cs="宋体"/>
                <w:sz w:val="24"/>
                <w:szCs w:val="24"/>
              </w:rPr>
            </w:pPr>
            <w:r>
              <w:rPr>
                <w:rFonts w:hint="eastAsia" w:ascii="宋体" w:hAnsi="宋体" w:cs="宋体"/>
                <w:sz w:val="24"/>
                <w:szCs w:val="24"/>
              </w:rPr>
              <w:t>①机身采用“X”型，轴距≥500mm。</w:t>
            </w:r>
          </w:p>
          <w:p w14:paraId="5B74CB46">
            <w:pPr>
              <w:widowControl/>
              <w:snapToGrid w:val="0"/>
              <w:spacing w:line="360" w:lineRule="auto"/>
              <w:rPr>
                <w:rFonts w:hint="eastAsia" w:ascii="宋体" w:hAnsi="宋体" w:cs="宋体"/>
                <w:sz w:val="24"/>
                <w:szCs w:val="24"/>
              </w:rPr>
            </w:pPr>
            <w:r>
              <w:rPr>
                <w:rFonts w:hint="eastAsia" w:ascii="宋体" w:hAnsi="宋体" w:cs="宋体"/>
                <w:sz w:val="24"/>
                <w:szCs w:val="24"/>
              </w:rPr>
              <w:t>②机身材料：碳纤维和航空铝，智能飞行控制器整体采用航空铝外壳设计，配备ABS塑料可拆卸上下壳体及标准电池仓。</w:t>
            </w:r>
          </w:p>
          <w:p w14:paraId="542AC3A4">
            <w:pPr>
              <w:widowControl/>
              <w:snapToGrid w:val="0"/>
              <w:spacing w:line="360" w:lineRule="auto"/>
              <w:rPr>
                <w:rFonts w:hint="eastAsia" w:ascii="宋体" w:hAnsi="宋体" w:cs="宋体"/>
                <w:sz w:val="24"/>
                <w:szCs w:val="24"/>
              </w:rPr>
            </w:pPr>
            <w:r>
              <w:rPr>
                <w:rFonts w:hint="eastAsia" w:ascii="宋体" w:hAnsi="宋体" w:cs="宋体"/>
                <w:sz w:val="24"/>
                <w:szCs w:val="24"/>
              </w:rPr>
              <w:t>③最大飞行时间12min,最大起飞重量1.5kg。</w:t>
            </w:r>
          </w:p>
          <w:p w14:paraId="64C0A67A">
            <w:pPr>
              <w:widowControl/>
              <w:snapToGrid w:val="0"/>
              <w:spacing w:line="360" w:lineRule="auto"/>
              <w:rPr>
                <w:rFonts w:hint="eastAsia" w:ascii="宋体" w:hAnsi="宋体" w:cs="宋体"/>
                <w:sz w:val="24"/>
                <w:szCs w:val="24"/>
              </w:rPr>
            </w:pPr>
            <w:r>
              <w:rPr>
                <w:rFonts w:hint="eastAsia" w:ascii="宋体" w:hAnsi="宋体" w:cs="宋体"/>
                <w:sz w:val="24"/>
                <w:szCs w:val="24"/>
              </w:rPr>
              <w:t>④工作环境温度支持范围：-10〜40℃。</w:t>
            </w:r>
          </w:p>
          <w:p w14:paraId="506FD083">
            <w:pPr>
              <w:widowControl/>
              <w:snapToGrid w:val="0"/>
              <w:spacing w:line="360" w:lineRule="auto"/>
              <w:rPr>
                <w:rFonts w:hint="eastAsia" w:ascii="宋体" w:hAnsi="宋体" w:cs="宋体"/>
                <w:sz w:val="24"/>
                <w:szCs w:val="24"/>
              </w:rPr>
            </w:pPr>
            <w:r>
              <w:rPr>
                <w:rFonts w:hint="eastAsia" w:ascii="宋体" w:hAnsi="宋体" w:cs="宋体"/>
                <w:sz w:val="24"/>
                <w:szCs w:val="24"/>
              </w:rPr>
              <w:t>⑤最大上升速4m/s、最大下降速度5m/s、最大平飞速度7m/s、最大可承受风速8m/s。</w:t>
            </w:r>
          </w:p>
          <w:p w14:paraId="7F461C08">
            <w:pPr>
              <w:widowControl/>
              <w:snapToGrid w:val="0"/>
              <w:spacing w:line="360" w:lineRule="auto"/>
              <w:rPr>
                <w:rFonts w:hint="eastAsia" w:ascii="宋体" w:hAnsi="宋体" w:cs="宋体"/>
                <w:sz w:val="24"/>
                <w:szCs w:val="24"/>
              </w:rPr>
            </w:pPr>
            <w:r>
              <w:rPr>
                <w:rFonts w:hint="eastAsia" w:ascii="宋体" w:hAnsi="宋体" w:cs="宋体"/>
                <w:sz w:val="24"/>
                <w:szCs w:val="24"/>
              </w:rPr>
              <w:t>⑥悬停精度，垂直±0.5m,水平±1m（GPS状态）、最大俯仰角度35°。</w:t>
            </w:r>
          </w:p>
          <w:p w14:paraId="7D725109">
            <w:pPr>
              <w:widowControl/>
              <w:snapToGrid w:val="0"/>
              <w:spacing w:line="360" w:lineRule="auto"/>
              <w:rPr>
                <w:rFonts w:hint="eastAsia" w:ascii="宋体" w:hAnsi="宋体" w:cs="宋体"/>
                <w:sz w:val="24"/>
                <w:szCs w:val="24"/>
              </w:rPr>
            </w:pPr>
            <w:r>
              <w:rPr>
                <w:rFonts w:hint="eastAsia" w:ascii="宋体" w:hAnsi="宋体" w:cs="宋体"/>
                <w:sz w:val="24"/>
                <w:szCs w:val="24"/>
              </w:rPr>
              <w:t>⑦机体下中心板为PCB电路板设计，集电流计、分电板、电源模块为一体核心板。</w:t>
            </w:r>
          </w:p>
          <w:p w14:paraId="6CA46866">
            <w:pPr>
              <w:widowControl/>
              <w:snapToGrid w:val="0"/>
              <w:spacing w:line="360" w:lineRule="auto"/>
              <w:rPr>
                <w:rFonts w:hint="eastAsia" w:ascii="宋体" w:hAnsi="宋体" w:cs="宋体"/>
                <w:sz w:val="24"/>
                <w:szCs w:val="24"/>
              </w:rPr>
            </w:pPr>
            <w:r>
              <w:rPr>
                <w:rFonts w:hint="eastAsia" w:ascii="宋体" w:hAnsi="宋体" w:cs="宋体"/>
                <w:sz w:val="24"/>
                <w:szCs w:val="24"/>
              </w:rPr>
              <w:t>⑧输入电压11.1V〜51.8V、双路BEC，能够分别输出5.2V和6.8V电压。</w:t>
            </w:r>
          </w:p>
          <w:p w14:paraId="1215289A">
            <w:pPr>
              <w:widowControl/>
              <w:snapToGrid w:val="0"/>
              <w:spacing w:line="360" w:lineRule="auto"/>
              <w:rPr>
                <w:rFonts w:hint="eastAsia" w:ascii="宋体" w:hAnsi="宋体" w:cs="宋体"/>
                <w:sz w:val="24"/>
                <w:szCs w:val="24"/>
              </w:rPr>
            </w:pPr>
            <w:r>
              <w:rPr>
                <w:rFonts w:hint="eastAsia" w:ascii="宋体" w:hAnsi="宋体" w:cs="宋体"/>
                <w:sz w:val="24"/>
                <w:szCs w:val="24"/>
              </w:rPr>
              <w:t>⑨无刷电机规格型号</w:t>
            </w:r>
            <w:r>
              <w:rPr>
                <w:rFonts w:hint="eastAsia" w:ascii="宋体" w:hAnsi="宋体" w:cs="宋体"/>
                <w:sz w:val="24"/>
                <w:szCs w:val="24"/>
                <w:lang w:eastAsia="zh-CN"/>
              </w:rPr>
              <w:t>（</w:t>
            </w:r>
            <w:r>
              <w:rPr>
                <w:rFonts w:hint="eastAsia" w:ascii="宋体" w:hAnsi="宋体" w:cs="宋体"/>
                <w:sz w:val="24"/>
                <w:szCs w:val="24"/>
              </w:rPr>
              <w:t>不小于</w:t>
            </w:r>
            <w:r>
              <w:rPr>
                <w:rFonts w:hint="eastAsia" w:ascii="宋体" w:hAnsi="宋体" w:cs="宋体"/>
                <w:sz w:val="24"/>
                <w:szCs w:val="24"/>
                <w:lang w:eastAsia="zh-CN"/>
              </w:rPr>
              <w:t>）</w:t>
            </w:r>
            <w:r>
              <w:rPr>
                <w:rFonts w:hint="eastAsia" w:ascii="宋体" w:hAnsi="宋体" w:cs="宋体"/>
                <w:sz w:val="24"/>
                <w:szCs w:val="24"/>
              </w:rPr>
              <w:t>：定子直径23mm、高度12mm、KV值1000KV，且带正反牙螺纹。</w:t>
            </w:r>
          </w:p>
          <w:p w14:paraId="62A4C1B1">
            <w:pPr>
              <w:widowControl/>
              <w:snapToGrid w:val="0"/>
              <w:spacing w:line="360" w:lineRule="auto"/>
              <w:rPr>
                <w:rFonts w:hint="eastAsia" w:ascii="宋体" w:hAnsi="宋体" w:cs="宋体"/>
                <w:sz w:val="24"/>
                <w:szCs w:val="24"/>
              </w:rPr>
            </w:pPr>
            <w:r>
              <w:rPr>
                <w:rFonts w:hint="eastAsia" w:ascii="宋体" w:hAnsi="宋体" w:cs="宋体"/>
                <w:sz w:val="24"/>
                <w:szCs w:val="24"/>
              </w:rPr>
              <w:t>⑩桨叶规格型号：桨叶尺寸≥9寸；材质：塑料。</w:t>
            </w:r>
          </w:p>
          <w:p w14:paraId="4442AFAA">
            <w:pPr>
              <w:widowControl/>
              <w:snapToGrid w:val="0"/>
              <w:spacing w:line="360" w:lineRule="auto"/>
              <w:rPr>
                <w:rFonts w:hint="eastAsia" w:ascii="宋体" w:hAnsi="宋体" w:cs="宋体"/>
                <w:sz w:val="24"/>
                <w:szCs w:val="24"/>
              </w:rPr>
            </w:pPr>
            <w:r>
              <w:rPr>
                <w:rFonts w:hint="eastAsia" w:ascii="宋体" w:hAnsi="宋体" w:cs="宋体"/>
                <w:sz w:val="24"/>
                <w:szCs w:val="24"/>
              </w:rPr>
              <w:t>⑪电调规格型号：持续工作电流30A，最大瞬间电流不超过40A，适用于2S-6S电池。</w:t>
            </w:r>
          </w:p>
          <w:p w14:paraId="0A50C61B">
            <w:pPr>
              <w:widowControl/>
              <w:snapToGrid w:val="0"/>
              <w:spacing w:line="360" w:lineRule="auto"/>
              <w:rPr>
                <w:rFonts w:hint="eastAsia" w:ascii="宋体" w:hAnsi="宋体" w:cs="宋体"/>
                <w:sz w:val="24"/>
                <w:szCs w:val="24"/>
              </w:rPr>
            </w:pPr>
            <w:r>
              <w:rPr>
                <w:rFonts w:hint="eastAsia" w:ascii="宋体" w:hAnsi="宋体" w:cs="宋体"/>
                <w:sz w:val="24"/>
                <w:szCs w:val="24"/>
              </w:rPr>
              <w:t>⑫电池：电池规格4S/5000mah/14.8V，最大放电倍率30C，锂电池。</w:t>
            </w:r>
          </w:p>
          <w:p w14:paraId="19543C3A">
            <w:pPr>
              <w:widowControl/>
              <w:snapToGrid w:val="0"/>
              <w:spacing w:line="360" w:lineRule="auto"/>
              <w:rPr>
                <w:rFonts w:hint="eastAsia" w:ascii="宋体" w:hAnsi="宋体" w:cs="宋体"/>
                <w:sz w:val="24"/>
                <w:szCs w:val="24"/>
              </w:rPr>
            </w:pPr>
            <w:r>
              <w:rPr>
                <w:rFonts w:hint="eastAsia" w:ascii="宋体" w:hAnsi="宋体" w:cs="宋体"/>
                <w:sz w:val="24"/>
                <w:szCs w:val="24"/>
              </w:rPr>
              <w:t>⑬飞控内部集成蜂鸣器，免于外接蜂鸣器模块。</w:t>
            </w:r>
          </w:p>
          <w:p w14:paraId="08883308">
            <w:pPr>
              <w:widowControl/>
              <w:snapToGrid w:val="0"/>
              <w:spacing w:line="360" w:lineRule="auto"/>
              <w:rPr>
                <w:rFonts w:hint="eastAsia" w:ascii="宋体" w:hAnsi="宋体" w:cs="宋体"/>
                <w:sz w:val="24"/>
                <w:szCs w:val="24"/>
              </w:rPr>
            </w:pPr>
            <w:r>
              <w:rPr>
                <w:rFonts w:hint="eastAsia" w:ascii="宋体" w:hAnsi="宋体" w:cs="宋体"/>
                <w:sz w:val="24"/>
                <w:szCs w:val="24"/>
              </w:rPr>
              <w:t>⑭FLASH存储8MB,供电范围4.8V-5.5V。</w:t>
            </w:r>
          </w:p>
          <w:p w14:paraId="29A692F3">
            <w:pPr>
              <w:widowControl/>
              <w:snapToGrid w:val="0"/>
              <w:spacing w:line="360" w:lineRule="auto"/>
              <w:rPr>
                <w:rFonts w:hint="eastAsia" w:ascii="宋体" w:hAnsi="宋体" w:cs="宋体"/>
                <w:sz w:val="24"/>
                <w:szCs w:val="24"/>
              </w:rPr>
            </w:pPr>
            <w:r>
              <w:rPr>
                <w:rFonts w:hint="eastAsia" w:ascii="宋体" w:hAnsi="宋体" w:cs="宋体"/>
                <w:sz w:val="24"/>
                <w:szCs w:val="24"/>
              </w:rPr>
              <w:t>⑮传感器模块要求包含空速传感器模块、磁罗盘传感器模块、气压高度计模块、陀螺传感器模块、CAN总线模块、声音报警模块、指示灯模块、低压差供电模块、飞行数据存储模块、电平转换模块、参数存储模块、主控制器模块、输入输出控制器模块。</w:t>
            </w:r>
          </w:p>
          <w:p w14:paraId="0D1F4A56">
            <w:pPr>
              <w:widowControl/>
              <w:snapToGrid w:val="0"/>
              <w:spacing w:line="360" w:lineRule="auto"/>
              <w:rPr>
                <w:rFonts w:hint="eastAsia" w:ascii="宋体" w:hAnsi="宋体" w:cs="宋体"/>
                <w:sz w:val="24"/>
                <w:szCs w:val="24"/>
              </w:rPr>
            </w:pPr>
            <w:r>
              <w:rPr>
                <w:rFonts w:hint="eastAsia" w:ascii="宋体" w:hAnsi="宋体" w:cs="宋体"/>
                <w:sz w:val="24"/>
                <w:szCs w:val="24"/>
              </w:rPr>
              <w:t>⑯外设串口包含外设数传串口、RTK串口、GPS串口、外置罗盘、光流串口、TFMINI串口。</w:t>
            </w:r>
          </w:p>
          <w:p w14:paraId="12A938DA">
            <w:pPr>
              <w:widowControl/>
              <w:snapToGrid w:val="0"/>
              <w:spacing w:line="360" w:lineRule="auto"/>
              <w:rPr>
                <w:rFonts w:hint="eastAsia" w:ascii="宋体" w:hAnsi="宋体" w:cs="宋体"/>
                <w:sz w:val="24"/>
                <w:szCs w:val="24"/>
              </w:rPr>
            </w:pPr>
            <w:r>
              <w:rPr>
                <w:rFonts w:hint="eastAsia" w:ascii="宋体" w:hAnsi="宋体" w:cs="宋体"/>
                <w:sz w:val="24"/>
                <w:szCs w:val="24"/>
              </w:rPr>
              <w:t>⑰飞行模式至少应具备定点模式、定高模式、任务模式和返航模式；飞控具有磁罗盘异常修正、单参数调节、多传感器融合、超快速二次开发功能。</w:t>
            </w:r>
          </w:p>
          <w:p w14:paraId="2B73D8E6">
            <w:pPr>
              <w:widowControl/>
              <w:snapToGrid w:val="0"/>
              <w:spacing w:line="360" w:lineRule="auto"/>
              <w:rPr>
                <w:rFonts w:hint="eastAsia" w:ascii="宋体" w:hAnsi="宋体" w:cs="宋体"/>
                <w:sz w:val="24"/>
                <w:szCs w:val="24"/>
              </w:rPr>
            </w:pPr>
            <w:r>
              <w:rPr>
                <w:rFonts w:hint="eastAsia" w:ascii="宋体" w:hAnsi="宋体" w:cs="宋体"/>
                <w:sz w:val="24"/>
                <w:szCs w:val="24"/>
              </w:rPr>
              <w:t>⑱机械爪：硬质铝合金，PWM，独立供电。</w:t>
            </w:r>
          </w:p>
        </w:tc>
        <w:tc>
          <w:tcPr>
            <w:tcW w:w="184" w:type="pct"/>
            <w:tcBorders>
              <w:top w:val="single" w:color="auto" w:sz="4" w:space="0"/>
              <w:left w:val="nil"/>
              <w:bottom w:val="single" w:color="auto" w:sz="4" w:space="0"/>
              <w:right w:val="single" w:color="auto" w:sz="4" w:space="0"/>
            </w:tcBorders>
            <w:vAlign w:val="center"/>
          </w:tcPr>
          <w:p w14:paraId="69DB3FF4">
            <w:pPr>
              <w:widowControl/>
              <w:snapToGrid w:val="0"/>
              <w:spacing w:line="360" w:lineRule="auto"/>
              <w:rPr>
                <w:rFonts w:hint="eastAsia" w:ascii="宋体" w:hAnsi="宋体" w:cs="宋体"/>
                <w:sz w:val="24"/>
                <w:szCs w:val="24"/>
              </w:rPr>
            </w:pPr>
            <w:r>
              <w:rPr>
                <w:rFonts w:hint="eastAsia" w:ascii="宋体" w:hAnsi="宋体" w:cs="宋体"/>
                <w:sz w:val="24"/>
                <w:szCs w:val="24"/>
              </w:rPr>
              <w:t>4</w:t>
            </w:r>
          </w:p>
        </w:tc>
        <w:tc>
          <w:tcPr>
            <w:tcW w:w="184" w:type="pct"/>
            <w:tcBorders>
              <w:top w:val="single" w:color="auto" w:sz="4" w:space="0"/>
              <w:left w:val="nil"/>
              <w:bottom w:val="single" w:color="auto" w:sz="4" w:space="0"/>
              <w:right w:val="single" w:color="auto" w:sz="4" w:space="0"/>
            </w:tcBorders>
            <w:vAlign w:val="center"/>
          </w:tcPr>
          <w:p w14:paraId="59F75C10">
            <w:pPr>
              <w:widowControl/>
              <w:snapToGrid w:val="0"/>
              <w:spacing w:line="360" w:lineRule="auto"/>
              <w:rPr>
                <w:rFonts w:hint="eastAsia" w:ascii="宋体" w:hAnsi="宋体" w:cs="宋体"/>
                <w:sz w:val="24"/>
                <w:szCs w:val="24"/>
              </w:rPr>
            </w:pPr>
          </w:p>
        </w:tc>
      </w:tr>
      <w:tr w14:paraId="0BE3E795">
        <w:tblPrEx>
          <w:tblCellMar>
            <w:top w:w="0" w:type="dxa"/>
            <w:left w:w="108" w:type="dxa"/>
            <w:bottom w:w="0" w:type="dxa"/>
            <w:right w:w="108" w:type="dxa"/>
          </w:tblCellMar>
        </w:tblPrEx>
        <w:trPr>
          <w:trHeight w:val="8488" w:hRule="atLeast"/>
        </w:trPr>
        <w:tc>
          <w:tcPr>
            <w:tcW w:w="183" w:type="pct"/>
            <w:tcBorders>
              <w:top w:val="single" w:color="auto" w:sz="4" w:space="0"/>
              <w:left w:val="single" w:color="auto" w:sz="4" w:space="0"/>
              <w:bottom w:val="single" w:color="auto" w:sz="4" w:space="0"/>
              <w:right w:val="single" w:color="auto" w:sz="4" w:space="0"/>
            </w:tcBorders>
            <w:vAlign w:val="center"/>
          </w:tcPr>
          <w:p w14:paraId="747C5DC1">
            <w:pPr>
              <w:widowControl/>
              <w:snapToGrid w:val="0"/>
              <w:spacing w:line="360" w:lineRule="auto"/>
              <w:rPr>
                <w:rFonts w:hint="eastAsia" w:ascii="宋体" w:hAnsi="宋体" w:cs="宋体"/>
                <w:sz w:val="24"/>
                <w:szCs w:val="24"/>
              </w:rPr>
            </w:pPr>
            <w:r>
              <w:rPr>
                <w:rFonts w:hint="eastAsia" w:ascii="宋体" w:hAnsi="宋体" w:cs="宋体"/>
                <w:sz w:val="24"/>
                <w:szCs w:val="24"/>
              </w:rPr>
              <w:t>4</w:t>
            </w:r>
          </w:p>
        </w:tc>
        <w:tc>
          <w:tcPr>
            <w:tcW w:w="717" w:type="pct"/>
            <w:tcBorders>
              <w:top w:val="single" w:color="auto" w:sz="4" w:space="0"/>
              <w:left w:val="nil"/>
              <w:bottom w:val="single" w:color="auto" w:sz="4" w:space="0"/>
              <w:right w:val="single" w:color="auto" w:sz="4" w:space="0"/>
            </w:tcBorders>
            <w:vAlign w:val="center"/>
          </w:tcPr>
          <w:p w14:paraId="43FE911D">
            <w:pPr>
              <w:widowControl/>
              <w:snapToGrid w:val="0"/>
              <w:spacing w:line="360" w:lineRule="auto"/>
              <w:rPr>
                <w:rFonts w:hint="eastAsia" w:ascii="宋体" w:hAnsi="宋体" w:cs="宋体"/>
                <w:sz w:val="24"/>
                <w:szCs w:val="24"/>
              </w:rPr>
            </w:pPr>
            <w:r>
              <w:rPr>
                <w:rFonts w:hint="eastAsia" w:ascii="宋体" w:hAnsi="宋体" w:cs="宋体"/>
                <w:sz w:val="24"/>
                <w:szCs w:val="24"/>
              </w:rPr>
              <w:t>▲无人机飞行模拟实训台</w:t>
            </w:r>
          </w:p>
        </w:tc>
        <w:tc>
          <w:tcPr>
            <w:tcW w:w="3731" w:type="pct"/>
            <w:tcBorders>
              <w:top w:val="single" w:color="auto" w:sz="4" w:space="0"/>
              <w:left w:val="single" w:color="auto" w:sz="4" w:space="0"/>
              <w:bottom w:val="single" w:color="auto" w:sz="4" w:space="0"/>
              <w:right w:val="single" w:color="auto" w:sz="4" w:space="0"/>
            </w:tcBorders>
            <w:vAlign w:val="center"/>
          </w:tcPr>
          <w:p w14:paraId="610980F3">
            <w:pPr>
              <w:widowControl/>
              <w:snapToGrid w:val="0"/>
              <w:spacing w:line="360" w:lineRule="auto"/>
              <w:rPr>
                <w:rFonts w:hint="eastAsia" w:ascii="宋体" w:hAnsi="宋体" w:cs="宋体"/>
                <w:sz w:val="24"/>
                <w:szCs w:val="24"/>
              </w:rPr>
            </w:pPr>
            <w:r>
              <w:rPr>
                <w:rFonts w:hint="eastAsia" w:ascii="宋体" w:hAnsi="宋体" w:cs="宋体"/>
                <w:sz w:val="24"/>
                <w:szCs w:val="24"/>
              </w:rPr>
              <w:t>1.实训台尺寸不少于长1600mm*宽600mm*高1200mm，台架采用不低于2mm钢方管焊接成型，外径尺寸≥4CM，要求高强度、韧性强、机械性能良好，稳定性好，操作时不能有晃动。</w:t>
            </w:r>
          </w:p>
          <w:p w14:paraId="5C804A56">
            <w:pPr>
              <w:widowControl/>
              <w:snapToGrid w:val="0"/>
              <w:spacing w:line="360" w:lineRule="auto"/>
              <w:rPr>
                <w:rFonts w:hint="eastAsia" w:ascii="宋体" w:hAnsi="宋体" w:cs="宋体"/>
                <w:sz w:val="24"/>
                <w:szCs w:val="24"/>
              </w:rPr>
            </w:pPr>
            <w:r>
              <w:rPr>
                <w:rFonts w:hint="eastAsia" w:ascii="宋体" w:hAnsi="宋体" w:cs="宋体"/>
                <w:sz w:val="24"/>
                <w:szCs w:val="24"/>
              </w:rPr>
              <w:t>2.实训台配备模拟飞行教学软件、飞行操控手柄、显示器屏幕≥22寸。</w:t>
            </w:r>
          </w:p>
          <w:p w14:paraId="494DC758">
            <w:pPr>
              <w:widowControl/>
              <w:snapToGrid w:val="0"/>
              <w:spacing w:line="360" w:lineRule="auto"/>
              <w:rPr>
                <w:rFonts w:hint="eastAsia" w:ascii="宋体" w:hAnsi="宋体" w:cs="宋体"/>
                <w:sz w:val="24"/>
                <w:szCs w:val="24"/>
              </w:rPr>
            </w:pPr>
            <w:r>
              <w:rPr>
                <w:rFonts w:hint="eastAsia" w:ascii="宋体" w:hAnsi="宋体" w:cs="宋体"/>
                <w:sz w:val="24"/>
                <w:szCs w:val="24"/>
              </w:rPr>
              <w:t>3.具体要求如下</w:t>
            </w:r>
          </w:p>
          <w:p w14:paraId="07AC91CE">
            <w:pPr>
              <w:widowControl/>
              <w:snapToGrid w:val="0"/>
              <w:spacing w:line="360" w:lineRule="auto"/>
              <w:rPr>
                <w:rFonts w:hint="eastAsia" w:ascii="宋体" w:hAnsi="宋体" w:cs="宋体"/>
                <w:sz w:val="24"/>
                <w:szCs w:val="24"/>
              </w:rPr>
            </w:pPr>
            <w:r>
              <w:rPr>
                <w:rFonts w:hint="eastAsia" w:ascii="宋体" w:hAnsi="宋体" w:cs="宋体"/>
                <w:sz w:val="24"/>
                <w:szCs w:val="24"/>
              </w:rPr>
              <w:t>（1）采用高清渲染管线（HDRP）渲染，与实时光线追踪，达到高保真效果。</w:t>
            </w:r>
          </w:p>
          <w:p w14:paraId="4416D169">
            <w:pPr>
              <w:widowControl/>
              <w:snapToGrid w:val="0"/>
              <w:spacing w:line="360" w:lineRule="auto"/>
              <w:rPr>
                <w:rFonts w:hint="eastAsia" w:ascii="宋体" w:hAnsi="宋体" w:cs="宋体"/>
                <w:sz w:val="24"/>
                <w:szCs w:val="24"/>
              </w:rPr>
            </w:pPr>
            <w:r>
              <w:rPr>
                <w:rFonts w:hint="eastAsia" w:ascii="宋体" w:hAnsi="宋体" w:cs="宋体"/>
                <w:sz w:val="24"/>
                <w:szCs w:val="24"/>
              </w:rPr>
              <w:t>（2）模拟训练数据能实时发送到教学管理平台用于多人训练管理。</w:t>
            </w:r>
          </w:p>
          <w:p w14:paraId="3288E7EA">
            <w:pPr>
              <w:widowControl/>
              <w:snapToGrid w:val="0"/>
              <w:spacing w:line="360" w:lineRule="auto"/>
              <w:rPr>
                <w:rFonts w:hint="eastAsia" w:ascii="宋体" w:hAnsi="宋体" w:cs="宋体"/>
                <w:sz w:val="24"/>
                <w:szCs w:val="24"/>
              </w:rPr>
            </w:pPr>
            <w:r>
              <w:rPr>
                <w:rFonts w:hint="eastAsia" w:ascii="宋体" w:hAnsi="宋体" w:cs="宋体"/>
                <w:sz w:val="24"/>
                <w:szCs w:val="24"/>
              </w:rPr>
              <w:t>（3）有专门的飞行管理平台保留所有的飞行记录并对学员的训练进度进行监管。</w:t>
            </w:r>
          </w:p>
          <w:p w14:paraId="10C9A8D6">
            <w:pPr>
              <w:widowControl/>
              <w:snapToGrid w:val="0"/>
              <w:spacing w:line="360" w:lineRule="auto"/>
              <w:rPr>
                <w:rFonts w:hint="eastAsia" w:ascii="宋体" w:hAnsi="宋体" w:cs="宋体"/>
                <w:b w:val="0"/>
                <w:bCs w:val="0"/>
                <w:sz w:val="24"/>
                <w:szCs w:val="24"/>
              </w:rPr>
            </w:pPr>
            <w:r>
              <w:rPr>
                <w:rFonts w:hint="eastAsia" w:ascii="宋体" w:hAnsi="宋体" w:cs="宋体"/>
                <w:sz w:val="24"/>
                <w:szCs w:val="24"/>
              </w:rPr>
              <w:t>（4）训练科目选择：应具有民航局八字训练科目（悬停、自旋、半圈、八字），警航训练科目（十字、菱形、倒三角、变高菱形、垂直矩形），自定义多边形训练科目和固定翼科目（四边航线、</w:t>
            </w:r>
            <w:r>
              <w:rPr>
                <w:rFonts w:hint="eastAsia" w:ascii="宋体" w:hAnsi="宋体" w:cs="宋体"/>
                <w:b w:val="0"/>
                <w:bCs w:val="0"/>
                <w:sz w:val="24"/>
                <w:szCs w:val="24"/>
              </w:rPr>
              <w:t>水平通场、水平八字），用户可自行切换训练科目。</w:t>
            </w:r>
          </w:p>
          <w:p w14:paraId="621CE2F8">
            <w:pPr>
              <w:widowControl/>
              <w:snapToGrid w:val="0"/>
              <w:spacing w:line="360" w:lineRule="auto"/>
              <w:rPr>
                <w:rFonts w:hint="eastAsia" w:ascii="宋体" w:hAnsi="宋体" w:cs="宋体"/>
                <w:b w:val="0"/>
                <w:bCs w:val="0"/>
                <w:sz w:val="24"/>
                <w:szCs w:val="24"/>
              </w:rPr>
            </w:pPr>
            <w:r>
              <w:rPr>
                <w:rFonts w:hint="eastAsia" w:ascii="宋体" w:hAnsi="宋体" w:cs="宋体"/>
                <w:b w:val="0"/>
                <w:bCs w:val="0"/>
                <w:sz w:val="24"/>
                <w:szCs w:val="24"/>
              </w:rPr>
              <w:t>（5）应具备多种类型的飞机，可以选择多旋翼、直升机、固定翼飞机进行训练。</w:t>
            </w:r>
          </w:p>
          <w:p w14:paraId="181F5577">
            <w:pPr>
              <w:widowControl/>
              <w:adjustRightInd/>
              <w:snapToGrid w:val="0"/>
              <w:spacing w:line="360" w:lineRule="auto"/>
              <w:jc w:val="left"/>
              <w:textAlignment w:val="auto"/>
              <w:rPr>
                <w:rFonts w:hint="eastAsia" w:ascii="宋体" w:hAnsi="宋体" w:cs="宋体"/>
                <w:sz w:val="24"/>
                <w:szCs w:val="24"/>
              </w:rPr>
            </w:pPr>
            <w:r>
              <w:rPr>
                <w:rFonts w:hint="eastAsia" w:ascii="宋体" w:hAnsi="宋体" w:cs="宋体"/>
                <w:b w:val="0"/>
                <w:bCs w:val="0"/>
                <w:sz w:val="24"/>
                <w:szCs w:val="24"/>
              </w:rPr>
              <w:t>（6）系统能够自主训练（飞行完成后将根据整体航线的水平偏差、高度偏差、速度偏差等情况给出具体的得分，中途有语音提示不会打断用户的练习）和模拟考试（飞行过程中将根据整体航线的水平偏差、高度偏差、速度偏差等情况实时给出通过和不通过的结果）</w:t>
            </w:r>
            <w:r>
              <w:rPr>
                <w:rFonts w:hint="eastAsia"/>
                <w:b w:val="0"/>
                <w:bCs w:val="0"/>
              </w:rPr>
              <w:t>。</w:t>
            </w:r>
          </w:p>
          <w:p w14:paraId="74040AF0">
            <w:pPr>
              <w:widowControl/>
              <w:snapToGrid w:val="0"/>
              <w:spacing w:line="360" w:lineRule="auto"/>
              <w:rPr>
                <w:rFonts w:hint="eastAsia" w:ascii="宋体" w:hAnsi="宋体" w:cs="宋体"/>
                <w:sz w:val="24"/>
                <w:szCs w:val="24"/>
              </w:rPr>
            </w:pPr>
            <w:r>
              <w:rPr>
                <w:rFonts w:hint="eastAsia" w:ascii="宋体" w:hAnsi="宋体" w:cs="宋体"/>
                <w:sz w:val="24"/>
                <w:szCs w:val="24"/>
              </w:rPr>
              <w:t>（7）具有多旋翼GPS模式、姿态模式两种飞行模式。科目严格依照教学大纲设置，由浅入深，递进式学习；真实的飞行模拟系统，和外场飞行练习考试一致。</w:t>
            </w:r>
          </w:p>
          <w:p w14:paraId="62F29874">
            <w:pPr>
              <w:widowControl/>
              <w:snapToGrid w:val="0"/>
              <w:spacing w:line="360" w:lineRule="auto"/>
              <w:rPr>
                <w:rFonts w:hint="eastAsia" w:ascii="宋体" w:hAnsi="宋体" w:cs="宋体"/>
                <w:b w:val="0"/>
                <w:bCs w:val="0"/>
                <w:sz w:val="24"/>
                <w:szCs w:val="24"/>
              </w:rPr>
            </w:pPr>
            <w:r>
              <w:rPr>
                <w:rFonts w:hint="eastAsia" w:ascii="宋体" w:hAnsi="宋体" w:cs="宋体"/>
                <w:b w:val="0"/>
                <w:bCs w:val="0"/>
                <w:sz w:val="24"/>
                <w:szCs w:val="24"/>
              </w:rPr>
              <w:t>（8）环境设置功能</w:t>
            </w:r>
          </w:p>
          <w:p w14:paraId="27A9CDB0">
            <w:pPr>
              <w:widowControl/>
              <w:snapToGrid w:val="0"/>
              <w:spacing w:line="360" w:lineRule="auto"/>
              <w:rPr>
                <w:rFonts w:hint="eastAsia" w:ascii="宋体" w:hAnsi="宋体" w:cs="宋体"/>
                <w:b w:val="0"/>
                <w:bCs w:val="0"/>
                <w:sz w:val="24"/>
                <w:szCs w:val="24"/>
              </w:rPr>
            </w:pPr>
            <w:r>
              <w:rPr>
                <w:rFonts w:hint="eastAsia" w:ascii="宋体" w:hAnsi="宋体" w:cs="宋体"/>
                <w:b w:val="0"/>
                <w:bCs w:val="0"/>
                <w:sz w:val="24"/>
                <w:szCs w:val="24"/>
              </w:rPr>
              <w:t>①风速设置：具备自定义设置风向和风速，风速将会影响无人机飞行练习时姿态晃动和飘动情况，风速越大对无人机姿态影响越大。</w:t>
            </w:r>
          </w:p>
          <w:p w14:paraId="7378EB4B">
            <w:pPr>
              <w:widowControl/>
              <w:adjustRightInd/>
              <w:snapToGrid w:val="0"/>
              <w:spacing w:line="360" w:lineRule="auto"/>
              <w:jc w:val="left"/>
              <w:textAlignment w:val="auto"/>
              <w:rPr>
                <w:rFonts w:hint="eastAsia" w:ascii="宋体" w:hAnsi="宋体" w:cs="宋体"/>
                <w:sz w:val="24"/>
                <w:szCs w:val="24"/>
              </w:rPr>
            </w:pPr>
            <w:r>
              <w:rPr>
                <w:rFonts w:hint="eastAsia" w:ascii="宋体" w:hAnsi="宋体" w:cs="宋体"/>
                <w:b w:val="0"/>
                <w:bCs w:val="0"/>
                <w:sz w:val="24"/>
                <w:szCs w:val="24"/>
              </w:rPr>
              <w:t>②光照设置：能够自定义设置光照时间，光照将会影响无人机飞行训练时地面影子的位置</w:t>
            </w:r>
            <w:r>
              <w:rPr>
                <w:rFonts w:hint="eastAsia" w:ascii="宋体" w:hAnsi="宋体" w:cs="宋体"/>
                <w:b/>
                <w:bCs/>
                <w:sz w:val="24"/>
                <w:szCs w:val="24"/>
              </w:rPr>
              <w:t>。</w:t>
            </w:r>
          </w:p>
          <w:p w14:paraId="55817D36">
            <w:pPr>
              <w:widowControl/>
              <w:snapToGrid w:val="0"/>
              <w:spacing w:line="360" w:lineRule="auto"/>
              <w:rPr>
                <w:rFonts w:hint="eastAsia" w:ascii="宋体" w:hAnsi="宋体" w:cs="宋体"/>
                <w:sz w:val="24"/>
                <w:szCs w:val="24"/>
              </w:rPr>
            </w:pPr>
            <w:r>
              <w:rPr>
                <w:rFonts w:hint="eastAsia" w:ascii="宋体" w:hAnsi="宋体" w:cs="宋体"/>
                <w:sz w:val="24"/>
                <w:szCs w:val="24"/>
              </w:rPr>
              <w:t>（9）视角切换功能：应具备视角切换功能。（注：跟随视角可以按下鼠标右键旋转视角，滑动滑轮来放大和缩小镜头；俯视视角可以通过滑动滑轮来放大和缩小镜头）</w:t>
            </w:r>
          </w:p>
          <w:p w14:paraId="7C6C48B4">
            <w:pPr>
              <w:widowControl/>
              <w:adjustRightInd/>
              <w:snapToGrid w:val="0"/>
              <w:spacing w:line="360" w:lineRule="auto"/>
              <w:jc w:val="left"/>
              <w:textAlignment w:val="auto"/>
              <w:rPr>
                <w:rFonts w:hint="eastAsia" w:ascii="宋体" w:hAnsi="宋体" w:cs="宋体"/>
                <w:sz w:val="24"/>
                <w:szCs w:val="24"/>
              </w:rPr>
            </w:pPr>
            <w:r>
              <w:rPr>
                <w:rFonts w:hint="eastAsia" w:ascii="宋体" w:hAnsi="宋体" w:cs="宋体"/>
                <w:b w:val="0"/>
                <w:bCs w:val="0"/>
                <w:sz w:val="24"/>
                <w:szCs w:val="24"/>
              </w:rPr>
              <w:t>（10）飞行仪表盘：通过仪表盘查看无人机的实时姿态信息，HUD悬浮仪表盘通过左边的纵轴显示无人机的实时飞行速度，通过右边的纵轴显示无人机的实时飞行高度，上方横轴显示无人机实时飞行航向</w:t>
            </w:r>
            <w:r>
              <w:rPr>
                <w:rFonts w:hint="eastAsia" w:ascii="宋体" w:hAnsi="宋体" w:cs="宋体"/>
                <w:b/>
                <w:bCs/>
                <w:sz w:val="24"/>
                <w:szCs w:val="24"/>
              </w:rPr>
              <w:t>。</w:t>
            </w:r>
          </w:p>
          <w:p w14:paraId="1FD00B69">
            <w:pPr>
              <w:widowControl/>
              <w:snapToGrid w:val="0"/>
              <w:spacing w:line="360" w:lineRule="auto"/>
              <w:rPr>
                <w:rFonts w:hint="eastAsia" w:ascii="宋体" w:hAnsi="宋体" w:cs="宋体"/>
                <w:sz w:val="24"/>
                <w:szCs w:val="24"/>
              </w:rPr>
            </w:pPr>
            <w:r>
              <w:rPr>
                <w:rFonts w:hint="eastAsia" w:ascii="宋体" w:hAnsi="宋体" w:cs="宋体"/>
                <w:sz w:val="24"/>
                <w:szCs w:val="24"/>
              </w:rPr>
              <w:t>（11）飞行姿态：通过小窗口的形式显示出无人机的模型和飞行姿态。</w:t>
            </w:r>
          </w:p>
          <w:p w14:paraId="5E8F2856">
            <w:pPr>
              <w:widowControl/>
              <w:snapToGrid w:val="0"/>
              <w:spacing w:line="360" w:lineRule="auto"/>
              <w:rPr>
                <w:rFonts w:hint="eastAsia" w:ascii="宋体" w:hAnsi="宋体" w:cs="宋体"/>
                <w:sz w:val="24"/>
                <w:szCs w:val="24"/>
              </w:rPr>
            </w:pPr>
            <w:r>
              <w:rPr>
                <w:rFonts w:hint="eastAsia" w:ascii="宋体" w:hAnsi="宋体" w:cs="宋体"/>
                <w:sz w:val="24"/>
                <w:szCs w:val="24"/>
              </w:rPr>
              <w:t>（12）气象站：显示当前模拟训练的气象信息，如风速、风向等。</w:t>
            </w:r>
          </w:p>
          <w:p w14:paraId="29A91F2A">
            <w:pPr>
              <w:widowControl/>
              <w:snapToGrid w:val="0"/>
              <w:spacing w:line="360" w:lineRule="auto"/>
              <w:rPr>
                <w:rFonts w:hint="eastAsia" w:ascii="宋体" w:hAnsi="宋体" w:cs="宋体"/>
                <w:sz w:val="24"/>
                <w:szCs w:val="24"/>
              </w:rPr>
            </w:pPr>
            <w:r>
              <w:rPr>
                <w:rFonts w:hint="eastAsia" w:ascii="宋体" w:hAnsi="宋体" w:cs="宋体"/>
                <w:sz w:val="24"/>
                <w:szCs w:val="24"/>
              </w:rPr>
              <w:t>（13）位置辅助线：显示无人机在地面上的垂直投影，辅助学员对当前的飞行位置进行判断，位置辅助线可由用户手动开启和关闭。</w:t>
            </w:r>
          </w:p>
          <w:p w14:paraId="0899D15A">
            <w:pPr>
              <w:widowControl/>
              <w:snapToGrid w:val="0"/>
              <w:spacing w:line="360" w:lineRule="auto"/>
              <w:rPr>
                <w:rFonts w:hint="eastAsia" w:ascii="宋体" w:hAnsi="宋体" w:cs="宋体"/>
                <w:sz w:val="24"/>
                <w:szCs w:val="24"/>
              </w:rPr>
            </w:pPr>
            <w:r>
              <w:rPr>
                <w:rFonts w:hint="eastAsia" w:ascii="宋体" w:hAnsi="宋体" w:cs="宋体"/>
                <w:sz w:val="24"/>
                <w:szCs w:val="24"/>
              </w:rPr>
              <w:t>（14）显示工具配置：能够自定义配置屏幕显示工具（仪表盘、摇杆、气象站、辅助线等），用户可自由配置需要显示和关闭的工具，可自由调节工具在屏幕中的位置，用户在下次登录时将记住上一次退出登录时的工具布局。</w:t>
            </w:r>
          </w:p>
          <w:p w14:paraId="257422DB">
            <w:pPr>
              <w:widowControl/>
              <w:snapToGrid w:val="0"/>
              <w:spacing w:line="360" w:lineRule="auto"/>
              <w:rPr>
                <w:rFonts w:hint="eastAsia" w:ascii="宋体" w:hAnsi="宋体" w:cs="宋体"/>
                <w:sz w:val="24"/>
                <w:szCs w:val="24"/>
              </w:rPr>
            </w:pPr>
            <w:r>
              <w:rPr>
                <w:rFonts w:hint="eastAsia" w:ascii="宋体" w:hAnsi="宋体" w:cs="宋体"/>
                <w:sz w:val="24"/>
                <w:szCs w:val="24"/>
              </w:rPr>
              <w:t>（15）实景模拟：系统遵守物理规则，飞机部件落地或者在高速飞行过程中碰撞到障碍物会坠毁，且环境中的树木会阻碍无人机的飞行轨道。</w:t>
            </w:r>
          </w:p>
          <w:p w14:paraId="65E7CC86">
            <w:pPr>
              <w:widowControl/>
              <w:snapToGrid w:val="0"/>
              <w:spacing w:line="360" w:lineRule="auto"/>
              <w:rPr>
                <w:rFonts w:hint="eastAsia" w:ascii="宋体" w:hAnsi="宋体" w:cs="宋体"/>
                <w:sz w:val="24"/>
                <w:szCs w:val="24"/>
              </w:rPr>
            </w:pPr>
            <w:r>
              <w:rPr>
                <w:rFonts w:hint="eastAsia" w:ascii="宋体" w:hAnsi="宋体" w:cs="宋体"/>
                <w:sz w:val="24"/>
                <w:szCs w:val="24"/>
              </w:rPr>
              <w:t>（16）远程教学功能：</w:t>
            </w:r>
          </w:p>
          <w:p w14:paraId="77E8331B">
            <w:pPr>
              <w:widowControl/>
              <w:snapToGrid w:val="0"/>
              <w:spacing w:line="360" w:lineRule="auto"/>
              <w:rPr>
                <w:rFonts w:hint="eastAsia" w:ascii="宋体" w:hAnsi="宋体" w:cs="宋体"/>
                <w:sz w:val="24"/>
                <w:szCs w:val="24"/>
              </w:rPr>
            </w:pPr>
            <w:r>
              <w:rPr>
                <w:rFonts w:hint="eastAsia" w:ascii="宋体" w:hAnsi="宋体" w:cs="宋体"/>
                <w:sz w:val="24"/>
                <w:szCs w:val="24"/>
              </w:rPr>
              <w:t>①教员自主创建公开或加密的教学房间，将教学页面和教学内容同步共享至房间内学员，并配置学员的训练和旁观状态；</w:t>
            </w:r>
          </w:p>
          <w:p w14:paraId="6574D4D8">
            <w:pPr>
              <w:widowControl/>
              <w:snapToGrid w:val="0"/>
              <w:spacing w:line="360" w:lineRule="auto"/>
              <w:rPr>
                <w:rFonts w:hint="eastAsia" w:ascii="宋体" w:hAnsi="宋体" w:cs="宋体"/>
                <w:sz w:val="24"/>
                <w:szCs w:val="24"/>
              </w:rPr>
            </w:pPr>
            <w:r>
              <w:rPr>
                <w:rFonts w:hint="eastAsia" w:ascii="宋体" w:hAnsi="宋体" w:cs="宋体"/>
                <w:sz w:val="24"/>
                <w:szCs w:val="24"/>
              </w:rPr>
              <w:t>②在远程教学模式的下系统支持课堂模式和自习模式；</w:t>
            </w:r>
          </w:p>
          <w:p w14:paraId="2DC9C816">
            <w:pPr>
              <w:widowControl/>
              <w:snapToGrid w:val="0"/>
              <w:spacing w:line="360" w:lineRule="auto"/>
              <w:rPr>
                <w:rFonts w:hint="eastAsia" w:ascii="宋体" w:hAnsi="宋体" w:cs="宋体"/>
                <w:sz w:val="24"/>
                <w:szCs w:val="24"/>
              </w:rPr>
            </w:pPr>
            <w:r>
              <w:rPr>
                <w:rFonts w:hint="eastAsia" w:ascii="宋体" w:hAnsi="宋体" w:cs="宋体"/>
                <w:sz w:val="24"/>
                <w:szCs w:val="24"/>
              </w:rPr>
              <w:t>③课堂模式下由教师为房间内的学员进行统一教学；</w:t>
            </w:r>
          </w:p>
          <w:p w14:paraId="69E8BA19">
            <w:pPr>
              <w:widowControl/>
              <w:snapToGrid w:val="0"/>
              <w:spacing w:line="360" w:lineRule="auto"/>
              <w:rPr>
                <w:rFonts w:hint="eastAsia" w:ascii="宋体" w:hAnsi="宋体" w:cs="宋体"/>
                <w:sz w:val="24"/>
                <w:szCs w:val="24"/>
              </w:rPr>
            </w:pPr>
            <w:r>
              <w:rPr>
                <w:rFonts w:hint="eastAsia" w:ascii="宋体" w:hAnsi="宋体" w:cs="宋体"/>
                <w:sz w:val="24"/>
                <w:szCs w:val="24"/>
              </w:rPr>
              <w:t>④自习模式下由房间内的学员自行训练，教师可进行全局监控或单独监控某一学员的训练情况；</w:t>
            </w:r>
          </w:p>
          <w:p w14:paraId="6C006BA4">
            <w:pPr>
              <w:widowControl/>
              <w:snapToGrid w:val="0"/>
              <w:spacing w:line="360" w:lineRule="auto"/>
              <w:rPr>
                <w:rFonts w:hint="eastAsia" w:ascii="宋体" w:hAnsi="宋体" w:cs="宋体"/>
                <w:sz w:val="24"/>
                <w:szCs w:val="24"/>
              </w:rPr>
            </w:pPr>
            <w:r>
              <w:rPr>
                <w:rFonts w:hint="eastAsia" w:ascii="宋体" w:hAnsi="宋体" w:cs="宋体"/>
                <w:sz w:val="24"/>
                <w:szCs w:val="24"/>
              </w:rPr>
              <w:t>⑤可指定单一学员训练，其他学员旁观；</w:t>
            </w:r>
          </w:p>
          <w:p w14:paraId="6909E0C8">
            <w:pPr>
              <w:widowControl/>
              <w:snapToGrid w:val="0"/>
              <w:spacing w:line="360" w:lineRule="auto"/>
              <w:rPr>
                <w:rFonts w:hint="eastAsia" w:ascii="宋体" w:hAnsi="宋体" w:cs="宋体"/>
                <w:sz w:val="24"/>
                <w:szCs w:val="24"/>
              </w:rPr>
            </w:pPr>
            <w:r>
              <w:rPr>
                <w:rFonts w:hint="eastAsia" w:ascii="宋体" w:hAnsi="宋体" w:cs="宋体"/>
                <w:sz w:val="24"/>
                <w:szCs w:val="24"/>
              </w:rPr>
              <w:t>（17）舵量数据展示：用户可以在界面中查看到当前的舵量数据；虚拟仿真场景范围能满足至少等同于现实世界3KM×3KM以上面积的仿真环境。</w:t>
            </w:r>
          </w:p>
          <w:p w14:paraId="0AC99CD3">
            <w:pPr>
              <w:widowControl/>
              <w:snapToGrid w:val="0"/>
              <w:spacing w:line="360" w:lineRule="auto"/>
              <w:rPr>
                <w:rFonts w:hint="eastAsia" w:ascii="宋体" w:hAnsi="宋体" w:cs="宋体"/>
                <w:sz w:val="24"/>
                <w:szCs w:val="24"/>
              </w:rPr>
            </w:pPr>
            <w:r>
              <w:rPr>
                <w:rFonts w:hint="eastAsia" w:ascii="宋体" w:hAnsi="宋体" w:cs="宋体"/>
                <w:sz w:val="24"/>
                <w:szCs w:val="24"/>
              </w:rPr>
              <w:t>（18）升级与维护：模拟飞行软件进行实时更新，投标人需保证模拟飞行软件同步与市场需求情况，持续针对软件内部功能进行迭代更新。</w:t>
            </w:r>
          </w:p>
        </w:tc>
        <w:tc>
          <w:tcPr>
            <w:tcW w:w="184" w:type="pct"/>
            <w:tcBorders>
              <w:top w:val="single" w:color="auto" w:sz="4" w:space="0"/>
              <w:left w:val="nil"/>
              <w:bottom w:val="single" w:color="auto" w:sz="4" w:space="0"/>
              <w:right w:val="single" w:color="auto" w:sz="4" w:space="0"/>
            </w:tcBorders>
            <w:vAlign w:val="center"/>
          </w:tcPr>
          <w:p w14:paraId="290E9EF8">
            <w:pPr>
              <w:widowControl/>
              <w:snapToGrid w:val="0"/>
              <w:spacing w:line="360" w:lineRule="auto"/>
              <w:rPr>
                <w:rFonts w:hint="eastAsia" w:ascii="宋体" w:hAnsi="宋体" w:cs="宋体"/>
                <w:sz w:val="24"/>
                <w:szCs w:val="24"/>
              </w:rPr>
            </w:pPr>
            <w:r>
              <w:rPr>
                <w:rFonts w:hint="eastAsia" w:ascii="宋体" w:hAnsi="宋体" w:cs="宋体"/>
                <w:sz w:val="24"/>
                <w:szCs w:val="24"/>
              </w:rPr>
              <w:t>4</w:t>
            </w:r>
          </w:p>
        </w:tc>
        <w:tc>
          <w:tcPr>
            <w:tcW w:w="184" w:type="pct"/>
            <w:tcBorders>
              <w:top w:val="single" w:color="auto" w:sz="4" w:space="0"/>
              <w:left w:val="nil"/>
              <w:bottom w:val="single" w:color="auto" w:sz="4" w:space="0"/>
              <w:right w:val="single" w:color="auto" w:sz="4" w:space="0"/>
            </w:tcBorders>
            <w:vAlign w:val="center"/>
          </w:tcPr>
          <w:p w14:paraId="62ED14F0">
            <w:pPr>
              <w:widowControl/>
              <w:snapToGrid w:val="0"/>
              <w:spacing w:line="360" w:lineRule="auto"/>
              <w:rPr>
                <w:rFonts w:hint="eastAsia" w:ascii="宋体" w:hAnsi="宋体" w:cs="宋体"/>
                <w:sz w:val="24"/>
                <w:szCs w:val="24"/>
              </w:rPr>
            </w:pPr>
          </w:p>
        </w:tc>
      </w:tr>
    </w:tbl>
    <w:p w14:paraId="2E872158">
      <w:pPr>
        <w:snapToGrid w:val="0"/>
        <w:spacing w:line="360" w:lineRule="auto"/>
        <w:ind w:firstLine="480" w:firstLineChars="200"/>
        <w:rPr>
          <w:rFonts w:hint="eastAsia" w:ascii="宋体" w:hAnsi="宋体" w:eastAsia="宋体" w:cs="宋体"/>
          <w:sz w:val="24"/>
          <w:szCs w:val="24"/>
          <w:highlight w:val="green"/>
          <w:lang w:val="en-US" w:eastAsia="zh-CN"/>
        </w:rPr>
        <w:sectPr>
          <w:headerReference r:id="rId5" w:type="default"/>
          <w:pgSz w:w="16838" w:h="11905" w:orient="landscape"/>
          <w:pgMar w:top="1559" w:right="2041" w:bottom="1559" w:left="1701" w:header="1134" w:footer="992" w:gutter="0"/>
          <w:pgNumType w:fmt="numberInDash"/>
          <w:cols w:space="720" w:num="1"/>
          <w:docGrid w:type="lines" w:linePitch="313" w:charSpace="0"/>
        </w:sectPr>
      </w:pPr>
    </w:p>
    <w:p w14:paraId="5822362F">
      <w:pPr>
        <w:keepNext w:val="0"/>
        <w:keepLines w:val="0"/>
        <w:pageBreakBefore w:val="0"/>
        <w:kinsoku/>
        <w:wordWrap/>
        <w:overflowPunct/>
        <w:topLinePunct w:val="0"/>
        <w:bidi w:val="0"/>
        <w:adjustRightInd w:val="0"/>
        <w:snapToGrid w:val="0"/>
        <w:spacing w:line="360" w:lineRule="auto"/>
        <w:ind w:left="0" w:leftChars="0" w:firstLine="422" w:firstLineChars="175"/>
        <w:jc w:val="both"/>
        <w:rPr>
          <w:rFonts w:hint="default" w:ascii="宋体" w:hAnsi="Times New Roman" w:eastAsia="宋体" w:cs="宋体"/>
          <w:b/>
          <w:bCs w:val="0"/>
          <w:sz w:val="24"/>
          <w:szCs w:val="24"/>
          <w:lang w:val="en-US" w:eastAsia="zh-CN"/>
        </w:rPr>
      </w:pPr>
      <w:r>
        <w:rPr>
          <w:rFonts w:hint="eastAsia" w:ascii="宋体" w:hAnsi="Times New Roman" w:eastAsia="宋体" w:cs="宋体"/>
          <w:b/>
          <w:bCs w:val="0"/>
          <w:sz w:val="24"/>
          <w:szCs w:val="24"/>
          <w:lang w:val="en-US" w:eastAsia="zh-CN"/>
        </w:rPr>
        <w:t>附件</w:t>
      </w:r>
      <w:r>
        <w:rPr>
          <w:rFonts w:hint="eastAsia" w:ascii="宋体" w:eastAsia="宋体" w:cs="宋体"/>
          <w:b/>
          <w:bCs w:val="0"/>
          <w:sz w:val="24"/>
          <w:szCs w:val="24"/>
          <w:lang w:val="en-US" w:eastAsia="zh-CN"/>
        </w:rPr>
        <w:t>3</w:t>
      </w:r>
    </w:p>
    <w:p w14:paraId="1D114D59">
      <w:pPr>
        <w:keepNext w:val="0"/>
        <w:keepLines w:val="0"/>
        <w:pageBreakBefore w:val="0"/>
        <w:kinsoku/>
        <w:wordWrap/>
        <w:overflowPunct/>
        <w:topLinePunct w:val="0"/>
        <w:bidi w:val="0"/>
        <w:adjustRightInd w:val="0"/>
        <w:snapToGrid w:val="0"/>
        <w:spacing w:line="360" w:lineRule="auto"/>
        <w:jc w:val="center"/>
        <w:rPr>
          <w:rFonts w:hint="eastAsia" w:ascii="宋体" w:cs="宋体"/>
          <w:b/>
          <w:bCs w:val="0"/>
          <w:sz w:val="36"/>
          <w:szCs w:val="36"/>
        </w:rPr>
      </w:pPr>
      <w:r>
        <w:rPr>
          <w:rFonts w:hint="eastAsia" w:ascii="宋体" w:cs="宋体"/>
          <w:b/>
          <w:bCs w:val="0"/>
          <w:sz w:val="36"/>
          <w:szCs w:val="36"/>
        </w:rPr>
        <w:t>项目需求书（第</w:t>
      </w:r>
      <w:r>
        <w:rPr>
          <w:rFonts w:hint="eastAsia" w:ascii="宋体" w:cs="宋体"/>
          <w:b/>
          <w:bCs w:val="0"/>
          <w:sz w:val="36"/>
          <w:szCs w:val="36"/>
          <w:lang w:val="en-US" w:eastAsia="zh-CN"/>
        </w:rPr>
        <w:t>二</w:t>
      </w:r>
      <w:r>
        <w:rPr>
          <w:rFonts w:hint="eastAsia" w:ascii="宋体" w:cs="宋体"/>
          <w:b/>
          <w:bCs w:val="0"/>
          <w:sz w:val="36"/>
          <w:szCs w:val="36"/>
        </w:rPr>
        <w:t>包）</w:t>
      </w:r>
    </w:p>
    <w:p w14:paraId="6AB9178D">
      <w:pPr>
        <w:keepNext w:val="0"/>
        <w:keepLines w:val="0"/>
        <w:pageBreakBefore w:val="0"/>
        <w:kinsoku/>
        <w:wordWrap/>
        <w:overflowPunct/>
        <w:topLinePunct w:val="0"/>
        <w:bidi w:val="0"/>
        <w:adjustRightInd w:val="0"/>
        <w:snapToGrid w:val="0"/>
        <w:spacing w:line="360" w:lineRule="auto"/>
        <w:jc w:val="center"/>
        <w:rPr>
          <w:rFonts w:hint="eastAsia" w:ascii="宋体" w:cs="宋体"/>
          <w:b/>
          <w:bCs w:val="0"/>
          <w:sz w:val="24"/>
          <w:szCs w:val="24"/>
        </w:rPr>
      </w:pPr>
      <w:r>
        <w:rPr>
          <w:rFonts w:hint="eastAsia" w:ascii="宋体" w:cs="宋体"/>
          <w:b/>
          <w:bCs w:val="0"/>
          <w:sz w:val="24"/>
          <w:szCs w:val="24"/>
          <w:lang w:eastAsia="zh-CN"/>
        </w:rPr>
        <w:t>《汽车维修工采购》</w:t>
      </w:r>
    </w:p>
    <w:p w14:paraId="3D05EE28">
      <w:pPr>
        <w:pStyle w:val="7"/>
        <w:keepNext w:val="0"/>
        <w:keepLines w:val="0"/>
        <w:pageBreakBefore w:val="0"/>
        <w:widowControl/>
        <w:numPr>
          <w:ilvl w:val="0"/>
          <w:numId w:val="0"/>
        </w:numPr>
        <w:kinsoku/>
        <w:wordWrap/>
        <w:overflowPunct/>
        <w:topLinePunct w:val="0"/>
        <w:bidi w:val="0"/>
        <w:adjustRightInd w:val="0"/>
        <w:snapToGrid w:val="0"/>
        <w:spacing w:line="360" w:lineRule="auto"/>
        <w:ind w:left="559" w:leftChars="0" w:hanging="559" w:hangingChars="233"/>
        <w:jc w:val="left"/>
        <w:rPr>
          <w:rFonts w:ascii="宋体" w:hAnsi="宋体" w:cs="宋体"/>
          <w:sz w:val="24"/>
          <w:szCs w:val="24"/>
        </w:rPr>
      </w:pPr>
      <w:r>
        <w:rPr>
          <w:rFonts w:hint="default" w:ascii="宋体" w:hAnsi="宋体" w:eastAsia="宋体" w:cs="宋体"/>
          <w:kern w:val="2"/>
          <w:sz w:val="24"/>
          <w:szCs w:val="24"/>
          <w:lang w:val="en-US" w:eastAsia="zh-CN" w:bidi="ar-SA"/>
        </w:rPr>
        <w:t>一、</w:t>
      </w:r>
      <w:r>
        <w:rPr>
          <w:rFonts w:hint="eastAsia" w:ascii="宋体"/>
          <w:b/>
          <w:kern w:val="0"/>
          <w:sz w:val="24"/>
          <w:szCs w:val="24"/>
        </w:rPr>
        <w:t>项目名称</w:t>
      </w:r>
    </w:p>
    <w:p w14:paraId="10BF485B">
      <w:pPr>
        <w:keepNext w:val="0"/>
        <w:keepLines w:val="0"/>
        <w:pageBreakBefore w:val="0"/>
        <w:kinsoku/>
        <w:wordWrap/>
        <w:overflowPunct/>
        <w:topLinePunct w:val="0"/>
        <w:bidi w:val="0"/>
        <w:adjustRightInd w:val="0"/>
        <w:snapToGrid w:val="0"/>
        <w:spacing w:line="360" w:lineRule="auto"/>
        <w:ind w:firstLine="480" w:firstLineChars="200"/>
        <w:rPr>
          <w:rFonts w:ascii="宋体" w:hAnsi="宋体" w:cs="宋体"/>
          <w:sz w:val="24"/>
          <w:szCs w:val="24"/>
        </w:rPr>
      </w:pPr>
      <w:r>
        <w:rPr>
          <w:rFonts w:hint="eastAsia" w:ascii="宋体" w:hAnsi="宋体" w:cs="宋体"/>
          <w:sz w:val="24"/>
          <w:szCs w:val="24"/>
          <w:lang w:eastAsia="zh-CN"/>
        </w:rPr>
        <w:t>天津港保税区职业技能公共实训中心国家级高技能人才培训基地建设及职业工种实训设备采购项目</w:t>
      </w:r>
      <w:r>
        <w:rPr>
          <w:rFonts w:hint="eastAsia" w:ascii="宋体" w:hAnsi="宋体" w:cs="宋体"/>
          <w:sz w:val="24"/>
          <w:szCs w:val="24"/>
        </w:rPr>
        <w:t>。</w:t>
      </w:r>
    </w:p>
    <w:p w14:paraId="6408D3BB">
      <w:pPr>
        <w:pStyle w:val="7"/>
        <w:keepNext w:val="0"/>
        <w:keepLines w:val="0"/>
        <w:pageBreakBefore w:val="0"/>
        <w:widowControl/>
        <w:numPr>
          <w:ilvl w:val="0"/>
          <w:numId w:val="0"/>
        </w:numPr>
        <w:kinsoku/>
        <w:wordWrap/>
        <w:overflowPunct/>
        <w:topLinePunct w:val="0"/>
        <w:bidi w:val="0"/>
        <w:adjustRightInd w:val="0"/>
        <w:snapToGrid w:val="0"/>
        <w:spacing w:line="360" w:lineRule="auto"/>
        <w:ind w:left="559" w:leftChars="0" w:hanging="559" w:hangingChars="233"/>
        <w:jc w:val="left"/>
        <w:rPr>
          <w:rFonts w:hint="eastAsia" w:ascii="宋体" w:hAnsi="宋体" w:cs="宋体"/>
          <w:sz w:val="24"/>
          <w:szCs w:val="24"/>
        </w:rPr>
      </w:pPr>
      <w:r>
        <w:rPr>
          <w:rFonts w:hint="default" w:ascii="宋体" w:hAnsi="宋体" w:eastAsia="宋体" w:cs="宋体"/>
          <w:kern w:val="2"/>
          <w:sz w:val="24"/>
          <w:szCs w:val="24"/>
          <w:lang w:val="en-US" w:eastAsia="zh-CN" w:bidi="ar-SA"/>
        </w:rPr>
        <w:t>二、</w:t>
      </w:r>
      <w:r>
        <w:rPr>
          <w:rFonts w:hint="eastAsia" w:ascii="宋体"/>
          <w:b/>
          <w:kern w:val="0"/>
          <w:sz w:val="24"/>
          <w:szCs w:val="24"/>
        </w:rPr>
        <w:t>项目预算</w:t>
      </w:r>
    </w:p>
    <w:p w14:paraId="58403DDD">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eastAsia="宋体" w:cs="宋体"/>
          <w:sz w:val="24"/>
          <w:szCs w:val="24"/>
          <w:lang w:eastAsia="zh-CN"/>
        </w:rPr>
      </w:pPr>
      <w:r>
        <w:rPr>
          <w:rFonts w:hint="eastAsia" w:ascii="宋体" w:hAnsi="宋体" w:cs="宋体"/>
          <w:sz w:val="24"/>
          <w:szCs w:val="24"/>
          <w:lang w:val="en-US" w:eastAsia="zh-CN"/>
        </w:rPr>
        <w:t>46.7150</w:t>
      </w:r>
      <w:r>
        <w:rPr>
          <w:rFonts w:hint="eastAsia" w:ascii="宋体" w:hAnsi="宋体" w:eastAsia="宋体" w:cs="宋体"/>
          <w:sz w:val="24"/>
          <w:szCs w:val="24"/>
          <w:lang w:eastAsia="zh-CN"/>
        </w:rPr>
        <w:t>万元。</w:t>
      </w:r>
    </w:p>
    <w:p w14:paraId="3006ADF1">
      <w:pPr>
        <w:pStyle w:val="7"/>
        <w:keepNext w:val="0"/>
        <w:keepLines w:val="0"/>
        <w:pageBreakBefore w:val="0"/>
        <w:widowControl/>
        <w:numPr>
          <w:ilvl w:val="0"/>
          <w:numId w:val="0"/>
        </w:numPr>
        <w:kinsoku/>
        <w:wordWrap/>
        <w:overflowPunct/>
        <w:topLinePunct w:val="0"/>
        <w:bidi w:val="0"/>
        <w:adjustRightInd w:val="0"/>
        <w:snapToGrid w:val="0"/>
        <w:spacing w:line="360" w:lineRule="auto"/>
        <w:ind w:left="561" w:leftChars="0" w:hanging="561" w:hangingChars="233"/>
        <w:jc w:val="left"/>
        <w:rPr>
          <w:rFonts w:ascii="宋体"/>
          <w:b/>
          <w:kern w:val="0"/>
          <w:sz w:val="24"/>
          <w:szCs w:val="24"/>
        </w:rPr>
      </w:pPr>
      <w:r>
        <w:rPr>
          <w:rFonts w:hint="default" w:ascii="宋体" w:hAnsi="Times New Roman" w:eastAsia="宋体" w:cs="Times New Roman"/>
          <w:b/>
          <w:kern w:val="0"/>
          <w:sz w:val="24"/>
          <w:szCs w:val="24"/>
          <w:lang w:val="en-US" w:eastAsia="zh-CN" w:bidi="ar-SA"/>
        </w:rPr>
        <w:t>三、</w:t>
      </w:r>
      <w:r>
        <w:rPr>
          <w:rFonts w:hint="eastAsia" w:ascii="宋体"/>
          <w:b/>
          <w:kern w:val="0"/>
          <w:sz w:val="24"/>
          <w:szCs w:val="24"/>
        </w:rPr>
        <w:t>资格要求</w:t>
      </w:r>
    </w:p>
    <w:p w14:paraId="6770DB23">
      <w:pPr>
        <w:pStyle w:val="7"/>
        <w:keepNext w:val="0"/>
        <w:keepLines w:val="0"/>
        <w:pageBreakBefore w:val="0"/>
        <w:widowControl/>
        <w:numPr>
          <w:ilvl w:val="0"/>
          <w:numId w:val="0"/>
        </w:numPr>
        <w:kinsoku/>
        <w:wordWrap/>
        <w:overflowPunct/>
        <w:topLinePunct w:val="0"/>
        <w:bidi w:val="0"/>
        <w:adjustRightInd w:val="0"/>
        <w:snapToGrid w:val="0"/>
        <w:spacing w:line="360" w:lineRule="auto"/>
        <w:ind w:left="0" w:leftChars="0" w:firstLine="400" w:firstLineChars="0"/>
        <w:jc w:val="left"/>
        <w:rPr>
          <w:rFonts w:ascii="宋体" w:hAnsi="宋体" w:cs="宋体"/>
          <w:sz w:val="24"/>
          <w:szCs w:val="24"/>
        </w:rPr>
      </w:pPr>
      <w:r>
        <w:rPr>
          <w:rFonts w:hint="default" w:ascii="宋体" w:hAnsi="宋体" w:eastAsia="宋体" w:cs="宋体"/>
          <w:kern w:val="2"/>
          <w:sz w:val="24"/>
          <w:szCs w:val="24"/>
          <w:lang w:val="en-US" w:eastAsia="zh-CN" w:bidi="ar-SA"/>
        </w:rPr>
        <w:t>1</w:t>
      </w:r>
      <w:r>
        <w:rPr>
          <w:rFonts w:hint="eastAsia" w:ascii="宋体" w:hAnsi="宋体" w:cs="宋体"/>
          <w:kern w:val="2"/>
          <w:sz w:val="24"/>
          <w:szCs w:val="24"/>
          <w:lang w:val="en-US" w:eastAsia="zh-CN" w:bidi="ar-SA"/>
        </w:rPr>
        <w:t>.</w:t>
      </w:r>
      <w:r>
        <w:rPr>
          <w:rFonts w:hint="eastAsia" w:ascii="宋体" w:hAnsi="宋体" w:cs="宋体"/>
          <w:sz w:val="24"/>
          <w:szCs w:val="24"/>
        </w:rPr>
        <w:t>具有独立承担民事责任能力，提供相关证件；（有效期内的营业执照或事业单位法人证书或民办非企业单位登记证书或社会团体法人登记证书或基金会法人登记证书或自然人的身份证明）</w:t>
      </w:r>
    </w:p>
    <w:p w14:paraId="0FD39DFC">
      <w:pPr>
        <w:pStyle w:val="7"/>
        <w:keepNext w:val="0"/>
        <w:keepLines w:val="0"/>
        <w:pageBreakBefore w:val="0"/>
        <w:widowControl/>
        <w:numPr>
          <w:ilvl w:val="0"/>
          <w:numId w:val="0"/>
        </w:numPr>
        <w:kinsoku/>
        <w:wordWrap/>
        <w:overflowPunct/>
        <w:topLinePunct w:val="0"/>
        <w:bidi w:val="0"/>
        <w:adjustRightInd w:val="0"/>
        <w:snapToGrid w:val="0"/>
        <w:spacing w:line="360" w:lineRule="auto"/>
        <w:ind w:left="0" w:leftChars="0" w:firstLine="400" w:firstLineChars="0"/>
        <w:jc w:val="left"/>
        <w:rPr>
          <w:rFonts w:hint="eastAsia" w:ascii="宋体" w:hAnsi="宋体" w:cs="宋体"/>
          <w:sz w:val="24"/>
          <w:szCs w:val="24"/>
          <w:highlight w:val="none"/>
        </w:rPr>
      </w:pPr>
      <w:r>
        <w:rPr>
          <w:rFonts w:hint="eastAsia" w:ascii="宋体" w:hAnsi="宋体" w:cs="宋体"/>
          <w:kern w:val="2"/>
          <w:sz w:val="24"/>
          <w:szCs w:val="24"/>
          <w:highlight w:val="none"/>
          <w:lang w:val="en-US" w:eastAsia="zh-CN" w:bidi="ar-SA"/>
        </w:rPr>
        <w:t>2.</w:t>
      </w:r>
      <w:r>
        <w:rPr>
          <w:rFonts w:hint="eastAsia" w:ascii="宋体" w:hAnsi="宋体" w:cs="宋体"/>
          <w:sz w:val="24"/>
          <w:szCs w:val="24"/>
          <w:highlight w:val="none"/>
          <w:lang w:val="zh-CN" w:eastAsia="zh-CN"/>
        </w:rPr>
        <w:t>有依法缴纳税收和社会保障资金的良好记录，</w:t>
      </w:r>
      <w:r>
        <w:rPr>
          <w:rFonts w:hint="eastAsia" w:ascii="宋体" w:hAnsi="宋体" w:cs="宋体"/>
          <w:sz w:val="24"/>
          <w:szCs w:val="24"/>
          <w:highlight w:val="none"/>
        </w:rPr>
        <w:t>须提供</w:t>
      </w:r>
      <w:r>
        <w:rPr>
          <w:rFonts w:hint="eastAsia" w:ascii="宋体" w:hAnsi="宋体" w:cs="宋体"/>
          <w:sz w:val="24"/>
          <w:szCs w:val="24"/>
          <w:highlight w:val="none"/>
          <w:lang w:eastAsia="zh-CN"/>
        </w:rPr>
        <w:t>2026年至少1个月</w:t>
      </w:r>
      <w:r>
        <w:rPr>
          <w:rFonts w:hint="eastAsia" w:ascii="宋体" w:hAnsi="宋体" w:cs="宋体"/>
          <w:sz w:val="24"/>
          <w:szCs w:val="24"/>
          <w:highlight w:val="none"/>
        </w:rPr>
        <w:t>的依法纳税</w:t>
      </w:r>
      <w:r>
        <w:rPr>
          <w:rFonts w:hint="eastAsia" w:ascii="宋体" w:hAnsi="宋体" w:cs="宋体"/>
          <w:sz w:val="24"/>
          <w:szCs w:val="24"/>
          <w:highlight w:val="none"/>
          <w:lang w:val="en-US" w:eastAsia="zh-CN"/>
        </w:rPr>
        <w:t>和缴纳</w:t>
      </w:r>
      <w:r>
        <w:rPr>
          <w:rFonts w:hint="eastAsia" w:ascii="宋体" w:hAnsi="宋体" w:cs="宋体"/>
          <w:sz w:val="24"/>
          <w:szCs w:val="24"/>
          <w:highlight w:val="none"/>
        </w:rPr>
        <w:t>社会保险费的相关证明材料</w:t>
      </w:r>
      <w:r>
        <w:rPr>
          <w:rFonts w:hint="eastAsia" w:ascii="宋体" w:hAnsi="宋体" w:cs="宋体"/>
          <w:sz w:val="24"/>
          <w:szCs w:val="24"/>
          <w:highlight w:val="none"/>
          <w:lang w:eastAsia="zh-CN"/>
        </w:rPr>
        <w:t>；</w:t>
      </w:r>
      <w:r>
        <w:rPr>
          <w:rFonts w:hint="eastAsia" w:ascii="宋体" w:hAnsi="宋体" w:cs="宋体"/>
          <w:sz w:val="24"/>
          <w:szCs w:val="24"/>
          <w:highlight w:val="none"/>
        </w:rPr>
        <w:t>（纳税零申报投标人应当按照以下任意一种方式提供相应证明文件：1）税务大厅零申报报表且加盖受理章；2）网络申报截图复印件加盖公章。依法免缴的，应提供依法免缴的相关证明文件；未到缴税时间的新注册的公司应提供未拖欠税款及社会保险的相关证明材料）</w:t>
      </w:r>
    </w:p>
    <w:p w14:paraId="27EE2257">
      <w:pPr>
        <w:pStyle w:val="7"/>
        <w:keepNext w:val="0"/>
        <w:keepLines w:val="0"/>
        <w:pageBreakBefore w:val="0"/>
        <w:widowControl/>
        <w:numPr>
          <w:ilvl w:val="0"/>
          <w:numId w:val="0"/>
        </w:numPr>
        <w:kinsoku/>
        <w:wordWrap/>
        <w:overflowPunct/>
        <w:topLinePunct w:val="0"/>
        <w:bidi w:val="0"/>
        <w:adjustRightInd w:val="0"/>
        <w:snapToGrid w:val="0"/>
        <w:spacing w:line="360" w:lineRule="auto"/>
        <w:ind w:left="0" w:leftChars="0" w:firstLine="400" w:firstLineChars="0"/>
        <w:jc w:val="left"/>
        <w:rPr>
          <w:rFonts w:ascii="宋体" w:hAnsi="宋体" w:cs="宋体"/>
          <w:sz w:val="24"/>
          <w:szCs w:val="24"/>
        </w:rPr>
      </w:pPr>
      <w:r>
        <w:rPr>
          <w:rFonts w:hint="eastAsia" w:ascii="宋体" w:hAnsi="宋体" w:cs="宋体"/>
          <w:kern w:val="2"/>
          <w:sz w:val="24"/>
          <w:szCs w:val="24"/>
          <w:lang w:val="en-US" w:eastAsia="zh-CN" w:bidi="ar-SA"/>
        </w:rPr>
        <w:t>3.</w:t>
      </w:r>
      <w:r>
        <w:rPr>
          <w:rFonts w:hint="eastAsia" w:ascii="宋体" w:hAnsi="宋体" w:cs="宋体"/>
          <w:sz w:val="24"/>
          <w:szCs w:val="24"/>
        </w:rPr>
        <w:t>具有良好的商业信誉和健全的财务会计制度，须提供</w:t>
      </w:r>
      <w:r>
        <w:rPr>
          <w:rFonts w:hint="eastAsia" w:ascii="宋体" w:hAnsi="宋体" w:cs="宋体"/>
          <w:sz w:val="24"/>
          <w:szCs w:val="24"/>
          <w:lang w:eastAsia="zh-CN"/>
        </w:rPr>
        <w:t>2025年度经第三方会计师事务所审计的企业财务报告或开标及投标截止时间前的6个月内银行出具的资信证明</w:t>
      </w:r>
      <w:r>
        <w:rPr>
          <w:rFonts w:hint="eastAsia" w:ascii="宋体" w:hAnsi="宋体" w:cs="宋体"/>
          <w:sz w:val="24"/>
          <w:szCs w:val="24"/>
        </w:rPr>
        <w:t>；</w:t>
      </w:r>
    </w:p>
    <w:p w14:paraId="1DC58DCD">
      <w:pPr>
        <w:pStyle w:val="7"/>
        <w:keepNext w:val="0"/>
        <w:keepLines w:val="0"/>
        <w:pageBreakBefore w:val="0"/>
        <w:widowControl/>
        <w:numPr>
          <w:ilvl w:val="0"/>
          <w:numId w:val="0"/>
        </w:numPr>
        <w:kinsoku/>
        <w:wordWrap/>
        <w:overflowPunct/>
        <w:topLinePunct w:val="0"/>
        <w:bidi w:val="0"/>
        <w:adjustRightInd w:val="0"/>
        <w:snapToGrid w:val="0"/>
        <w:spacing w:line="360" w:lineRule="auto"/>
        <w:ind w:left="0" w:leftChars="0" w:firstLine="400" w:firstLineChars="0"/>
        <w:jc w:val="left"/>
        <w:rPr>
          <w:rFonts w:ascii="宋体" w:hAnsi="宋体" w:cs="宋体"/>
          <w:sz w:val="24"/>
          <w:szCs w:val="24"/>
        </w:rPr>
      </w:pPr>
      <w:r>
        <w:rPr>
          <w:rFonts w:hint="eastAsia" w:ascii="宋体" w:hAnsi="宋体" w:cs="宋体"/>
          <w:kern w:val="2"/>
          <w:sz w:val="24"/>
          <w:szCs w:val="24"/>
          <w:lang w:val="en-US" w:eastAsia="zh-CN" w:bidi="ar-SA"/>
        </w:rPr>
        <w:t>4.</w:t>
      </w:r>
      <w:r>
        <w:rPr>
          <w:rFonts w:hint="eastAsia" w:ascii="宋体" w:hAnsi="宋体" w:cs="宋体"/>
          <w:sz w:val="24"/>
          <w:szCs w:val="24"/>
        </w:rPr>
        <w:t>投标截止日前三年参加政府采购活动，在经营活动中没有重大违法记录。提供书面声明函；（截至开标日成立不足3年的投标人可提供自成立以来无重大违法记录的书面声明）</w:t>
      </w:r>
    </w:p>
    <w:p w14:paraId="136AAB1F">
      <w:pPr>
        <w:pStyle w:val="7"/>
        <w:keepNext w:val="0"/>
        <w:keepLines w:val="0"/>
        <w:pageBreakBefore w:val="0"/>
        <w:widowControl/>
        <w:numPr>
          <w:ilvl w:val="0"/>
          <w:numId w:val="0"/>
        </w:numPr>
        <w:kinsoku/>
        <w:wordWrap/>
        <w:overflowPunct/>
        <w:topLinePunct w:val="0"/>
        <w:bidi w:val="0"/>
        <w:adjustRightInd w:val="0"/>
        <w:snapToGrid w:val="0"/>
        <w:spacing w:line="360" w:lineRule="auto"/>
        <w:ind w:left="0" w:leftChars="0" w:firstLine="400" w:firstLineChars="0"/>
        <w:jc w:val="left"/>
        <w:rPr>
          <w:rFonts w:ascii="宋体" w:hAnsi="宋体" w:cs="宋体"/>
          <w:sz w:val="24"/>
          <w:szCs w:val="24"/>
        </w:rPr>
      </w:pPr>
      <w:r>
        <w:rPr>
          <w:rFonts w:hint="eastAsia" w:ascii="宋体" w:hAnsi="宋体" w:cs="宋体"/>
          <w:kern w:val="2"/>
          <w:sz w:val="24"/>
          <w:szCs w:val="24"/>
          <w:lang w:val="en-US" w:eastAsia="zh-CN" w:bidi="ar-SA"/>
        </w:rPr>
        <w:t>5.</w:t>
      </w:r>
      <w:r>
        <w:rPr>
          <w:rFonts w:hint="eastAsia" w:ascii="宋体" w:hAnsi="宋体" w:cs="宋体"/>
          <w:sz w:val="24"/>
          <w:szCs w:val="24"/>
        </w:rPr>
        <w:t>本项目不接受联合体投标。</w:t>
      </w:r>
    </w:p>
    <w:p w14:paraId="0C49F314">
      <w:pPr>
        <w:pStyle w:val="7"/>
        <w:keepNext w:val="0"/>
        <w:keepLines w:val="0"/>
        <w:pageBreakBefore w:val="0"/>
        <w:widowControl/>
        <w:numPr>
          <w:ilvl w:val="0"/>
          <w:numId w:val="0"/>
        </w:numPr>
        <w:kinsoku/>
        <w:wordWrap/>
        <w:overflowPunct/>
        <w:topLinePunct w:val="0"/>
        <w:bidi w:val="0"/>
        <w:adjustRightInd w:val="0"/>
        <w:snapToGrid w:val="0"/>
        <w:spacing w:line="360" w:lineRule="auto"/>
        <w:ind w:left="561" w:leftChars="0" w:hanging="561" w:hangingChars="233"/>
        <w:jc w:val="left"/>
        <w:rPr>
          <w:rFonts w:ascii="宋体"/>
          <w:b/>
          <w:kern w:val="0"/>
          <w:sz w:val="24"/>
          <w:szCs w:val="24"/>
        </w:rPr>
      </w:pPr>
      <w:r>
        <w:rPr>
          <w:rFonts w:hint="default" w:ascii="宋体" w:hAnsi="Times New Roman" w:eastAsia="宋体" w:cs="Times New Roman"/>
          <w:b/>
          <w:kern w:val="0"/>
          <w:sz w:val="24"/>
          <w:szCs w:val="24"/>
          <w:lang w:val="en-US" w:eastAsia="zh-CN" w:bidi="ar-SA"/>
        </w:rPr>
        <w:t>四、</w:t>
      </w:r>
      <w:r>
        <w:rPr>
          <w:rFonts w:hint="eastAsia" w:ascii="宋体"/>
          <w:b/>
          <w:kern w:val="0"/>
          <w:sz w:val="24"/>
          <w:szCs w:val="24"/>
        </w:rPr>
        <w:t>采购标的需落实政府采购政策需满足的要求</w:t>
      </w:r>
    </w:p>
    <w:p w14:paraId="3B3F10DF">
      <w:pPr>
        <w:keepNext w:val="0"/>
        <w:keepLines w:val="0"/>
        <w:pageBreakBefore w:val="0"/>
        <w:widowControl/>
        <w:numPr>
          <w:ilvl w:val="0"/>
          <w:numId w:val="0"/>
        </w:numPr>
        <w:kinsoku/>
        <w:wordWrap/>
        <w:overflowPunct/>
        <w:topLinePunct w:val="0"/>
        <w:bidi w:val="0"/>
        <w:adjustRightInd w:val="0"/>
        <w:snapToGrid w:val="0"/>
        <w:spacing w:line="360" w:lineRule="auto"/>
        <w:ind w:left="0" w:leftChars="0" w:firstLine="400" w:firstLineChars="0"/>
        <w:jc w:val="left"/>
        <w:rPr>
          <w:rFonts w:hint="eastAsia" w:ascii="宋体" w:hAnsi="宋体" w:cs="宋体"/>
          <w:kern w:val="0"/>
          <w:sz w:val="24"/>
          <w:szCs w:val="24"/>
          <w:highlight w:val="none"/>
          <w:lang w:eastAsia="zh-CN"/>
        </w:rPr>
      </w:pPr>
      <w:r>
        <w:rPr>
          <w:rFonts w:hint="default" w:ascii="宋体" w:hAnsi="宋体" w:eastAsia="宋体" w:cs="宋体"/>
          <w:kern w:val="0"/>
          <w:sz w:val="24"/>
          <w:szCs w:val="24"/>
          <w:highlight w:val="none"/>
          <w:lang w:val="en-US" w:eastAsia="zh-CN" w:bidi="ar-SA"/>
        </w:rPr>
        <w:t>1</w:t>
      </w:r>
      <w:r>
        <w:rPr>
          <w:rFonts w:hint="eastAsia" w:ascii="宋体" w:hAnsi="宋体" w:cs="宋体"/>
          <w:kern w:val="0"/>
          <w:sz w:val="24"/>
          <w:szCs w:val="24"/>
          <w:highlight w:val="none"/>
          <w:lang w:val="en-US" w:eastAsia="zh-CN" w:bidi="ar-SA"/>
        </w:rPr>
        <w:t>.</w:t>
      </w:r>
      <w:r>
        <w:rPr>
          <w:rFonts w:hint="eastAsia" w:ascii="宋体" w:hAnsi="宋体" w:cs="宋体"/>
          <w:kern w:val="0"/>
          <w:sz w:val="24"/>
          <w:szCs w:val="24"/>
          <w:highlight w:val="none"/>
          <w:lang w:eastAsia="zh-CN"/>
        </w:rPr>
        <w:t>根据《</w:t>
      </w:r>
      <w:r>
        <w:rPr>
          <w:rFonts w:hint="eastAsia" w:ascii="宋体" w:hAnsi="宋体" w:cs="宋体"/>
          <w:kern w:val="0"/>
          <w:sz w:val="24"/>
          <w:szCs w:val="24"/>
          <w:highlight w:val="none"/>
          <w:lang w:val="en-US" w:eastAsia="zh-CN"/>
        </w:rPr>
        <w:t>财政部工业和信息化部关于印发&lt;政府采购促进中小企业发展管理办法&gt;的通知</w:t>
      </w:r>
      <w:r>
        <w:rPr>
          <w:rFonts w:hint="eastAsia" w:ascii="宋体" w:hAnsi="宋体" w:cs="宋体"/>
          <w:kern w:val="0"/>
          <w:sz w:val="24"/>
          <w:szCs w:val="24"/>
          <w:highlight w:val="none"/>
          <w:lang w:eastAsia="zh-CN"/>
        </w:rPr>
        <w:t>》（财库[2020]46号）、《财政部关于进一步加大政府采购支持中小企业力度的通知》（财库[2022]19号）规定，本项目对小型和微型企业产品的价格给予20%的扣除。供应商提供的货物由小型或微型企业制造，即货物由小型或微型企业生产且使用该小型或微型企业商号或者注册商标，可享受小微企业评审优惠政策。供应商应当如实填写《中小企业声明函》，标明企业规模。供应商提供的货物既有中小企业制造货物，也有大型企业制造货物的，不予进行价格扣除。</w:t>
      </w:r>
    </w:p>
    <w:p w14:paraId="478175BE">
      <w:pPr>
        <w:keepNext w:val="0"/>
        <w:keepLines w:val="0"/>
        <w:pageBreakBefore w:val="0"/>
        <w:widowControl/>
        <w:numPr>
          <w:ilvl w:val="0"/>
          <w:numId w:val="0"/>
        </w:numPr>
        <w:kinsoku/>
        <w:wordWrap/>
        <w:overflowPunct/>
        <w:topLinePunct w:val="0"/>
        <w:bidi w:val="0"/>
        <w:adjustRightInd w:val="0"/>
        <w:snapToGrid w:val="0"/>
        <w:spacing w:line="360" w:lineRule="auto"/>
        <w:ind w:left="0" w:leftChars="0" w:firstLine="400" w:firstLineChars="0"/>
        <w:jc w:val="left"/>
        <w:rPr>
          <w:rFonts w:hint="eastAsia" w:ascii="宋体" w:hAnsi="宋体" w:eastAsia="宋体" w:cs="宋体"/>
          <w:kern w:val="0"/>
          <w:sz w:val="24"/>
          <w:szCs w:val="24"/>
          <w:highlight w:val="none"/>
          <w:lang w:eastAsia="zh-CN"/>
        </w:rPr>
      </w:pPr>
      <w:r>
        <w:rPr>
          <w:rFonts w:hint="default" w:ascii="宋体" w:hAnsi="宋体" w:eastAsia="宋体" w:cs="宋体"/>
          <w:kern w:val="0"/>
          <w:sz w:val="24"/>
          <w:szCs w:val="24"/>
          <w:highlight w:val="none"/>
          <w:lang w:val="en-US" w:eastAsia="zh-CN" w:bidi="ar-SA"/>
        </w:rPr>
        <w:t>2</w:t>
      </w:r>
      <w:r>
        <w:rPr>
          <w:rFonts w:hint="eastAsia" w:ascii="宋体" w:hAnsi="宋体" w:cs="宋体"/>
          <w:kern w:val="0"/>
          <w:sz w:val="24"/>
          <w:szCs w:val="24"/>
          <w:highlight w:val="none"/>
          <w:lang w:val="en-US" w:eastAsia="zh-CN" w:bidi="ar-SA"/>
        </w:rPr>
        <w:t>.</w:t>
      </w:r>
      <w:r>
        <w:rPr>
          <w:rFonts w:hint="eastAsia" w:ascii="宋体" w:hAnsi="宋体" w:eastAsia="宋体" w:cs="宋体"/>
          <w:kern w:val="0"/>
          <w:sz w:val="24"/>
          <w:szCs w:val="24"/>
          <w:highlight w:val="none"/>
          <w:lang w:eastAsia="zh-CN"/>
        </w:rPr>
        <w:t>根据财政部、司法部发布的《关于政府采购支持监狱企业发展有关问题的通知》（财库〔2014〕68号）规定，对监狱企业视同小型、微型企业，享受评审中价格扣除等</w:t>
      </w:r>
      <w:r>
        <w:rPr>
          <w:rFonts w:hint="eastAsia" w:ascii="宋体" w:hAnsi="宋体" w:eastAsia="宋体" w:cs="宋体"/>
          <w:kern w:val="0"/>
          <w:sz w:val="24"/>
          <w:szCs w:val="24"/>
          <w:highlight w:val="none"/>
          <w:lang w:val="en-US" w:eastAsia="zh-CN"/>
        </w:rPr>
        <w:t>政府采购</w:t>
      </w:r>
      <w:r>
        <w:rPr>
          <w:rFonts w:hint="eastAsia" w:ascii="宋体" w:hAnsi="宋体" w:eastAsia="宋体" w:cs="宋体"/>
          <w:kern w:val="0"/>
          <w:sz w:val="24"/>
          <w:szCs w:val="24"/>
          <w:highlight w:val="none"/>
          <w:lang w:eastAsia="zh-CN"/>
        </w:rPr>
        <w:t>促进中小企业发展的政府采购政策，对其报价给予20%的扣除。</w:t>
      </w:r>
    </w:p>
    <w:p w14:paraId="0F21142F">
      <w:pPr>
        <w:keepNext w:val="0"/>
        <w:keepLines w:val="0"/>
        <w:pageBreakBefore w:val="0"/>
        <w:widowControl/>
        <w:numPr>
          <w:ilvl w:val="0"/>
          <w:numId w:val="0"/>
        </w:numPr>
        <w:kinsoku/>
        <w:wordWrap/>
        <w:overflowPunct/>
        <w:topLinePunct w:val="0"/>
        <w:bidi w:val="0"/>
        <w:adjustRightInd w:val="0"/>
        <w:snapToGrid w:val="0"/>
        <w:spacing w:line="360" w:lineRule="auto"/>
        <w:ind w:left="0" w:leftChars="0" w:firstLine="400" w:firstLineChars="0"/>
        <w:jc w:val="left"/>
        <w:rPr>
          <w:rFonts w:hint="eastAsia" w:ascii="宋体" w:hAnsi="宋体" w:cs="宋体"/>
          <w:kern w:val="0"/>
          <w:sz w:val="24"/>
          <w:szCs w:val="24"/>
          <w:highlight w:val="none"/>
        </w:rPr>
      </w:pPr>
      <w:r>
        <w:rPr>
          <w:rFonts w:hint="default" w:ascii="宋体" w:hAnsi="宋体" w:eastAsia="宋体" w:cs="宋体"/>
          <w:kern w:val="0"/>
          <w:sz w:val="24"/>
          <w:szCs w:val="24"/>
          <w:highlight w:val="none"/>
          <w:lang w:val="en-US" w:eastAsia="zh-CN" w:bidi="ar-SA"/>
        </w:rPr>
        <w:t>3</w:t>
      </w:r>
      <w:r>
        <w:rPr>
          <w:rFonts w:hint="eastAsia" w:ascii="宋体" w:hAnsi="宋体" w:cs="宋体"/>
          <w:kern w:val="0"/>
          <w:sz w:val="24"/>
          <w:szCs w:val="24"/>
          <w:highlight w:val="none"/>
          <w:lang w:val="en-US" w:eastAsia="zh-CN" w:bidi="ar-SA"/>
        </w:rPr>
        <w:t>.</w:t>
      </w:r>
      <w:r>
        <w:rPr>
          <w:rFonts w:hint="eastAsia" w:ascii="宋体" w:hAnsi="宋体" w:cs="宋体"/>
          <w:kern w:val="0"/>
          <w:sz w:val="24"/>
          <w:szCs w:val="24"/>
          <w:highlight w:val="none"/>
          <w:lang w:eastAsia="zh-CN"/>
        </w:rPr>
        <w:t>根据财政部、民政部、中国残疾人联合会联合发布的《关于促进残疾人就业政府采购政策的通知》（财库〔2017〕141号）规定，</w:t>
      </w:r>
      <w:r>
        <w:rPr>
          <w:rFonts w:hint="eastAsia" w:ascii="宋体" w:hAnsi="宋体" w:eastAsia="宋体" w:cs="宋体"/>
          <w:kern w:val="0"/>
          <w:sz w:val="24"/>
          <w:szCs w:val="24"/>
          <w:highlight w:val="none"/>
          <w:lang w:eastAsia="zh-CN"/>
        </w:rPr>
        <w:t>对</w:t>
      </w:r>
      <w:r>
        <w:rPr>
          <w:rFonts w:hint="eastAsia" w:ascii="宋体" w:hAnsi="宋体" w:eastAsia="宋体" w:cs="宋体"/>
          <w:kern w:val="0"/>
          <w:sz w:val="24"/>
          <w:szCs w:val="24"/>
          <w:highlight w:val="none"/>
          <w:lang w:val="en-US" w:eastAsia="zh-CN"/>
        </w:rPr>
        <w:t>残疾人福利单位</w:t>
      </w:r>
      <w:r>
        <w:rPr>
          <w:rFonts w:hint="eastAsia" w:ascii="宋体" w:hAnsi="宋体" w:eastAsia="宋体" w:cs="宋体"/>
          <w:kern w:val="0"/>
          <w:sz w:val="24"/>
          <w:szCs w:val="24"/>
          <w:highlight w:val="none"/>
          <w:lang w:eastAsia="zh-CN"/>
        </w:rPr>
        <w:t>同小型、微型企业，享受评审中价格扣除等</w:t>
      </w:r>
      <w:r>
        <w:rPr>
          <w:rFonts w:hint="eastAsia" w:ascii="宋体" w:hAnsi="宋体" w:eastAsia="宋体" w:cs="宋体"/>
          <w:kern w:val="0"/>
          <w:sz w:val="24"/>
          <w:szCs w:val="24"/>
          <w:highlight w:val="none"/>
          <w:lang w:val="en-US" w:eastAsia="zh-CN"/>
        </w:rPr>
        <w:t>政府采购</w:t>
      </w:r>
      <w:r>
        <w:rPr>
          <w:rFonts w:hint="eastAsia" w:ascii="宋体" w:hAnsi="宋体" w:eastAsia="宋体" w:cs="宋体"/>
          <w:kern w:val="0"/>
          <w:sz w:val="24"/>
          <w:szCs w:val="24"/>
          <w:highlight w:val="none"/>
          <w:lang w:eastAsia="zh-CN"/>
        </w:rPr>
        <w:t>促进中小企业发展的政府采购政策。即残疾人福利性单位提供本单位制造的货物，或者提供其他残疾人福利性单位制造的货物（不包括使用非残疾人福利性单位注册商标的货物）对其报价给予20%的扣除。</w:t>
      </w:r>
    </w:p>
    <w:p w14:paraId="29F1396A">
      <w:pPr>
        <w:keepNext w:val="0"/>
        <w:keepLines w:val="0"/>
        <w:pageBreakBefore w:val="0"/>
        <w:widowControl/>
        <w:numPr>
          <w:ilvl w:val="0"/>
          <w:numId w:val="0"/>
        </w:numPr>
        <w:kinsoku/>
        <w:wordWrap/>
        <w:overflowPunct/>
        <w:topLinePunct w:val="0"/>
        <w:bidi w:val="0"/>
        <w:adjustRightInd w:val="0"/>
        <w:snapToGrid w:val="0"/>
        <w:spacing w:line="360" w:lineRule="auto"/>
        <w:ind w:firstLine="480" w:firstLineChars="200"/>
        <w:jc w:val="left"/>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eastAsia="zh-CN"/>
        </w:rPr>
        <w:t>注</w:t>
      </w:r>
      <w:r>
        <w:rPr>
          <w:rFonts w:hint="eastAsia" w:ascii="宋体" w:hAnsi="宋体" w:cs="宋体"/>
          <w:kern w:val="0"/>
          <w:sz w:val="24"/>
          <w:szCs w:val="24"/>
          <w:highlight w:val="none"/>
          <w:lang w:val="en-US" w:eastAsia="zh-CN"/>
        </w:rPr>
        <w:t>：</w:t>
      </w:r>
      <w:r>
        <w:rPr>
          <w:rFonts w:hint="eastAsia" w:ascii="宋体" w:hAnsi="宋体" w:eastAsia="宋体" w:cs="宋体"/>
          <w:kern w:val="0"/>
          <w:sz w:val="24"/>
          <w:szCs w:val="24"/>
          <w:highlight w:val="none"/>
          <w:lang w:eastAsia="zh-CN"/>
        </w:rPr>
        <w:t>中小</w:t>
      </w:r>
      <w:r>
        <w:rPr>
          <w:rFonts w:hint="eastAsia" w:ascii="宋体" w:hAnsi="宋体" w:eastAsia="宋体" w:cs="宋体"/>
          <w:kern w:val="0"/>
          <w:sz w:val="24"/>
          <w:szCs w:val="24"/>
          <w:highlight w:val="none"/>
          <w:lang w:val="en-US" w:eastAsia="zh-CN"/>
        </w:rPr>
        <w:t>微</w:t>
      </w:r>
      <w:r>
        <w:rPr>
          <w:rFonts w:hint="eastAsia" w:ascii="宋体" w:hAnsi="宋体" w:eastAsia="宋体" w:cs="宋体"/>
          <w:kern w:val="0"/>
          <w:sz w:val="24"/>
          <w:szCs w:val="24"/>
          <w:highlight w:val="none"/>
          <w:lang w:eastAsia="zh-CN"/>
        </w:rPr>
        <w:t>企业</w:t>
      </w:r>
      <w:r>
        <w:rPr>
          <w:rFonts w:hint="eastAsia" w:ascii="宋体" w:hAnsi="宋体" w:eastAsia="宋体" w:cs="宋体"/>
          <w:kern w:val="0"/>
          <w:sz w:val="24"/>
          <w:szCs w:val="24"/>
          <w:highlight w:val="none"/>
          <w:lang w:val="en-US" w:eastAsia="zh-CN"/>
        </w:rPr>
        <w:t>应当提供</w:t>
      </w:r>
      <w:r>
        <w:rPr>
          <w:rFonts w:hint="eastAsia" w:ascii="宋体" w:hAnsi="宋体" w:eastAsia="宋体" w:cs="宋体"/>
          <w:kern w:val="0"/>
          <w:sz w:val="24"/>
          <w:szCs w:val="24"/>
          <w:highlight w:val="none"/>
          <w:lang w:eastAsia="zh-CN"/>
        </w:rPr>
        <w:t>《中小企业声明函》，监狱企业</w:t>
      </w:r>
      <w:r>
        <w:rPr>
          <w:rFonts w:hint="eastAsia" w:ascii="宋体" w:hAnsi="宋体" w:eastAsia="宋体" w:cs="宋体"/>
          <w:kern w:val="0"/>
          <w:sz w:val="24"/>
          <w:szCs w:val="24"/>
          <w:highlight w:val="none"/>
          <w:lang w:val="en-US" w:eastAsia="zh-CN"/>
        </w:rPr>
        <w:t>应当</w:t>
      </w:r>
      <w:r>
        <w:rPr>
          <w:rFonts w:hint="eastAsia" w:ascii="宋体" w:hAnsi="宋体" w:eastAsia="宋体" w:cs="宋体"/>
          <w:kern w:val="0"/>
          <w:sz w:val="24"/>
          <w:szCs w:val="24"/>
          <w:highlight w:val="none"/>
          <w:lang w:eastAsia="zh-CN"/>
        </w:rPr>
        <w:t>提供由省级以上监狱管理局、戒毒管理局</w:t>
      </w:r>
      <w:r>
        <w:rPr>
          <w:rFonts w:hint="eastAsia" w:ascii="宋体" w:hAnsi="宋体" w:cs="宋体"/>
          <w:kern w:val="0"/>
          <w:sz w:val="24"/>
          <w:szCs w:val="24"/>
          <w:highlight w:val="none"/>
          <w:lang w:eastAsia="zh-CN"/>
        </w:rPr>
        <w:t>（</w:t>
      </w:r>
      <w:r>
        <w:rPr>
          <w:rFonts w:hint="eastAsia" w:ascii="宋体" w:hAnsi="宋体" w:eastAsia="宋体" w:cs="宋体"/>
          <w:kern w:val="0"/>
          <w:sz w:val="24"/>
          <w:szCs w:val="24"/>
          <w:highlight w:val="none"/>
          <w:lang w:eastAsia="zh-CN"/>
        </w:rPr>
        <w:t>含新疆生产建设兵团</w:t>
      </w:r>
      <w:r>
        <w:rPr>
          <w:rFonts w:hint="eastAsia" w:ascii="宋体" w:hAnsi="宋体" w:cs="宋体"/>
          <w:kern w:val="0"/>
          <w:sz w:val="24"/>
          <w:szCs w:val="24"/>
          <w:highlight w:val="none"/>
          <w:lang w:eastAsia="zh-CN"/>
        </w:rPr>
        <w:t>）</w:t>
      </w:r>
      <w:r>
        <w:rPr>
          <w:rFonts w:hint="eastAsia" w:ascii="宋体" w:hAnsi="宋体" w:eastAsia="宋体" w:cs="宋体"/>
          <w:kern w:val="0"/>
          <w:sz w:val="24"/>
          <w:szCs w:val="24"/>
          <w:highlight w:val="none"/>
          <w:lang w:eastAsia="zh-CN"/>
        </w:rPr>
        <w:t>出具的属于监狱企业的证明文件，</w:t>
      </w:r>
      <w:r>
        <w:rPr>
          <w:rFonts w:hint="eastAsia" w:ascii="宋体" w:hAnsi="宋体" w:eastAsia="宋体" w:cs="宋体"/>
          <w:kern w:val="0"/>
          <w:sz w:val="24"/>
          <w:szCs w:val="24"/>
          <w:highlight w:val="none"/>
          <w:lang w:val="en-US" w:eastAsia="zh-CN"/>
        </w:rPr>
        <w:t>残疾人企业</w:t>
      </w:r>
      <w:r>
        <w:rPr>
          <w:rFonts w:hint="eastAsia" w:ascii="宋体" w:hAnsi="宋体" w:eastAsia="宋体" w:cs="宋体"/>
          <w:kern w:val="0"/>
          <w:sz w:val="24"/>
          <w:szCs w:val="24"/>
          <w:highlight w:val="none"/>
          <w:lang w:eastAsia="zh-CN"/>
        </w:rPr>
        <w:t>应当提供《残疾人福利性单位声明函》，并对声明的真实性负责，否则均不予认定。</w:t>
      </w:r>
      <w:r>
        <w:rPr>
          <w:rFonts w:hint="eastAsia" w:ascii="宋体" w:hAnsi="宋体" w:eastAsia="宋体" w:cs="宋体"/>
          <w:kern w:val="0"/>
          <w:sz w:val="24"/>
          <w:szCs w:val="24"/>
          <w:highlight w:val="none"/>
          <w:lang w:val="en-US" w:eastAsia="zh-CN"/>
        </w:rPr>
        <w:t>以上政策</w:t>
      </w:r>
      <w:r>
        <w:rPr>
          <w:rFonts w:hint="eastAsia" w:ascii="宋体" w:hAnsi="宋体" w:eastAsia="宋体" w:cs="宋体"/>
          <w:kern w:val="0"/>
          <w:sz w:val="24"/>
          <w:szCs w:val="24"/>
          <w:highlight w:val="none"/>
          <w:lang w:eastAsia="zh-CN"/>
        </w:rPr>
        <w:t>不重复享</w:t>
      </w:r>
      <w:r>
        <w:rPr>
          <w:rFonts w:hint="eastAsia" w:ascii="宋体" w:hAnsi="宋体" w:eastAsia="宋体" w:cs="宋体"/>
          <w:kern w:val="0"/>
          <w:sz w:val="24"/>
          <w:szCs w:val="24"/>
          <w:highlight w:val="none"/>
          <w:lang w:val="en-US" w:eastAsia="zh-CN"/>
        </w:rPr>
        <w:t>受</w:t>
      </w:r>
      <w:r>
        <w:rPr>
          <w:rFonts w:hint="eastAsia" w:ascii="宋体" w:hAnsi="宋体" w:eastAsia="宋体" w:cs="宋体"/>
          <w:kern w:val="0"/>
          <w:sz w:val="24"/>
          <w:szCs w:val="24"/>
          <w:highlight w:val="none"/>
          <w:lang w:eastAsia="zh-CN"/>
        </w:rPr>
        <w:t>。</w:t>
      </w:r>
    </w:p>
    <w:p w14:paraId="038797BC">
      <w:pPr>
        <w:keepNext w:val="0"/>
        <w:keepLines w:val="0"/>
        <w:pageBreakBefore w:val="0"/>
        <w:widowControl/>
        <w:numPr>
          <w:ilvl w:val="0"/>
          <w:numId w:val="0"/>
        </w:numPr>
        <w:kinsoku/>
        <w:wordWrap/>
        <w:overflowPunct/>
        <w:topLinePunct w:val="0"/>
        <w:bidi w:val="0"/>
        <w:adjustRightInd w:val="0"/>
        <w:snapToGrid w:val="0"/>
        <w:spacing w:line="360" w:lineRule="auto"/>
        <w:ind w:left="0" w:leftChars="0" w:firstLine="400" w:firstLineChars="0"/>
        <w:jc w:val="left"/>
        <w:rPr>
          <w:rFonts w:hint="default" w:ascii="宋体" w:hAnsi="宋体" w:eastAsia="宋体" w:cs="宋体"/>
          <w:kern w:val="0"/>
          <w:sz w:val="24"/>
          <w:szCs w:val="24"/>
          <w:highlight w:val="none"/>
          <w:lang w:val="en-US" w:eastAsia="zh-CN"/>
        </w:rPr>
      </w:pPr>
      <w:r>
        <w:rPr>
          <w:rFonts w:hint="default" w:ascii="宋体" w:hAnsi="宋体" w:eastAsia="宋体" w:cs="宋体"/>
          <w:kern w:val="0"/>
          <w:sz w:val="24"/>
          <w:szCs w:val="24"/>
          <w:highlight w:val="none"/>
          <w:lang w:val="en-US" w:eastAsia="zh-CN" w:bidi="ar-SA"/>
        </w:rPr>
        <w:t>4</w:t>
      </w:r>
      <w:r>
        <w:rPr>
          <w:rFonts w:hint="eastAsia" w:ascii="宋体" w:hAnsi="宋体" w:cs="宋体"/>
          <w:kern w:val="0"/>
          <w:sz w:val="24"/>
          <w:szCs w:val="24"/>
          <w:highlight w:val="none"/>
          <w:lang w:val="en-US" w:eastAsia="zh-CN" w:bidi="ar-SA"/>
        </w:rPr>
        <w:t>.</w:t>
      </w:r>
      <w:r>
        <w:rPr>
          <w:rFonts w:hint="eastAsia" w:ascii="宋体" w:hAnsi="宋体" w:eastAsia="宋体" w:cs="宋体"/>
          <w:kern w:val="0"/>
          <w:sz w:val="24"/>
          <w:szCs w:val="24"/>
          <w:highlight w:val="none"/>
          <w:lang w:val="en-US" w:eastAsia="zh-CN"/>
        </w:rPr>
        <w:t>根据《国务院办公厅关于在政府采购中实施本国产品标准及相关政策的通知》（国办发﹝2025﹞34号）规定，政府采购活动中既有本国产品又有非本国产品参与竞争的，依法对本国产品给予价格评审优惠，对本国产品的报价给予20%的价格扣除，用扣除后的价格参与评审。即投标人提供的产品既有本国产品和非本国产品的，应当按照规定出具《关于符合本国产品标准的声明函》，并说明各项本国产品成本明细以及占全部产品成本的比例，投标人为该项采购项目或者采购包提供的符合产品标准的产品成本之和占该投标人提供的全部产品成本之和的比例达到80%以上时，对该投标人提供的全部产品的总报价给予20%的价格扣除，用扣除后的价格参与评审。</w:t>
      </w:r>
    </w:p>
    <w:p w14:paraId="684BF35E">
      <w:pPr>
        <w:keepNext w:val="0"/>
        <w:keepLines w:val="0"/>
        <w:pageBreakBefore w:val="0"/>
        <w:widowControl/>
        <w:numPr>
          <w:ilvl w:val="0"/>
          <w:numId w:val="0"/>
        </w:numPr>
        <w:kinsoku/>
        <w:wordWrap/>
        <w:overflowPunct/>
        <w:topLinePunct w:val="0"/>
        <w:bidi w:val="0"/>
        <w:adjustRightInd w:val="0"/>
        <w:snapToGrid w:val="0"/>
        <w:spacing w:line="360" w:lineRule="auto"/>
        <w:ind w:left="0" w:leftChars="0" w:firstLine="400" w:firstLineChars="0"/>
        <w:jc w:val="left"/>
        <w:rPr>
          <w:rFonts w:hint="eastAsia" w:ascii="宋体" w:hAnsi="宋体" w:eastAsia="宋体" w:cs="宋体"/>
          <w:kern w:val="0"/>
          <w:sz w:val="24"/>
          <w:szCs w:val="24"/>
          <w:highlight w:val="none"/>
          <w:lang w:eastAsia="zh-CN"/>
        </w:rPr>
      </w:pPr>
      <w:r>
        <w:rPr>
          <w:rFonts w:hint="default" w:ascii="宋体" w:hAnsi="宋体" w:eastAsia="宋体" w:cs="宋体"/>
          <w:kern w:val="0"/>
          <w:sz w:val="24"/>
          <w:szCs w:val="24"/>
          <w:highlight w:val="none"/>
          <w:lang w:val="en-US" w:eastAsia="zh-CN" w:bidi="ar-SA"/>
        </w:rPr>
        <w:t>5</w:t>
      </w:r>
      <w:r>
        <w:rPr>
          <w:rFonts w:hint="eastAsia" w:ascii="宋体" w:hAnsi="宋体" w:cs="宋体"/>
          <w:kern w:val="0"/>
          <w:sz w:val="24"/>
          <w:szCs w:val="24"/>
          <w:highlight w:val="none"/>
          <w:lang w:val="en-US" w:eastAsia="zh-CN" w:bidi="ar-SA"/>
        </w:rPr>
        <w:t>.</w:t>
      </w:r>
      <w:r>
        <w:rPr>
          <w:rFonts w:hint="eastAsia" w:ascii="宋体" w:hAnsi="宋体" w:eastAsia="宋体" w:cs="宋体"/>
          <w:kern w:val="0"/>
          <w:sz w:val="24"/>
          <w:szCs w:val="24"/>
          <w:highlight w:val="none"/>
          <w:lang w:eastAsia="zh-CN"/>
        </w:rPr>
        <w:t>涉及商品包装或快递包装的，按照《财政部办公厅、生态环境部办公厅、国家邮政局办公室关于印发&lt;商品包装政府采购需求标准（试行）&gt;、&lt;快递包装政府采购需求标准（试行）&gt;的通知》（财办库〔2020〕123号）、《绿色数据中心政府采购需求标准（试行）》（财库〔2023〕7号）</w:t>
      </w:r>
      <w:r>
        <w:rPr>
          <w:rFonts w:hint="eastAsia" w:ascii="宋体" w:hAnsi="宋体" w:eastAsia="宋体" w:cs="宋体"/>
          <w:kern w:val="0"/>
          <w:sz w:val="24"/>
          <w:szCs w:val="24"/>
          <w:highlight w:val="none"/>
          <w:lang w:val="en-US" w:eastAsia="zh-CN"/>
        </w:rPr>
        <w:t>规定</w:t>
      </w:r>
      <w:r>
        <w:rPr>
          <w:rFonts w:hint="eastAsia" w:ascii="宋体" w:hAnsi="宋体" w:eastAsia="宋体" w:cs="宋体"/>
          <w:kern w:val="0"/>
          <w:sz w:val="24"/>
          <w:szCs w:val="24"/>
          <w:highlight w:val="none"/>
          <w:lang w:eastAsia="zh-CN"/>
        </w:rPr>
        <w:t>执行。</w:t>
      </w:r>
    </w:p>
    <w:p w14:paraId="7E179169">
      <w:pPr>
        <w:keepNext w:val="0"/>
        <w:keepLines w:val="0"/>
        <w:pageBreakBefore w:val="0"/>
        <w:widowControl/>
        <w:numPr>
          <w:ilvl w:val="0"/>
          <w:numId w:val="0"/>
        </w:numPr>
        <w:kinsoku/>
        <w:wordWrap/>
        <w:overflowPunct/>
        <w:topLinePunct w:val="0"/>
        <w:bidi w:val="0"/>
        <w:adjustRightInd w:val="0"/>
        <w:snapToGrid w:val="0"/>
        <w:spacing w:line="360" w:lineRule="auto"/>
        <w:ind w:left="0" w:leftChars="0" w:firstLine="400" w:firstLineChars="0"/>
        <w:jc w:val="left"/>
        <w:rPr>
          <w:rFonts w:hint="eastAsia" w:ascii="宋体" w:hAnsi="宋体" w:eastAsia="宋体" w:cs="宋体"/>
          <w:kern w:val="0"/>
          <w:sz w:val="24"/>
          <w:szCs w:val="24"/>
          <w:highlight w:val="none"/>
          <w:lang w:eastAsia="zh-CN"/>
        </w:rPr>
      </w:pPr>
      <w:r>
        <w:rPr>
          <w:rFonts w:hint="default" w:ascii="宋体" w:hAnsi="宋体" w:eastAsia="宋体" w:cs="宋体"/>
          <w:kern w:val="0"/>
          <w:sz w:val="24"/>
          <w:szCs w:val="24"/>
          <w:lang w:val="en-US" w:eastAsia="zh-CN" w:bidi="ar-SA"/>
        </w:rPr>
        <w:t>6</w:t>
      </w:r>
      <w:r>
        <w:rPr>
          <w:rFonts w:hint="eastAsia" w:ascii="宋体" w:hAnsi="宋体" w:cs="宋体"/>
          <w:kern w:val="0"/>
          <w:sz w:val="24"/>
          <w:szCs w:val="24"/>
          <w:lang w:val="en-US" w:eastAsia="zh-CN" w:bidi="ar-SA"/>
        </w:rPr>
        <w:t>.</w:t>
      </w:r>
      <w:r>
        <w:rPr>
          <w:rFonts w:hint="eastAsia" w:ascii="宋体" w:hAnsi="宋体" w:eastAsia="宋体" w:cs="宋体"/>
          <w:kern w:val="0"/>
          <w:sz w:val="24"/>
          <w:szCs w:val="24"/>
          <w:highlight w:val="none"/>
          <w:lang w:eastAsia="zh-CN"/>
        </w:rPr>
        <w:t>按照《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文件要求，对政府采购节能、环境标志品目清单内的产品实施优先采购和强制采购的评标方法。</w:t>
      </w:r>
    </w:p>
    <w:p w14:paraId="0B23F5F2">
      <w:pPr>
        <w:pStyle w:val="7"/>
        <w:keepNext w:val="0"/>
        <w:keepLines w:val="0"/>
        <w:pageBreakBefore w:val="0"/>
        <w:widowControl/>
        <w:numPr>
          <w:ilvl w:val="0"/>
          <w:numId w:val="0"/>
        </w:numPr>
        <w:kinsoku/>
        <w:wordWrap/>
        <w:overflowPunct/>
        <w:topLinePunct w:val="0"/>
        <w:bidi w:val="0"/>
        <w:adjustRightInd w:val="0"/>
        <w:snapToGrid w:val="0"/>
        <w:spacing w:line="360" w:lineRule="auto"/>
        <w:ind w:left="561" w:leftChars="0" w:hanging="561" w:hangingChars="233"/>
        <w:jc w:val="left"/>
        <w:rPr>
          <w:rFonts w:ascii="宋体"/>
          <w:b/>
          <w:kern w:val="0"/>
          <w:sz w:val="24"/>
          <w:szCs w:val="24"/>
        </w:rPr>
      </w:pPr>
      <w:r>
        <w:rPr>
          <w:rFonts w:hint="default" w:ascii="宋体" w:hAnsi="Times New Roman" w:eastAsia="宋体" w:cs="Times New Roman"/>
          <w:b/>
          <w:kern w:val="0"/>
          <w:sz w:val="24"/>
          <w:szCs w:val="24"/>
          <w:lang w:val="en-US" w:eastAsia="zh-CN" w:bidi="ar-SA"/>
        </w:rPr>
        <w:t>五、</w:t>
      </w:r>
      <w:r>
        <w:rPr>
          <w:rFonts w:hint="eastAsia" w:ascii="宋体"/>
          <w:b/>
          <w:kern w:val="0"/>
          <w:sz w:val="24"/>
          <w:szCs w:val="24"/>
        </w:rPr>
        <w:t>采购标的任务及需实现的目标</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4661"/>
        <w:gridCol w:w="715"/>
        <w:gridCol w:w="715"/>
        <w:gridCol w:w="2194"/>
      </w:tblGrid>
      <w:tr w14:paraId="285A4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 w:hRule="atLeast"/>
        </w:trPr>
        <w:tc>
          <w:tcPr>
            <w:tcW w:w="397" w:type="pct"/>
            <w:vAlign w:val="center"/>
          </w:tcPr>
          <w:p w14:paraId="0A910EF5">
            <w:pPr>
              <w:adjustRightInd w:val="0"/>
              <w:snapToGrid w:val="0"/>
              <w:spacing w:line="360" w:lineRule="auto"/>
              <w:jc w:val="both"/>
              <w:rPr>
                <w:rFonts w:hint="eastAsia" w:ascii="宋体" w:hAnsi="宋体" w:eastAsia="宋体" w:cs="宋体"/>
                <w:b w:val="0"/>
                <w:bCs/>
                <w:sz w:val="24"/>
                <w:szCs w:val="24"/>
              </w:rPr>
            </w:pPr>
            <w:r>
              <w:rPr>
                <w:rFonts w:hint="eastAsia" w:ascii="宋体" w:hAnsi="宋体" w:eastAsia="宋体" w:cs="宋体"/>
                <w:b w:val="0"/>
                <w:bCs/>
                <w:sz w:val="24"/>
                <w:szCs w:val="24"/>
              </w:rPr>
              <w:t>序号</w:t>
            </w:r>
          </w:p>
        </w:tc>
        <w:tc>
          <w:tcPr>
            <w:tcW w:w="2589" w:type="pct"/>
            <w:vAlign w:val="center"/>
          </w:tcPr>
          <w:p w14:paraId="5D4D85FA">
            <w:pPr>
              <w:adjustRightInd w:val="0"/>
              <w:snapToGrid w:val="0"/>
              <w:spacing w:line="360" w:lineRule="auto"/>
              <w:jc w:val="both"/>
              <w:rPr>
                <w:rFonts w:hint="eastAsia" w:ascii="宋体" w:hAnsi="宋体" w:eastAsia="宋体" w:cs="宋体"/>
                <w:b w:val="0"/>
                <w:bCs/>
                <w:sz w:val="24"/>
                <w:szCs w:val="24"/>
              </w:rPr>
            </w:pPr>
            <w:r>
              <w:rPr>
                <w:rFonts w:hint="eastAsia" w:ascii="宋体" w:hAnsi="宋体" w:eastAsia="宋体" w:cs="宋体"/>
                <w:b w:val="0"/>
                <w:bCs/>
                <w:sz w:val="24"/>
                <w:szCs w:val="24"/>
              </w:rPr>
              <w:t>设备名称</w:t>
            </w:r>
          </w:p>
        </w:tc>
        <w:tc>
          <w:tcPr>
            <w:tcW w:w="397" w:type="pct"/>
            <w:shd w:val="clear" w:color="auto" w:fill="auto"/>
            <w:vAlign w:val="center"/>
          </w:tcPr>
          <w:p w14:paraId="6030812A">
            <w:pPr>
              <w:adjustRightInd w:val="0"/>
              <w:snapToGrid w:val="0"/>
              <w:spacing w:line="360" w:lineRule="auto"/>
              <w:jc w:val="both"/>
              <w:rPr>
                <w:rFonts w:hint="eastAsia" w:ascii="宋体" w:hAnsi="宋体" w:eastAsia="宋体" w:cs="宋体"/>
                <w:b w:val="0"/>
                <w:bCs/>
                <w:kern w:val="2"/>
                <w:sz w:val="24"/>
                <w:szCs w:val="24"/>
                <w:lang w:val="en-US" w:eastAsia="zh-CN" w:bidi="ar-SA"/>
              </w:rPr>
            </w:pPr>
            <w:r>
              <w:rPr>
                <w:rFonts w:hint="eastAsia" w:ascii="宋体" w:hAnsi="宋体" w:eastAsia="宋体" w:cs="宋体"/>
                <w:b w:val="0"/>
                <w:bCs/>
                <w:sz w:val="24"/>
                <w:szCs w:val="24"/>
              </w:rPr>
              <w:t>数量</w:t>
            </w:r>
          </w:p>
        </w:tc>
        <w:tc>
          <w:tcPr>
            <w:tcW w:w="397" w:type="pct"/>
            <w:vAlign w:val="center"/>
          </w:tcPr>
          <w:p w14:paraId="32607397">
            <w:pPr>
              <w:adjustRightInd w:val="0"/>
              <w:snapToGrid w:val="0"/>
              <w:spacing w:line="360" w:lineRule="auto"/>
              <w:jc w:val="both"/>
              <w:rPr>
                <w:rFonts w:hint="eastAsia" w:ascii="宋体" w:hAnsi="宋体" w:eastAsia="宋体" w:cs="宋体"/>
                <w:b w:val="0"/>
                <w:bCs/>
                <w:sz w:val="24"/>
                <w:szCs w:val="24"/>
              </w:rPr>
            </w:pPr>
            <w:r>
              <w:rPr>
                <w:rFonts w:hint="eastAsia" w:ascii="宋体" w:hAnsi="宋体" w:cs="宋体"/>
                <w:b w:val="0"/>
                <w:bCs/>
                <w:sz w:val="24"/>
                <w:szCs w:val="24"/>
                <w:lang w:val="en-US" w:eastAsia="zh-CN"/>
              </w:rPr>
              <w:t>单位</w:t>
            </w:r>
          </w:p>
        </w:tc>
        <w:tc>
          <w:tcPr>
            <w:tcW w:w="1219" w:type="pct"/>
            <w:vAlign w:val="center"/>
          </w:tcPr>
          <w:p w14:paraId="2C7C4B41">
            <w:pPr>
              <w:adjustRightInd w:val="0"/>
              <w:snapToGrid w:val="0"/>
              <w:spacing w:line="360" w:lineRule="auto"/>
              <w:jc w:val="both"/>
              <w:rPr>
                <w:rFonts w:hint="eastAsia" w:ascii="宋体" w:hAnsi="宋体" w:eastAsia="宋体" w:cs="宋体"/>
                <w:b w:val="0"/>
                <w:bCs/>
                <w:sz w:val="24"/>
                <w:szCs w:val="24"/>
              </w:rPr>
            </w:pPr>
            <w:r>
              <w:rPr>
                <w:rFonts w:hint="eastAsia" w:ascii="宋体" w:hAnsi="宋体" w:cs="宋体"/>
                <w:b w:val="0"/>
                <w:bCs/>
                <w:sz w:val="24"/>
                <w:szCs w:val="24"/>
                <w:lang w:val="en-US" w:eastAsia="zh-CN"/>
              </w:rPr>
              <w:t>单价控制价（元）</w:t>
            </w:r>
          </w:p>
        </w:tc>
      </w:tr>
      <w:tr w14:paraId="7C5AD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97" w:type="pct"/>
            <w:vAlign w:val="center"/>
          </w:tcPr>
          <w:p w14:paraId="0B724142">
            <w:pPr>
              <w:adjustRightInd w:val="0"/>
              <w:snapToGrid w:val="0"/>
              <w:spacing w:line="360" w:lineRule="auto"/>
              <w:jc w:val="both"/>
              <w:rPr>
                <w:rFonts w:hint="eastAsia" w:ascii="宋体" w:hAnsi="宋体" w:eastAsia="宋体" w:cs="宋体"/>
                <w:b w:val="0"/>
                <w:bCs/>
                <w:sz w:val="24"/>
                <w:szCs w:val="24"/>
              </w:rPr>
            </w:pPr>
            <w:r>
              <w:rPr>
                <w:rFonts w:hint="eastAsia" w:ascii="宋体" w:hAnsi="宋体" w:eastAsia="宋体" w:cs="宋体"/>
                <w:b w:val="0"/>
                <w:bCs/>
                <w:sz w:val="24"/>
                <w:szCs w:val="24"/>
              </w:rPr>
              <w:t>1</w:t>
            </w:r>
          </w:p>
        </w:tc>
        <w:tc>
          <w:tcPr>
            <w:tcW w:w="2589" w:type="pct"/>
            <w:vAlign w:val="center"/>
          </w:tcPr>
          <w:p w14:paraId="1A20F796">
            <w:pPr>
              <w:adjustRightInd w:val="0"/>
              <w:snapToGrid w:val="0"/>
              <w:spacing w:line="360" w:lineRule="auto"/>
              <w:jc w:val="both"/>
              <w:rPr>
                <w:rFonts w:hint="eastAsia" w:ascii="宋体" w:hAnsi="宋体" w:eastAsia="宋体" w:cs="宋体"/>
                <w:b w:val="0"/>
                <w:bCs/>
                <w:sz w:val="24"/>
                <w:szCs w:val="24"/>
              </w:rPr>
            </w:pPr>
            <w:r>
              <w:rPr>
                <w:rFonts w:hint="eastAsia" w:ascii="宋体" w:hAnsi="宋体" w:eastAsia="宋体" w:cs="宋体"/>
                <w:b w:val="0"/>
                <w:bCs/>
                <w:sz w:val="24"/>
                <w:szCs w:val="24"/>
              </w:rPr>
              <w:t>驱动电机控制系统检测与维修教学实训台</w:t>
            </w:r>
          </w:p>
        </w:tc>
        <w:tc>
          <w:tcPr>
            <w:tcW w:w="397" w:type="pct"/>
            <w:shd w:val="clear" w:color="auto" w:fill="auto"/>
            <w:vAlign w:val="center"/>
          </w:tcPr>
          <w:p w14:paraId="148802E9">
            <w:pPr>
              <w:adjustRightInd w:val="0"/>
              <w:snapToGrid w:val="0"/>
              <w:spacing w:line="360" w:lineRule="auto"/>
              <w:jc w:val="both"/>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w:t>
            </w:r>
          </w:p>
        </w:tc>
        <w:tc>
          <w:tcPr>
            <w:tcW w:w="397" w:type="pct"/>
            <w:vAlign w:val="center"/>
          </w:tcPr>
          <w:p w14:paraId="47901595">
            <w:pPr>
              <w:adjustRightInd w:val="0"/>
              <w:snapToGrid w:val="0"/>
              <w:spacing w:line="360" w:lineRule="auto"/>
              <w:jc w:val="both"/>
              <w:rPr>
                <w:rFonts w:hint="eastAsia" w:ascii="宋体" w:hAnsi="宋体" w:eastAsia="宋体" w:cs="宋体"/>
                <w:b w:val="0"/>
                <w:bCs/>
                <w:sz w:val="24"/>
                <w:szCs w:val="24"/>
                <w:lang w:val="en-US" w:eastAsia="zh-CN"/>
              </w:rPr>
            </w:pPr>
            <w:r>
              <w:rPr>
                <w:rFonts w:hint="eastAsia" w:ascii="宋体" w:hAnsi="宋体" w:cs="宋体"/>
                <w:b w:val="0"/>
                <w:bCs/>
                <w:sz w:val="24"/>
                <w:szCs w:val="24"/>
                <w:lang w:val="en-US" w:eastAsia="zh-CN"/>
              </w:rPr>
              <w:t>套</w:t>
            </w:r>
          </w:p>
        </w:tc>
        <w:tc>
          <w:tcPr>
            <w:tcW w:w="2194" w:type="dxa"/>
            <w:vAlign w:val="center"/>
          </w:tcPr>
          <w:p w14:paraId="4319B4D8">
            <w:pPr>
              <w:keepNext w:val="0"/>
              <w:keepLines w:val="0"/>
              <w:widowControl/>
              <w:suppressLineNumbers w:val="0"/>
              <w:snapToGrid w:val="0"/>
              <w:spacing w:line="360" w:lineRule="auto"/>
              <w:jc w:val="both"/>
              <w:textAlignment w:val="auto"/>
              <w:rPr>
                <w:rFonts w:hint="eastAsia" w:ascii="宋体" w:hAnsi="宋体" w:eastAsia="宋体" w:cs="宋体"/>
                <w:b w:val="0"/>
                <w:bCs/>
                <w:sz w:val="24"/>
                <w:szCs w:val="24"/>
              </w:rPr>
            </w:pPr>
            <w:r>
              <w:rPr>
                <w:rFonts w:hint="eastAsia" w:ascii="宋体" w:hAnsi="宋体" w:eastAsia="宋体" w:cs="宋体"/>
                <w:bCs/>
                <w:i w:val="0"/>
                <w:iCs w:val="0"/>
                <w:kern w:val="2"/>
                <w:sz w:val="24"/>
                <w:szCs w:val="24"/>
                <w:u w:val="none"/>
                <w:lang w:val="en-US" w:eastAsia="zh-CN" w:bidi="ar"/>
              </w:rPr>
              <w:t>184000</w:t>
            </w:r>
          </w:p>
        </w:tc>
      </w:tr>
      <w:tr w14:paraId="01D6B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97" w:type="pct"/>
            <w:vAlign w:val="center"/>
          </w:tcPr>
          <w:p w14:paraId="6E52F796">
            <w:pPr>
              <w:adjustRightInd w:val="0"/>
              <w:snapToGrid w:val="0"/>
              <w:spacing w:line="360" w:lineRule="auto"/>
              <w:jc w:val="both"/>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w:t>
            </w:r>
          </w:p>
        </w:tc>
        <w:tc>
          <w:tcPr>
            <w:tcW w:w="2589" w:type="pct"/>
            <w:vAlign w:val="center"/>
          </w:tcPr>
          <w:p w14:paraId="22A8BAB5">
            <w:pPr>
              <w:adjustRightInd w:val="0"/>
              <w:snapToGrid w:val="0"/>
              <w:spacing w:line="360" w:lineRule="auto"/>
              <w:jc w:val="both"/>
              <w:rPr>
                <w:rFonts w:hint="eastAsia" w:ascii="宋体" w:hAnsi="宋体" w:eastAsia="宋体" w:cs="宋体"/>
                <w:b w:val="0"/>
                <w:bCs/>
                <w:sz w:val="24"/>
                <w:szCs w:val="24"/>
              </w:rPr>
            </w:pPr>
            <w:r>
              <w:rPr>
                <w:rFonts w:hint="eastAsia" w:ascii="宋体" w:hAnsi="宋体" w:eastAsia="宋体" w:cs="宋体"/>
                <w:b w:val="0"/>
                <w:bCs/>
                <w:sz w:val="24"/>
                <w:szCs w:val="24"/>
              </w:rPr>
              <w:t>驱动电机系统检测与维修工量具</w:t>
            </w:r>
          </w:p>
        </w:tc>
        <w:tc>
          <w:tcPr>
            <w:tcW w:w="397" w:type="pct"/>
            <w:shd w:val="clear" w:color="auto" w:fill="auto"/>
            <w:vAlign w:val="center"/>
          </w:tcPr>
          <w:p w14:paraId="6284BA0A">
            <w:pPr>
              <w:adjustRightInd w:val="0"/>
              <w:snapToGrid w:val="0"/>
              <w:spacing w:line="360" w:lineRule="auto"/>
              <w:jc w:val="both"/>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w:t>
            </w:r>
          </w:p>
        </w:tc>
        <w:tc>
          <w:tcPr>
            <w:tcW w:w="397" w:type="pct"/>
            <w:vAlign w:val="center"/>
          </w:tcPr>
          <w:p w14:paraId="04B751D2">
            <w:pPr>
              <w:adjustRightInd w:val="0"/>
              <w:snapToGrid w:val="0"/>
              <w:spacing w:line="360" w:lineRule="auto"/>
              <w:jc w:val="both"/>
              <w:rPr>
                <w:rFonts w:hint="eastAsia" w:ascii="宋体" w:hAnsi="宋体" w:eastAsia="宋体" w:cs="宋体"/>
                <w:b w:val="0"/>
                <w:bCs/>
                <w:sz w:val="24"/>
                <w:szCs w:val="24"/>
              </w:rPr>
            </w:pPr>
            <w:r>
              <w:rPr>
                <w:rFonts w:hint="eastAsia" w:ascii="宋体" w:hAnsi="宋体" w:cs="宋体"/>
                <w:b w:val="0"/>
                <w:bCs/>
                <w:sz w:val="24"/>
                <w:szCs w:val="24"/>
                <w:lang w:val="en-US" w:eastAsia="zh-CN"/>
              </w:rPr>
              <w:t>套</w:t>
            </w:r>
          </w:p>
        </w:tc>
        <w:tc>
          <w:tcPr>
            <w:tcW w:w="2194" w:type="dxa"/>
            <w:vAlign w:val="center"/>
          </w:tcPr>
          <w:p w14:paraId="45383473">
            <w:pPr>
              <w:keepNext w:val="0"/>
              <w:keepLines w:val="0"/>
              <w:widowControl/>
              <w:suppressLineNumbers w:val="0"/>
              <w:snapToGrid w:val="0"/>
              <w:spacing w:line="360" w:lineRule="auto"/>
              <w:jc w:val="both"/>
              <w:textAlignment w:val="auto"/>
              <w:rPr>
                <w:rFonts w:hint="eastAsia" w:ascii="宋体" w:hAnsi="宋体" w:eastAsia="宋体" w:cs="宋体"/>
                <w:b w:val="0"/>
                <w:bCs/>
                <w:sz w:val="24"/>
                <w:szCs w:val="24"/>
              </w:rPr>
            </w:pPr>
            <w:r>
              <w:rPr>
                <w:rFonts w:hint="eastAsia" w:ascii="宋体" w:hAnsi="宋体" w:eastAsia="宋体" w:cs="宋体"/>
                <w:bCs/>
                <w:i w:val="0"/>
                <w:iCs w:val="0"/>
                <w:kern w:val="2"/>
                <w:sz w:val="24"/>
                <w:szCs w:val="24"/>
                <w:u w:val="none"/>
                <w:lang w:val="en-US" w:eastAsia="zh-CN" w:bidi="ar"/>
              </w:rPr>
              <w:t>18900</w:t>
            </w:r>
          </w:p>
        </w:tc>
      </w:tr>
      <w:tr w14:paraId="12023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97" w:type="pct"/>
            <w:vAlign w:val="center"/>
          </w:tcPr>
          <w:p w14:paraId="6B0EE636">
            <w:pPr>
              <w:adjustRightInd w:val="0"/>
              <w:snapToGrid w:val="0"/>
              <w:spacing w:line="360" w:lineRule="auto"/>
              <w:jc w:val="both"/>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w:t>
            </w:r>
          </w:p>
        </w:tc>
        <w:tc>
          <w:tcPr>
            <w:tcW w:w="2589" w:type="pct"/>
            <w:vAlign w:val="center"/>
          </w:tcPr>
          <w:p w14:paraId="301A383E">
            <w:pPr>
              <w:adjustRightInd w:val="0"/>
              <w:snapToGrid w:val="0"/>
              <w:spacing w:line="360" w:lineRule="auto"/>
              <w:jc w:val="both"/>
              <w:rPr>
                <w:rFonts w:hint="eastAsia" w:ascii="宋体" w:hAnsi="宋体" w:eastAsia="宋体" w:cs="宋体"/>
                <w:b w:val="0"/>
                <w:bCs/>
                <w:sz w:val="24"/>
                <w:szCs w:val="24"/>
              </w:rPr>
            </w:pPr>
            <w:r>
              <w:rPr>
                <w:rFonts w:hint="eastAsia" w:ascii="宋体" w:hAnsi="宋体" w:eastAsia="宋体" w:cs="宋体"/>
                <w:b w:val="0"/>
                <w:bCs/>
                <w:sz w:val="24"/>
                <w:szCs w:val="24"/>
              </w:rPr>
              <w:t>动力电池管理系统教学实训台</w:t>
            </w:r>
          </w:p>
        </w:tc>
        <w:tc>
          <w:tcPr>
            <w:tcW w:w="397" w:type="pct"/>
            <w:shd w:val="clear" w:color="auto" w:fill="auto"/>
            <w:vAlign w:val="center"/>
          </w:tcPr>
          <w:p w14:paraId="434E11D4">
            <w:pPr>
              <w:adjustRightInd w:val="0"/>
              <w:snapToGrid w:val="0"/>
              <w:spacing w:line="360" w:lineRule="auto"/>
              <w:jc w:val="both"/>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w:t>
            </w:r>
          </w:p>
        </w:tc>
        <w:tc>
          <w:tcPr>
            <w:tcW w:w="397" w:type="pct"/>
            <w:vAlign w:val="center"/>
          </w:tcPr>
          <w:p w14:paraId="5EBA89C0">
            <w:pPr>
              <w:adjustRightInd w:val="0"/>
              <w:snapToGrid w:val="0"/>
              <w:spacing w:line="360" w:lineRule="auto"/>
              <w:jc w:val="both"/>
              <w:rPr>
                <w:rFonts w:hint="eastAsia" w:ascii="宋体" w:hAnsi="宋体" w:eastAsia="宋体" w:cs="宋体"/>
                <w:b w:val="0"/>
                <w:bCs/>
                <w:sz w:val="24"/>
                <w:szCs w:val="24"/>
              </w:rPr>
            </w:pPr>
            <w:r>
              <w:rPr>
                <w:rFonts w:hint="eastAsia" w:ascii="宋体" w:hAnsi="宋体" w:cs="宋体"/>
                <w:b w:val="0"/>
                <w:bCs/>
                <w:sz w:val="24"/>
                <w:szCs w:val="24"/>
                <w:lang w:val="en-US" w:eastAsia="zh-CN"/>
              </w:rPr>
              <w:t>套</w:t>
            </w:r>
          </w:p>
        </w:tc>
        <w:tc>
          <w:tcPr>
            <w:tcW w:w="2194" w:type="dxa"/>
            <w:vAlign w:val="center"/>
          </w:tcPr>
          <w:p w14:paraId="01690171">
            <w:pPr>
              <w:keepNext w:val="0"/>
              <w:keepLines w:val="0"/>
              <w:widowControl/>
              <w:suppressLineNumbers w:val="0"/>
              <w:snapToGrid w:val="0"/>
              <w:spacing w:line="360" w:lineRule="auto"/>
              <w:jc w:val="both"/>
              <w:textAlignment w:val="auto"/>
              <w:rPr>
                <w:rFonts w:hint="eastAsia" w:ascii="宋体" w:hAnsi="宋体" w:eastAsia="宋体" w:cs="宋体"/>
                <w:b w:val="0"/>
                <w:bCs/>
                <w:sz w:val="24"/>
                <w:szCs w:val="24"/>
              </w:rPr>
            </w:pPr>
            <w:r>
              <w:rPr>
                <w:rFonts w:hint="eastAsia" w:ascii="宋体" w:hAnsi="宋体" w:eastAsia="宋体" w:cs="宋体"/>
                <w:bCs/>
                <w:i w:val="0"/>
                <w:iCs w:val="0"/>
                <w:kern w:val="2"/>
                <w:sz w:val="24"/>
                <w:szCs w:val="24"/>
                <w:u w:val="none"/>
                <w:lang w:val="en-US" w:eastAsia="zh-CN" w:bidi="ar"/>
              </w:rPr>
              <w:t>245000</w:t>
            </w:r>
          </w:p>
        </w:tc>
      </w:tr>
      <w:tr w14:paraId="41308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97" w:type="pct"/>
            <w:vAlign w:val="center"/>
          </w:tcPr>
          <w:p w14:paraId="7368A52A">
            <w:pPr>
              <w:adjustRightInd w:val="0"/>
              <w:snapToGrid w:val="0"/>
              <w:spacing w:line="360" w:lineRule="auto"/>
              <w:jc w:val="both"/>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w:t>
            </w:r>
          </w:p>
        </w:tc>
        <w:tc>
          <w:tcPr>
            <w:tcW w:w="2589" w:type="pct"/>
            <w:vAlign w:val="center"/>
          </w:tcPr>
          <w:p w14:paraId="08FA304D">
            <w:pPr>
              <w:adjustRightInd w:val="0"/>
              <w:snapToGrid w:val="0"/>
              <w:spacing w:line="360" w:lineRule="auto"/>
              <w:jc w:val="both"/>
              <w:rPr>
                <w:rFonts w:hint="eastAsia" w:ascii="宋体" w:hAnsi="宋体" w:eastAsia="宋体" w:cs="宋体"/>
                <w:b w:val="0"/>
                <w:bCs/>
                <w:sz w:val="24"/>
                <w:szCs w:val="24"/>
              </w:rPr>
            </w:pPr>
            <w:r>
              <w:rPr>
                <w:rFonts w:hint="eastAsia" w:ascii="宋体" w:hAnsi="宋体" w:eastAsia="宋体" w:cs="宋体"/>
                <w:b w:val="0"/>
                <w:bCs/>
                <w:sz w:val="24"/>
                <w:szCs w:val="24"/>
              </w:rPr>
              <w:t>制冷剂充注机</w:t>
            </w:r>
          </w:p>
        </w:tc>
        <w:tc>
          <w:tcPr>
            <w:tcW w:w="397" w:type="pct"/>
            <w:shd w:val="clear" w:color="auto" w:fill="auto"/>
            <w:vAlign w:val="center"/>
          </w:tcPr>
          <w:p w14:paraId="0414D487">
            <w:pPr>
              <w:adjustRightInd w:val="0"/>
              <w:snapToGrid w:val="0"/>
              <w:spacing w:line="360" w:lineRule="auto"/>
              <w:jc w:val="both"/>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w:t>
            </w:r>
          </w:p>
        </w:tc>
        <w:tc>
          <w:tcPr>
            <w:tcW w:w="397" w:type="pct"/>
            <w:vAlign w:val="center"/>
          </w:tcPr>
          <w:p w14:paraId="639AC4B8">
            <w:pPr>
              <w:adjustRightInd w:val="0"/>
              <w:snapToGrid w:val="0"/>
              <w:spacing w:line="360" w:lineRule="auto"/>
              <w:jc w:val="both"/>
              <w:rPr>
                <w:rFonts w:hint="eastAsia" w:ascii="宋体" w:hAnsi="宋体" w:eastAsia="宋体" w:cs="宋体"/>
                <w:b w:val="0"/>
                <w:bCs/>
                <w:sz w:val="24"/>
                <w:szCs w:val="24"/>
              </w:rPr>
            </w:pPr>
            <w:r>
              <w:rPr>
                <w:rFonts w:hint="eastAsia" w:ascii="宋体" w:hAnsi="宋体" w:cs="宋体"/>
                <w:b w:val="0"/>
                <w:bCs/>
                <w:sz w:val="24"/>
                <w:szCs w:val="24"/>
                <w:lang w:val="en-US" w:eastAsia="zh-CN"/>
              </w:rPr>
              <w:t>套</w:t>
            </w:r>
          </w:p>
        </w:tc>
        <w:tc>
          <w:tcPr>
            <w:tcW w:w="2194" w:type="dxa"/>
            <w:vAlign w:val="center"/>
          </w:tcPr>
          <w:p w14:paraId="0DA52B5E">
            <w:pPr>
              <w:keepNext w:val="0"/>
              <w:keepLines w:val="0"/>
              <w:widowControl/>
              <w:suppressLineNumbers w:val="0"/>
              <w:snapToGrid w:val="0"/>
              <w:spacing w:line="360" w:lineRule="auto"/>
              <w:jc w:val="both"/>
              <w:textAlignment w:val="auto"/>
              <w:rPr>
                <w:rFonts w:hint="eastAsia" w:ascii="宋体" w:hAnsi="宋体" w:eastAsia="宋体" w:cs="宋体"/>
                <w:b w:val="0"/>
                <w:bCs/>
                <w:sz w:val="24"/>
                <w:szCs w:val="24"/>
              </w:rPr>
            </w:pPr>
            <w:r>
              <w:rPr>
                <w:rFonts w:hint="eastAsia" w:ascii="宋体" w:hAnsi="宋体" w:eastAsia="宋体" w:cs="宋体"/>
                <w:bCs/>
                <w:i w:val="0"/>
                <w:iCs w:val="0"/>
                <w:kern w:val="2"/>
                <w:sz w:val="24"/>
                <w:szCs w:val="24"/>
                <w:u w:val="none"/>
                <w:lang w:val="en-US" w:eastAsia="zh-CN" w:bidi="ar"/>
              </w:rPr>
              <w:t>5800</w:t>
            </w:r>
          </w:p>
        </w:tc>
      </w:tr>
      <w:tr w14:paraId="202BA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97" w:type="pct"/>
            <w:vAlign w:val="center"/>
          </w:tcPr>
          <w:p w14:paraId="0A4A8BCC">
            <w:pPr>
              <w:adjustRightInd w:val="0"/>
              <w:snapToGrid w:val="0"/>
              <w:spacing w:line="360" w:lineRule="auto"/>
              <w:jc w:val="both"/>
              <w:rPr>
                <w:rFonts w:hint="default" w:ascii="宋体" w:hAnsi="宋体" w:eastAsia="宋体" w:cs="宋体"/>
                <w:b w:val="0"/>
                <w:bCs/>
                <w:sz w:val="24"/>
                <w:szCs w:val="24"/>
                <w:lang w:val="en-US" w:eastAsia="zh-CN"/>
              </w:rPr>
            </w:pPr>
            <w:r>
              <w:rPr>
                <w:rFonts w:hint="eastAsia" w:ascii="宋体" w:hAnsi="宋体" w:cs="宋体"/>
                <w:b w:val="0"/>
                <w:bCs/>
                <w:sz w:val="24"/>
                <w:szCs w:val="24"/>
                <w:lang w:val="en-US" w:eastAsia="zh-CN"/>
              </w:rPr>
              <w:t>5</w:t>
            </w:r>
          </w:p>
        </w:tc>
        <w:tc>
          <w:tcPr>
            <w:tcW w:w="2589" w:type="pct"/>
            <w:vAlign w:val="center"/>
          </w:tcPr>
          <w:p w14:paraId="452E7AD0">
            <w:pPr>
              <w:adjustRightInd w:val="0"/>
              <w:snapToGrid w:val="0"/>
              <w:spacing w:line="360" w:lineRule="auto"/>
              <w:jc w:val="both"/>
              <w:rPr>
                <w:rFonts w:hint="eastAsia" w:ascii="宋体" w:hAnsi="宋体" w:eastAsia="宋体" w:cs="宋体"/>
                <w:b w:val="0"/>
                <w:bCs/>
                <w:sz w:val="24"/>
                <w:szCs w:val="24"/>
              </w:rPr>
            </w:pPr>
            <w:r>
              <w:rPr>
                <w:rFonts w:hint="eastAsia" w:ascii="宋体" w:hAnsi="宋体" w:eastAsia="宋体" w:cs="宋体"/>
                <w:b w:val="0"/>
                <w:bCs/>
                <w:sz w:val="24"/>
                <w:szCs w:val="24"/>
              </w:rPr>
              <w:t>排气分析仪设备</w:t>
            </w:r>
          </w:p>
        </w:tc>
        <w:tc>
          <w:tcPr>
            <w:tcW w:w="397" w:type="pct"/>
            <w:shd w:val="clear" w:color="auto" w:fill="auto"/>
            <w:vAlign w:val="center"/>
          </w:tcPr>
          <w:p w14:paraId="0942007B">
            <w:pPr>
              <w:adjustRightInd w:val="0"/>
              <w:snapToGrid w:val="0"/>
              <w:spacing w:line="360" w:lineRule="auto"/>
              <w:jc w:val="both"/>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w:t>
            </w:r>
          </w:p>
        </w:tc>
        <w:tc>
          <w:tcPr>
            <w:tcW w:w="397" w:type="pct"/>
            <w:vAlign w:val="center"/>
          </w:tcPr>
          <w:p w14:paraId="798C239D">
            <w:pPr>
              <w:adjustRightInd w:val="0"/>
              <w:snapToGrid w:val="0"/>
              <w:spacing w:line="360" w:lineRule="auto"/>
              <w:jc w:val="both"/>
              <w:rPr>
                <w:rFonts w:hint="eastAsia" w:ascii="宋体" w:hAnsi="宋体" w:eastAsia="宋体" w:cs="宋体"/>
                <w:b w:val="0"/>
                <w:bCs/>
                <w:sz w:val="24"/>
                <w:szCs w:val="24"/>
              </w:rPr>
            </w:pPr>
            <w:r>
              <w:rPr>
                <w:rFonts w:hint="eastAsia" w:ascii="宋体" w:hAnsi="宋体" w:cs="宋体"/>
                <w:b w:val="0"/>
                <w:bCs/>
                <w:sz w:val="24"/>
                <w:szCs w:val="24"/>
                <w:lang w:val="en-US" w:eastAsia="zh-CN"/>
              </w:rPr>
              <w:t>套</w:t>
            </w:r>
          </w:p>
        </w:tc>
        <w:tc>
          <w:tcPr>
            <w:tcW w:w="2194" w:type="dxa"/>
            <w:vAlign w:val="center"/>
          </w:tcPr>
          <w:p w14:paraId="7CEF6A30">
            <w:pPr>
              <w:keepNext w:val="0"/>
              <w:keepLines w:val="0"/>
              <w:widowControl/>
              <w:suppressLineNumbers w:val="0"/>
              <w:snapToGrid w:val="0"/>
              <w:spacing w:line="360" w:lineRule="auto"/>
              <w:jc w:val="both"/>
              <w:textAlignment w:val="auto"/>
              <w:rPr>
                <w:rFonts w:hint="eastAsia" w:ascii="宋体" w:hAnsi="宋体" w:eastAsia="宋体" w:cs="宋体"/>
                <w:b w:val="0"/>
                <w:bCs/>
                <w:sz w:val="24"/>
                <w:szCs w:val="24"/>
              </w:rPr>
            </w:pPr>
            <w:r>
              <w:rPr>
                <w:rFonts w:hint="eastAsia" w:ascii="宋体" w:hAnsi="宋体" w:eastAsia="宋体" w:cs="宋体"/>
                <w:bCs/>
                <w:i w:val="0"/>
                <w:iCs w:val="0"/>
                <w:kern w:val="2"/>
                <w:sz w:val="24"/>
                <w:szCs w:val="24"/>
                <w:u w:val="none"/>
                <w:lang w:val="en-US" w:eastAsia="zh-CN" w:bidi="ar"/>
              </w:rPr>
              <w:t>10000</w:t>
            </w:r>
          </w:p>
        </w:tc>
      </w:tr>
      <w:tr w14:paraId="50A46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97" w:type="pct"/>
            <w:vAlign w:val="center"/>
          </w:tcPr>
          <w:p w14:paraId="25B34E43">
            <w:pPr>
              <w:adjustRightInd w:val="0"/>
              <w:snapToGrid w:val="0"/>
              <w:spacing w:line="360" w:lineRule="auto"/>
              <w:jc w:val="both"/>
              <w:rPr>
                <w:rFonts w:hint="default" w:ascii="宋体" w:hAnsi="宋体" w:eastAsia="宋体" w:cs="宋体"/>
                <w:b w:val="0"/>
                <w:bCs/>
                <w:sz w:val="24"/>
                <w:szCs w:val="24"/>
                <w:lang w:val="en-US" w:eastAsia="zh-CN"/>
              </w:rPr>
            </w:pPr>
            <w:r>
              <w:rPr>
                <w:rFonts w:hint="eastAsia" w:ascii="宋体" w:hAnsi="宋体" w:cs="宋体"/>
                <w:b w:val="0"/>
                <w:bCs/>
                <w:sz w:val="24"/>
                <w:szCs w:val="24"/>
                <w:lang w:val="en-US" w:eastAsia="zh-CN"/>
              </w:rPr>
              <w:t>6</w:t>
            </w:r>
          </w:p>
        </w:tc>
        <w:tc>
          <w:tcPr>
            <w:tcW w:w="2589" w:type="pct"/>
            <w:vAlign w:val="center"/>
          </w:tcPr>
          <w:p w14:paraId="5F5859CE">
            <w:pPr>
              <w:adjustRightInd w:val="0"/>
              <w:snapToGrid w:val="0"/>
              <w:spacing w:line="360" w:lineRule="auto"/>
              <w:jc w:val="both"/>
              <w:rPr>
                <w:rFonts w:hint="eastAsia" w:ascii="宋体" w:hAnsi="宋体" w:eastAsia="宋体" w:cs="宋体"/>
                <w:b w:val="0"/>
                <w:bCs/>
                <w:sz w:val="24"/>
                <w:szCs w:val="24"/>
              </w:rPr>
            </w:pPr>
            <w:r>
              <w:rPr>
                <w:rFonts w:hint="eastAsia" w:ascii="宋体" w:hAnsi="宋体" w:eastAsia="宋体" w:cs="宋体"/>
                <w:b w:val="0"/>
                <w:bCs/>
                <w:sz w:val="24"/>
                <w:szCs w:val="24"/>
              </w:rPr>
              <w:t>锂电池均衡仪</w:t>
            </w:r>
          </w:p>
        </w:tc>
        <w:tc>
          <w:tcPr>
            <w:tcW w:w="397" w:type="pct"/>
            <w:shd w:val="clear" w:color="auto" w:fill="auto"/>
            <w:vAlign w:val="center"/>
          </w:tcPr>
          <w:p w14:paraId="474F3B94">
            <w:pPr>
              <w:adjustRightInd w:val="0"/>
              <w:snapToGrid w:val="0"/>
              <w:spacing w:line="360" w:lineRule="auto"/>
              <w:jc w:val="both"/>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w:t>
            </w:r>
          </w:p>
        </w:tc>
        <w:tc>
          <w:tcPr>
            <w:tcW w:w="397" w:type="pct"/>
            <w:vAlign w:val="center"/>
          </w:tcPr>
          <w:p w14:paraId="4F81168F">
            <w:pPr>
              <w:adjustRightInd w:val="0"/>
              <w:snapToGrid w:val="0"/>
              <w:spacing w:line="360" w:lineRule="auto"/>
              <w:jc w:val="both"/>
              <w:rPr>
                <w:rFonts w:hint="eastAsia" w:ascii="宋体" w:hAnsi="宋体" w:eastAsia="宋体" w:cs="宋体"/>
                <w:b w:val="0"/>
                <w:bCs/>
                <w:sz w:val="24"/>
                <w:szCs w:val="24"/>
              </w:rPr>
            </w:pPr>
            <w:r>
              <w:rPr>
                <w:rFonts w:hint="eastAsia" w:ascii="宋体" w:hAnsi="宋体" w:cs="宋体"/>
                <w:b w:val="0"/>
                <w:bCs/>
                <w:sz w:val="24"/>
                <w:szCs w:val="24"/>
                <w:lang w:val="en-US" w:eastAsia="zh-CN"/>
              </w:rPr>
              <w:t>套</w:t>
            </w:r>
          </w:p>
        </w:tc>
        <w:tc>
          <w:tcPr>
            <w:tcW w:w="2194" w:type="dxa"/>
            <w:vAlign w:val="center"/>
          </w:tcPr>
          <w:p w14:paraId="1A28CB7D">
            <w:pPr>
              <w:keepNext w:val="0"/>
              <w:keepLines w:val="0"/>
              <w:widowControl/>
              <w:suppressLineNumbers w:val="0"/>
              <w:snapToGrid w:val="0"/>
              <w:spacing w:line="360" w:lineRule="auto"/>
              <w:jc w:val="both"/>
              <w:textAlignment w:val="auto"/>
              <w:rPr>
                <w:rFonts w:hint="eastAsia" w:ascii="宋体" w:hAnsi="宋体" w:eastAsia="宋体" w:cs="宋体"/>
                <w:b w:val="0"/>
                <w:bCs/>
                <w:sz w:val="24"/>
                <w:szCs w:val="24"/>
              </w:rPr>
            </w:pPr>
            <w:r>
              <w:rPr>
                <w:rFonts w:hint="eastAsia" w:ascii="宋体" w:hAnsi="宋体" w:eastAsia="宋体" w:cs="宋体"/>
                <w:bCs/>
                <w:i w:val="0"/>
                <w:iCs w:val="0"/>
                <w:kern w:val="2"/>
                <w:sz w:val="24"/>
                <w:szCs w:val="24"/>
                <w:u w:val="none"/>
                <w:lang w:val="en-US" w:eastAsia="zh-CN" w:bidi="ar"/>
              </w:rPr>
              <w:t>2000</w:t>
            </w:r>
          </w:p>
        </w:tc>
      </w:tr>
      <w:tr w14:paraId="3EB65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97" w:type="pct"/>
            <w:vAlign w:val="center"/>
          </w:tcPr>
          <w:p w14:paraId="1DD9CD39">
            <w:pPr>
              <w:adjustRightInd w:val="0"/>
              <w:snapToGrid w:val="0"/>
              <w:spacing w:line="360" w:lineRule="auto"/>
              <w:jc w:val="both"/>
              <w:rPr>
                <w:rFonts w:hint="default" w:ascii="宋体" w:hAnsi="宋体" w:eastAsia="宋体" w:cs="宋体"/>
                <w:b w:val="0"/>
                <w:bCs/>
                <w:sz w:val="24"/>
                <w:szCs w:val="24"/>
                <w:lang w:val="en-US" w:eastAsia="zh-CN"/>
              </w:rPr>
            </w:pPr>
            <w:r>
              <w:rPr>
                <w:rFonts w:hint="eastAsia" w:ascii="宋体" w:hAnsi="宋体" w:cs="宋体"/>
                <w:b w:val="0"/>
                <w:bCs/>
                <w:sz w:val="24"/>
                <w:szCs w:val="24"/>
                <w:lang w:val="en-US" w:eastAsia="zh-CN"/>
              </w:rPr>
              <w:t>7</w:t>
            </w:r>
          </w:p>
        </w:tc>
        <w:tc>
          <w:tcPr>
            <w:tcW w:w="2589" w:type="pct"/>
            <w:vAlign w:val="center"/>
          </w:tcPr>
          <w:p w14:paraId="3CFF0085">
            <w:pPr>
              <w:adjustRightInd w:val="0"/>
              <w:snapToGrid w:val="0"/>
              <w:spacing w:line="360" w:lineRule="auto"/>
              <w:jc w:val="both"/>
              <w:rPr>
                <w:rFonts w:hint="eastAsia" w:ascii="宋体" w:hAnsi="宋体" w:eastAsia="宋体" w:cs="宋体"/>
                <w:b w:val="0"/>
                <w:bCs/>
                <w:sz w:val="24"/>
                <w:szCs w:val="24"/>
              </w:rPr>
            </w:pPr>
            <w:r>
              <w:rPr>
                <w:rFonts w:hint="eastAsia" w:ascii="宋体" w:hAnsi="宋体" w:eastAsia="宋体" w:cs="宋体"/>
                <w:b w:val="0"/>
                <w:bCs/>
                <w:sz w:val="24"/>
                <w:szCs w:val="24"/>
              </w:rPr>
              <w:t>电池内阻测试仪</w:t>
            </w:r>
          </w:p>
        </w:tc>
        <w:tc>
          <w:tcPr>
            <w:tcW w:w="397" w:type="pct"/>
            <w:shd w:val="clear" w:color="auto" w:fill="auto"/>
            <w:vAlign w:val="center"/>
          </w:tcPr>
          <w:p w14:paraId="32415C7D">
            <w:pPr>
              <w:adjustRightInd w:val="0"/>
              <w:snapToGrid w:val="0"/>
              <w:spacing w:line="360" w:lineRule="auto"/>
              <w:jc w:val="both"/>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w:t>
            </w:r>
          </w:p>
        </w:tc>
        <w:tc>
          <w:tcPr>
            <w:tcW w:w="397" w:type="pct"/>
            <w:vAlign w:val="center"/>
          </w:tcPr>
          <w:p w14:paraId="584DAB66">
            <w:pPr>
              <w:adjustRightInd w:val="0"/>
              <w:snapToGrid w:val="0"/>
              <w:spacing w:line="360" w:lineRule="auto"/>
              <w:jc w:val="both"/>
              <w:rPr>
                <w:rFonts w:hint="eastAsia" w:ascii="宋体" w:hAnsi="宋体" w:eastAsia="宋体" w:cs="宋体"/>
                <w:b w:val="0"/>
                <w:bCs/>
                <w:sz w:val="24"/>
                <w:szCs w:val="24"/>
              </w:rPr>
            </w:pPr>
            <w:r>
              <w:rPr>
                <w:rFonts w:hint="eastAsia" w:ascii="宋体" w:hAnsi="宋体" w:cs="宋体"/>
                <w:b w:val="0"/>
                <w:bCs/>
                <w:sz w:val="24"/>
                <w:szCs w:val="24"/>
                <w:lang w:val="en-US" w:eastAsia="zh-CN"/>
              </w:rPr>
              <w:t>套</w:t>
            </w:r>
          </w:p>
        </w:tc>
        <w:tc>
          <w:tcPr>
            <w:tcW w:w="2194" w:type="dxa"/>
            <w:vAlign w:val="center"/>
          </w:tcPr>
          <w:p w14:paraId="701BE9C1">
            <w:pPr>
              <w:keepNext w:val="0"/>
              <w:keepLines w:val="0"/>
              <w:widowControl/>
              <w:suppressLineNumbers w:val="0"/>
              <w:snapToGrid w:val="0"/>
              <w:spacing w:line="360" w:lineRule="auto"/>
              <w:jc w:val="both"/>
              <w:textAlignment w:val="auto"/>
              <w:rPr>
                <w:rFonts w:hint="eastAsia" w:ascii="宋体" w:hAnsi="宋体" w:eastAsia="宋体" w:cs="宋体"/>
                <w:b w:val="0"/>
                <w:bCs/>
                <w:sz w:val="24"/>
                <w:szCs w:val="24"/>
              </w:rPr>
            </w:pPr>
            <w:r>
              <w:rPr>
                <w:rFonts w:hint="eastAsia" w:ascii="宋体" w:hAnsi="宋体" w:eastAsia="宋体" w:cs="宋体"/>
                <w:bCs/>
                <w:i w:val="0"/>
                <w:iCs w:val="0"/>
                <w:kern w:val="2"/>
                <w:sz w:val="24"/>
                <w:szCs w:val="24"/>
                <w:u w:val="none"/>
                <w:lang w:val="en-US" w:eastAsia="zh-CN" w:bidi="ar"/>
              </w:rPr>
              <w:t>800</w:t>
            </w:r>
          </w:p>
        </w:tc>
      </w:tr>
      <w:tr w14:paraId="36B2A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97" w:type="pct"/>
            <w:vAlign w:val="center"/>
          </w:tcPr>
          <w:p w14:paraId="03C95D11">
            <w:pPr>
              <w:adjustRightInd w:val="0"/>
              <w:snapToGrid w:val="0"/>
              <w:spacing w:line="360" w:lineRule="auto"/>
              <w:jc w:val="both"/>
              <w:rPr>
                <w:rFonts w:hint="default" w:ascii="宋体" w:hAnsi="宋体" w:eastAsia="宋体" w:cs="宋体"/>
                <w:b w:val="0"/>
                <w:bCs/>
                <w:sz w:val="24"/>
                <w:szCs w:val="24"/>
                <w:lang w:val="en-US" w:eastAsia="zh-CN"/>
              </w:rPr>
            </w:pPr>
            <w:r>
              <w:rPr>
                <w:rFonts w:hint="eastAsia" w:ascii="宋体" w:hAnsi="宋体" w:cs="宋体"/>
                <w:b w:val="0"/>
                <w:bCs/>
                <w:sz w:val="24"/>
                <w:szCs w:val="24"/>
                <w:lang w:val="en-US" w:eastAsia="zh-CN"/>
              </w:rPr>
              <w:t>8</w:t>
            </w:r>
          </w:p>
        </w:tc>
        <w:tc>
          <w:tcPr>
            <w:tcW w:w="2589" w:type="pct"/>
            <w:vAlign w:val="center"/>
          </w:tcPr>
          <w:p w14:paraId="1198620D">
            <w:pPr>
              <w:adjustRightInd w:val="0"/>
              <w:snapToGrid w:val="0"/>
              <w:spacing w:line="360" w:lineRule="auto"/>
              <w:jc w:val="both"/>
              <w:rPr>
                <w:rFonts w:hint="eastAsia" w:ascii="宋体" w:hAnsi="宋体" w:eastAsia="宋体" w:cs="宋体"/>
                <w:b w:val="0"/>
                <w:bCs/>
                <w:sz w:val="24"/>
                <w:szCs w:val="24"/>
              </w:rPr>
            </w:pPr>
            <w:r>
              <w:rPr>
                <w:rFonts w:hint="eastAsia" w:ascii="宋体" w:hAnsi="宋体" w:eastAsia="宋体" w:cs="宋体"/>
                <w:b w:val="0"/>
                <w:bCs/>
                <w:sz w:val="24"/>
                <w:szCs w:val="24"/>
              </w:rPr>
              <w:t>新能源汽车诊断仪</w:t>
            </w:r>
          </w:p>
        </w:tc>
        <w:tc>
          <w:tcPr>
            <w:tcW w:w="397" w:type="pct"/>
            <w:shd w:val="clear" w:color="auto" w:fill="auto"/>
            <w:vAlign w:val="center"/>
          </w:tcPr>
          <w:p w14:paraId="55DFC29B">
            <w:pPr>
              <w:adjustRightInd w:val="0"/>
              <w:snapToGrid w:val="0"/>
              <w:spacing w:line="360" w:lineRule="auto"/>
              <w:jc w:val="both"/>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w:t>
            </w:r>
          </w:p>
        </w:tc>
        <w:tc>
          <w:tcPr>
            <w:tcW w:w="397" w:type="pct"/>
            <w:vAlign w:val="center"/>
          </w:tcPr>
          <w:p w14:paraId="27EE0543">
            <w:pPr>
              <w:adjustRightInd w:val="0"/>
              <w:snapToGrid w:val="0"/>
              <w:spacing w:line="360" w:lineRule="auto"/>
              <w:jc w:val="both"/>
              <w:rPr>
                <w:rFonts w:hint="eastAsia" w:ascii="宋体" w:hAnsi="宋体" w:eastAsia="宋体" w:cs="宋体"/>
                <w:b w:val="0"/>
                <w:bCs/>
                <w:sz w:val="24"/>
                <w:szCs w:val="24"/>
              </w:rPr>
            </w:pPr>
            <w:r>
              <w:rPr>
                <w:rFonts w:hint="eastAsia" w:ascii="宋体" w:hAnsi="宋体" w:cs="宋体"/>
                <w:b w:val="0"/>
                <w:bCs/>
                <w:sz w:val="24"/>
                <w:szCs w:val="24"/>
                <w:lang w:val="en-US" w:eastAsia="zh-CN"/>
              </w:rPr>
              <w:t>套</w:t>
            </w:r>
          </w:p>
        </w:tc>
        <w:tc>
          <w:tcPr>
            <w:tcW w:w="2194" w:type="dxa"/>
            <w:vAlign w:val="center"/>
          </w:tcPr>
          <w:p w14:paraId="757BE48B">
            <w:pPr>
              <w:keepNext w:val="0"/>
              <w:keepLines w:val="0"/>
              <w:widowControl/>
              <w:suppressLineNumbers w:val="0"/>
              <w:snapToGrid w:val="0"/>
              <w:spacing w:line="360" w:lineRule="auto"/>
              <w:jc w:val="both"/>
              <w:textAlignment w:val="auto"/>
              <w:rPr>
                <w:rFonts w:hint="eastAsia" w:ascii="宋体" w:hAnsi="宋体" w:eastAsia="宋体" w:cs="宋体"/>
                <w:b w:val="0"/>
                <w:bCs/>
                <w:sz w:val="24"/>
                <w:szCs w:val="24"/>
              </w:rPr>
            </w:pPr>
            <w:r>
              <w:rPr>
                <w:rFonts w:hint="eastAsia" w:ascii="宋体" w:hAnsi="宋体" w:eastAsia="宋体" w:cs="宋体"/>
                <w:bCs/>
                <w:i w:val="0"/>
                <w:iCs w:val="0"/>
                <w:kern w:val="2"/>
                <w:sz w:val="24"/>
                <w:szCs w:val="24"/>
                <w:u w:val="none"/>
                <w:lang w:val="en-US" w:eastAsia="zh-CN" w:bidi="ar"/>
              </w:rPr>
              <w:t>650</w:t>
            </w:r>
          </w:p>
        </w:tc>
      </w:tr>
    </w:tbl>
    <w:p w14:paraId="1F78F42D">
      <w:pPr>
        <w:pStyle w:val="7"/>
        <w:keepNext w:val="0"/>
        <w:keepLines w:val="0"/>
        <w:pageBreakBefore w:val="0"/>
        <w:widowControl/>
        <w:numPr>
          <w:ilvl w:val="0"/>
          <w:numId w:val="0"/>
        </w:numPr>
        <w:kinsoku/>
        <w:wordWrap/>
        <w:overflowPunct/>
        <w:topLinePunct w:val="0"/>
        <w:bidi w:val="0"/>
        <w:adjustRightInd w:val="0"/>
        <w:snapToGrid w:val="0"/>
        <w:spacing w:line="360" w:lineRule="auto"/>
        <w:ind w:left="561" w:leftChars="0" w:hanging="561" w:hangingChars="233"/>
        <w:jc w:val="left"/>
        <w:rPr>
          <w:rFonts w:ascii="宋体"/>
          <w:b/>
          <w:kern w:val="0"/>
          <w:sz w:val="24"/>
          <w:szCs w:val="24"/>
        </w:rPr>
      </w:pPr>
      <w:r>
        <w:rPr>
          <w:rFonts w:hint="default" w:ascii="宋体" w:hAnsi="Times New Roman" w:eastAsia="宋体" w:cs="Times New Roman"/>
          <w:b/>
          <w:kern w:val="0"/>
          <w:sz w:val="24"/>
          <w:szCs w:val="24"/>
          <w:lang w:val="en-US" w:eastAsia="zh-CN" w:bidi="ar-SA"/>
        </w:rPr>
        <w:t>六、</w:t>
      </w:r>
      <w:r>
        <w:rPr>
          <w:rFonts w:hint="eastAsia" w:ascii="宋体"/>
          <w:b/>
          <w:kern w:val="0"/>
          <w:sz w:val="24"/>
          <w:szCs w:val="24"/>
        </w:rPr>
        <w:t>采购标的需满足的</w:t>
      </w:r>
      <w:r>
        <w:rPr>
          <w:rFonts w:hint="eastAsia" w:ascii="宋体"/>
          <w:b/>
          <w:kern w:val="0"/>
          <w:sz w:val="24"/>
          <w:szCs w:val="24"/>
          <w:lang w:val="en-US" w:eastAsia="zh-CN"/>
        </w:rPr>
        <w:t>服务</w:t>
      </w:r>
      <w:r>
        <w:rPr>
          <w:rFonts w:hint="eastAsia" w:ascii="宋体"/>
          <w:b/>
          <w:kern w:val="0"/>
          <w:sz w:val="24"/>
          <w:szCs w:val="24"/>
        </w:rPr>
        <w:t>、售后、质量、包装及运输等技术要求</w:t>
      </w:r>
    </w:p>
    <w:p w14:paraId="0D7A4C80">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1.设备运输及安装</w:t>
      </w:r>
    </w:p>
    <w:p w14:paraId="29E3C814">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投标人须严格依据采购人指定的交货地点、时间以及接收联系人信息，安全、完整地将设备运输至指定场所。在规划运输路线时，需充分考虑交通状况、天气因素等可能影响运输安全和时效的情况，提前制定应对预案，确保设备按时、安全送达。</w:t>
      </w:r>
    </w:p>
    <w:p w14:paraId="2E27E79B">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运输过程中必须采取全面且有效的防震、防潮、防损等保护措施。针对不同设备的特性，定制专门的包装方案，如对于精密仪器采用防震泡沫、防潮袋等进行多层包装；对于大型设备，使用专业的固定装置防止其在运输过程中晃动。确保设备及配件无损坏、缺失。若发生运输损坏，投标人需在 24 小时内响应，立即启动免费更换流程，并在 3 个工作日内将新设备送达指定地点。</w:t>
      </w:r>
    </w:p>
    <w:p w14:paraId="31CEE066">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运输车辆及人员须符合国家道路运输安全规范，车辆应具备相应的运输资质证书，驾驶员需持有效的驾驶证和从业资格证。投标人需提供运输过程追踪信息，包括但不限于物流单号、实时定位等，方便采购人随时了解设备运输状态。同时，建立运输信息沟通机制，定期向采购人汇报运输进展情况。</w:t>
      </w:r>
    </w:p>
    <w:p w14:paraId="47EE5C76">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投标人需派遣具备资质的技术人员完成设备安装、调试及初步验收。安装前须与采购人确认现场环境符合设备运行条件（如电力、空间、网络等），并提交书面环境确认报告。安装过程须严格遵循设备说明书及行业安全规范，确保安装质量符合国家标准及采购人技术要求。</w:t>
      </w:r>
    </w:p>
    <w:p w14:paraId="43EA88CA">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2.设备集成及调试</w:t>
      </w:r>
    </w:p>
    <w:p w14:paraId="7AF52944">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系统兼容性：若设备需要与其他系统进行集成，投标人需确保设备与现有系统的兼容性。在集成前，对现有系统的接口进行详细分析，制定合理的集成方案。集成过程中，应遵循相关标准和规范，确保集成后的系统能够稳定、高效地运行，实现数据的准确传输和共享。</w:t>
      </w:r>
    </w:p>
    <w:p w14:paraId="4E664D10">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集成测试：完成设备集成后，需进行全面的集成测试。测试内容包括功能测试、性能测试、兼容性测试等，确保设备与系统的各项功能正常实现，性能指标满足要求，且与其他系统之间无冲突。测试过程中，应详细记录测试数据和结果，对发现的问题及时进行整改，直至集成系统通过验收。</w:t>
      </w:r>
    </w:p>
    <w:p w14:paraId="18F794C7">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投标人需制定详细的设备调试方案，明确调试步骤、方法和标准。调试方案应根据设备的特点和采购人的使用需求进行制定，确保调试工作能够全面、有效地检验设备的性能和功能。调试过程中技术人员应按照调试方案逐步进行操作，对设备的各项参数进行调整和优化。在调试过程中，应密切关注设备的运行状态，及时发现并解决出现的问题。设备调试完成后，投标人需组织采购人进行初步验收。初步验收应按照合同约定的验收标准和流程进行，验收内容包括设备的外观、性能、功能等方面。验收过程中，投标人应提供详细的调试报告和测试数据，对设备的运行情况进行说明。若初步验收不合格，投标人应在规定的时间内完成整改，直至通过验收。</w:t>
      </w:r>
    </w:p>
    <w:p w14:paraId="18457127">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3.设备培训</w:t>
      </w:r>
    </w:p>
    <w:p w14:paraId="2F78AAF2">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投标人应派至少两名专业技术人员对采购人指定人员进行培训，培训人员应具备丰富的设备操作和维护经验，能够熟练讲解设备的原理、操作方法和常见故障排除技巧，并提交培训记录及操作手册。培训时间应根据采购人的实际需求进行合理安排，可分阶段进行，确保采购人指定人员有足够的时间学习和实践。直至采购人指定人员能熟练独立工作，同时能完成一般常见故障的维修工作为止，时长不少于7个工作日，培训人员3～5人，一切费用由投标人承担。</w:t>
      </w:r>
    </w:p>
    <w:p w14:paraId="04A6F6BB">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培训内容应包括设备的操作使用、日常维护保养、常见故障诊断与排除等方面。直至采购人的教师或技术人员能熟练独立工作，同时能完成一般常见故障的维修工作为止。在培训结束后，投标人需对学员进行考核，考核方式可采用理论考试和实际操作考核相结合的方式。考核合格后，颁发培训合格证书。若学员考核不合格，投标人应免费提供再次培训的机会，直至学员通过考核。一切培训费用由投标人承担。</w:t>
      </w:r>
    </w:p>
    <w:p w14:paraId="00374C91">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4.维修保养</w:t>
      </w:r>
    </w:p>
    <w:p w14:paraId="32FB3AE4">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（1）所有设备保修期为两年（自验收合格之日起），生产厂家提供终身维修,并提供整机的维修资料。</w:t>
      </w:r>
    </w:p>
    <w:p w14:paraId="63FBBB60">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（2）若提供的货物出现问题，投标人</w:t>
      </w:r>
      <w:r>
        <w:rPr>
          <w:rFonts w:hint="eastAsia" w:ascii="宋体" w:hAnsi="宋体" w:cs="宋体"/>
          <w:sz w:val="24"/>
          <w:szCs w:val="24"/>
          <w:lang w:eastAsia="zh-CN"/>
        </w:rPr>
        <w:t>需在1小时内响应</w:t>
      </w:r>
      <w:r>
        <w:rPr>
          <w:rFonts w:hint="eastAsia" w:ascii="宋体" w:hAnsi="宋体" w:cs="宋体"/>
          <w:sz w:val="24"/>
          <w:szCs w:val="24"/>
        </w:rPr>
        <w:t>，4小时到达现场并处理，4小时内修复，4小时内无法恢复的，质保期内投标人必须2个工作日内免费完成更换全新设备，并提供7×24小时售后服务。</w:t>
      </w:r>
    </w:p>
    <w:p w14:paraId="44492699">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（3）在保修期限内，同一商品、同一质量问题连续两次维修仍无法正常使用，供应厂商必须予以更换同品牌、同型号新机器。</w:t>
      </w:r>
    </w:p>
    <w:p w14:paraId="32215D30">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rPr>
        <w:t>（4）投标人根据招标文件要</w:t>
      </w:r>
      <w:r>
        <w:rPr>
          <w:rFonts w:hint="eastAsia" w:ascii="宋体" w:hAnsi="宋体" w:cs="宋体"/>
          <w:sz w:val="24"/>
          <w:szCs w:val="24"/>
          <w:highlight w:val="none"/>
        </w:rPr>
        <w:t>求提供详细的售后服务方案，包含：①产品售后维修更换方案；②售后服务人员配置；③产品维护响应计划；④应急处理方案。</w:t>
      </w:r>
    </w:p>
    <w:p w14:paraId="75E07D19">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5.★投标人中标后须具备构建培训体系</w:t>
      </w:r>
    </w:p>
    <w:p w14:paraId="70283EB0">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highlight w:val="none"/>
        </w:rPr>
        <w:t>（1）首期履约建设目标（</w:t>
      </w:r>
      <w:r>
        <w:rPr>
          <w:rFonts w:hint="eastAsia" w:ascii="宋体" w:hAnsi="宋体" w:cs="宋体"/>
          <w:b/>
          <w:bCs/>
          <w:sz w:val="24"/>
          <w:szCs w:val="24"/>
          <w:highlight w:val="none"/>
          <w:lang w:val="en-US" w:eastAsia="zh-CN"/>
        </w:rPr>
        <w:t>自合同签订</w:t>
      </w:r>
      <w:r>
        <w:rPr>
          <w:rFonts w:hint="eastAsia" w:ascii="宋体" w:hAnsi="宋体" w:cs="宋体"/>
          <w:b/>
          <w:bCs/>
          <w:sz w:val="24"/>
          <w:szCs w:val="24"/>
          <w:lang w:val="en-US" w:eastAsia="zh-CN"/>
        </w:rPr>
        <w:t>之日起三个月内</w:t>
      </w:r>
      <w:r>
        <w:rPr>
          <w:rFonts w:hint="eastAsia" w:ascii="宋体" w:hAnsi="宋体" w:cs="宋体"/>
          <w:b/>
          <w:bCs/>
          <w:sz w:val="24"/>
          <w:szCs w:val="24"/>
        </w:rPr>
        <w:t>完成）</w:t>
      </w:r>
    </w:p>
    <w:p w14:paraId="24AAB596">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课程教材开发：需随设备提供全套成熟、完整的教学资源包，与企业共同开发培训课程，制定培训课程标准，构建与培养高技能人才需求相适应的培训课程体系，至少应包含《助力转向系统》、《汽车CAN总线网络》《新能源汽车充电系统》《电动空调系统》等4门课程的教学PPT、实训指导书、设备操作手册及常见故障排查指南，培训课程应以工作任务为导向，以提升职业能力为核心，体现专业学习和工作实践紧密结合的“工学一体、学做合一”的特征。</w:t>
      </w:r>
    </w:p>
    <w:p w14:paraId="0A406BFD">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师资队伍建设：根据国高基地的建设情况配备具有高级工以上职业资格的汽车维修工专业教师2名，推荐企业技师、骨干专业技术人员成为采购人的兼职教师，保障采购人的师生比例达到1:16-1:20。</w:t>
      </w:r>
    </w:p>
    <w:p w14:paraId="29CB7992">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师资培养：须与采购人一同完成师资能力提升等相关工作，涵盖师资培训、技能强化等方面，确保师资水平有效提升，并提供师资能力提升培养方案；组织采购人教师到企业培训，年培训不少于5人次；须承担培训教学质量评价工作，涵盖过程性考核与终结性考核，需确保全面、准确完成这两项考核任务，以评估培训教学质量。</w:t>
      </w:r>
    </w:p>
    <w:p w14:paraId="6555540B">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实训设备管理：增加驱动电机控制系统检测与维修教学实训台、驱动电机控制系统检测与维修工量具等设备。按照采购人要求及时提供设施设备台账，设施设备管理制度等相关设备管理材料，确保培训设备先进程度与企业级生产设备匹配，培训设备工位、先进程度与特色专业相匹配，能够充分满足培训高技能人才需求。</w:t>
      </w:r>
    </w:p>
    <w:p w14:paraId="0CE445AF">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院校合作：应具备高校资源引荐能力，确保采购人能与不少于5所高校建立深度合作关系并签订合作协议。合作开展多方面产教融合、短期培训、技能评定等项目至少一项。</w:t>
      </w:r>
    </w:p>
    <w:p w14:paraId="3D6CA62C">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企业合作：应具备企业资源引荐能力，确保采购人与不少于2家中大型企业签订合作协议，结合区域重点产业规划，重点与区内企业开展“订单式”培训。同时，需与采购人和合作企业共同制定高技能人才培训方案、培训课程标准，开发培训课程不少于1套并将教材装订成册，并建立契合高技能人才培养需求的培训教材开发机制。</w:t>
      </w:r>
    </w:p>
    <w:p w14:paraId="5674C1D6">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新型学徒制培训：须与采购人一同组织开展企业新型学徒制培训达50人以上，需在项目执行过程中完成对企业及学员的满意度调查，确保服务质量与反馈收集。</w:t>
      </w:r>
    </w:p>
    <w:p w14:paraId="50FCB21F">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创新成果：须形成2套具有创新性的职业技能培训实施方案；需承担创新性成果材料收集工作，确保所收集材料完整、准确且能充分体现创新性。</w:t>
      </w:r>
    </w:p>
    <w:p w14:paraId="3D088EF6">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高技能人才培养成果：应具备校企资源引荐及培训学员招生宣传能力，确保采购人能够完成1000人以上的职业技能培训，且培养高技能人才400人以上，按照采购人要求汇总学员花名册、身份证复印件、</w:t>
      </w:r>
      <w:r>
        <w:rPr>
          <w:rFonts w:hint="eastAsia" w:ascii="宋体" w:hAnsi="宋体" w:cs="宋体"/>
          <w:b/>
          <w:bCs/>
          <w:sz w:val="24"/>
          <w:szCs w:val="24"/>
          <w:lang w:eastAsia="zh-CN"/>
        </w:rPr>
        <w:t>高技能人才等级证书等相关材料</w:t>
      </w:r>
      <w:r>
        <w:rPr>
          <w:rFonts w:hint="eastAsia" w:ascii="宋体" w:hAnsi="宋体" w:cs="宋体"/>
          <w:b/>
          <w:bCs/>
          <w:sz w:val="24"/>
          <w:szCs w:val="24"/>
        </w:rPr>
        <w:t>；针对在校学生开展高质量培训并实现成功就业250人，并提供相关材料。</w:t>
      </w:r>
    </w:p>
    <w:p w14:paraId="26A7A06F">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培训质量要求：投标人提供的相应设备及专业讲师培训，参加培训后学员评价满意率需达90%以上。使用相应设备参加培训后用人单位评价满意率达90%以上。</w:t>
      </w:r>
    </w:p>
    <w:p w14:paraId="52C8CE08">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总结报告：按照采购人要求提供汽车维修工专业各年度建设情况报告，包含设备使用率、使用效果、培训规模、培训成效、创新成果等各项建设内容，确保基地顺利通过验收。</w:t>
      </w:r>
    </w:p>
    <w:p w14:paraId="56FCB790">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（2）第二阶段建设目标（</w:t>
      </w:r>
      <w:r>
        <w:rPr>
          <w:rFonts w:hint="eastAsia" w:ascii="宋体" w:hAnsi="宋体" w:cs="宋体"/>
          <w:b/>
          <w:bCs/>
          <w:sz w:val="24"/>
          <w:szCs w:val="24"/>
          <w:lang w:eastAsia="zh-CN"/>
        </w:rPr>
        <w:t>2027年8月15日</w:t>
      </w:r>
      <w:r>
        <w:rPr>
          <w:rFonts w:hint="eastAsia" w:ascii="宋体" w:hAnsi="宋体" w:cs="宋体"/>
          <w:b/>
          <w:bCs/>
          <w:sz w:val="24"/>
          <w:szCs w:val="24"/>
        </w:rPr>
        <w:t>前完成）</w:t>
      </w:r>
    </w:p>
    <w:p w14:paraId="583CEDF9">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课程教材开发：需做好培训实施过程监督记录（含教研记录、培训听课记录、评教记录、学员座谈会、专家评价记录、督导记录等）；需随设备提供全套成熟、完整的教学资源包，与企业共同开发培训课程，制定培训课程标准，至少应包含《比亚迪秦EV电路原理》《比亚迪秦混合动力车型详解》《全车高压部件识别与拆解》《大众车型电路图识读》等4门课程的的教学PPT、实训指导书、设备操作手册及常见故障排查指南，培训课程应以工作任务为导向，以提升职业能力为核心，体现专业学习和工作实践紧密结合的“工学一体、学做合一”的特征。</w:t>
      </w:r>
    </w:p>
    <w:p w14:paraId="441D83E5">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师资队伍建设：根据国高基地的建设情况继续配备具有高级工以上职业资格的汽车维修工专业教师2名；推荐企业技师、骨干专业技术人员成为采购人的兼职教师，保障采购人的师生比例达到1:16-1:20。</w:t>
      </w:r>
    </w:p>
    <w:p w14:paraId="4021D970">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师资培养：须与采购人一同完成师资能力提升相关工作，涵盖师资提升方案、师资培训、技能强化等方面，并提供师资能力提升培养方案；组织采购人教师到企业培训，年培训不少于5人次；须承担培训教学质量评价工作，涵盖过程性考核与终结性考核，需确保全面、准确完成这两项考核任务，以评估培训教学质量。</w:t>
      </w:r>
    </w:p>
    <w:p w14:paraId="3FECFD40">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实训设备管理：持续优化设备配置，增加动力电池智能管理系统、锂电池均衡仪等设备。按照采购人要求及时提供设施设备台账，设施设备管理制度等相关设备管理材料，确保培训设备先进程度与企业级生产设备匹配，培训设备工位、先进程度与特色专业相匹配，能够充分满足培训高技能人才需求。</w:t>
      </w:r>
    </w:p>
    <w:p w14:paraId="1137E09D">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院校合作：应具备高校资源引荐能力，确保采购人能与不少于5所高校建立深度合作关系并签订合作协议。合作开展多方面产教融合、短期培训、技能评定项目至少一项。</w:t>
      </w:r>
    </w:p>
    <w:p w14:paraId="13D81DBF">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企业合作：应具备企业资源引荐能力，确保采购人与不少于2家中大型企业签订合作协议，结合区域重点产业规划，重点与区内企业开展“订单式”培训。同时，需与采购人和合作企业共同制定高技能人才培训方案、培训课程标准，开发培训课程不少于1套并将教材装订成册，并建立契合高技能人才培养需求的培训教材开发机制。</w:t>
      </w:r>
    </w:p>
    <w:p w14:paraId="06CC5283">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新型学徒制培训：须与采购人一同组织开展企业新型学徒制培训达100人以上，需在项目执行过程中完成对企业及学员的满意度调查，确保服务质量与反馈收集。</w:t>
      </w:r>
    </w:p>
    <w:p w14:paraId="5D0C2362">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创新成果：须形成5套具有创新性的职业技能培训实施方案；需承担创新性成果材料收集工作，确保所收集材料完整、准确且能充分体现创新性。</w:t>
      </w:r>
    </w:p>
    <w:p w14:paraId="306B293D">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高技能人才培养成果：应具备校企资源引荐及培训学员招生宣传能力，确保采购人能够完成1000人以上的职业技能培训，且培养高技能人才400人以上，按照采购人要求汇总学员花名册、身份证复印件、</w:t>
      </w:r>
      <w:r>
        <w:rPr>
          <w:rFonts w:hint="eastAsia" w:ascii="宋体" w:hAnsi="宋体" w:cs="宋体"/>
          <w:b/>
          <w:bCs/>
          <w:sz w:val="24"/>
          <w:szCs w:val="24"/>
          <w:lang w:eastAsia="zh-CN"/>
        </w:rPr>
        <w:t>高技能人才等级证书等相关材料</w:t>
      </w:r>
      <w:r>
        <w:rPr>
          <w:rFonts w:hint="eastAsia" w:ascii="宋体" w:hAnsi="宋体" w:cs="宋体"/>
          <w:b/>
          <w:bCs/>
          <w:sz w:val="24"/>
          <w:szCs w:val="24"/>
        </w:rPr>
        <w:t>；针对在校学生开展高质量培训并实现成功就业250人，并提供相关材料。</w:t>
      </w:r>
    </w:p>
    <w:p w14:paraId="4CBE8675">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培训质量要求：投标人提供的相应设备及专业讲师培训，参加培训后学员评价满意率需达90%以上。使用相应设备参加培训后用人单位评价满意率达90%以上。</w:t>
      </w:r>
    </w:p>
    <w:p w14:paraId="19D7DC92">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总结报告：按照采购人要求提供</w:t>
      </w:r>
      <w:r>
        <w:rPr>
          <w:rFonts w:hint="eastAsia" w:ascii="宋体" w:hAnsi="宋体" w:cs="宋体"/>
          <w:b/>
          <w:bCs/>
          <w:sz w:val="24"/>
          <w:szCs w:val="24"/>
          <w:lang w:val="en-US" w:eastAsia="zh-CN"/>
        </w:rPr>
        <w:t>汽车维修工</w:t>
      </w:r>
      <w:r>
        <w:rPr>
          <w:rFonts w:hint="eastAsia" w:ascii="宋体" w:hAnsi="宋体" w:cs="宋体"/>
          <w:b/>
          <w:bCs/>
          <w:sz w:val="24"/>
          <w:szCs w:val="24"/>
        </w:rPr>
        <w:t>专业各年度建设情况报告，包含设备使用率、使用效果、培训规模、培训成效、创新成果等各项建设内容，确保基地顺利通过验收。</w:t>
      </w:r>
    </w:p>
    <w:p w14:paraId="2648751F">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3）第三阶段建设目标（至合同服务期结束）</w:t>
      </w:r>
    </w:p>
    <w:p w14:paraId="2732300D">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投标人须严格遵循前两年的服务标准与要求，持续为采购人提供专业、高效的支持服务，确保基地建设的稳定运行。保障基地当年度完成高技能人才培训不少于400人，且培养高级工及以上人才不低于培训人数的80%，应按照采购人要求汇总学员花名册、身份证复印件、</w:t>
      </w:r>
      <w:r>
        <w:rPr>
          <w:rFonts w:hint="eastAsia" w:ascii="宋体" w:hAnsi="宋体" w:cs="宋体"/>
          <w:b/>
          <w:bCs/>
          <w:sz w:val="24"/>
          <w:szCs w:val="24"/>
          <w:lang w:eastAsia="zh-CN"/>
        </w:rPr>
        <w:t>高技能人才等级证书等相关材料</w:t>
      </w:r>
      <w:r>
        <w:rPr>
          <w:rFonts w:hint="eastAsia" w:ascii="宋体" w:hAnsi="宋体" w:cs="宋体"/>
          <w:b/>
          <w:bCs/>
          <w:sz w:val="24"/>
          <w:szCs w:val="24"/>
        </w:rPr>
        <w:t>。</w:t>
      </w:r>
    </w:p>
    <w:p w14:paraId="72824EF3">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lang w:val="en-US" w:eastAsia="zh-CN"/>
        </w:rPr>
        <w:t>6.</w:t>
      </w:r>
      <w:r>
        <w:rPr>
          <w:rFonts w:hint="eastAsia" w:ascii="宋体" w:hAnsi="宋体" w:cs="宋体"/>
          <w:b w:val="0"/>
          <w:bCs w:val="0"/>
          <w:sz w:val="24"/>
          <w:szCs w:val="24"/>
        </w:rPr>
        <w:t>技术要求</w:t>
      </w:r>
    </w:p>
    <w:p w14:paraId="73E3ED36">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（1）投标人中标后所提供产品必须为全新正规合格产品。</w:t>
      </w:r>
    </w:p>
    <w:p w14:paraId="79893673">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（2）提供所投产品详细的配置清单，包括产品名称、品牌、规格型号、数量等。</w:t>
      </w:r>
    </w:p>
    <w:p w14:paraId="79CE3E50">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（3）投标人中标后提供生产厂家完整的随机资料，包括完整的使用和维修手册等。</w:t>
      </w:r>
    </w:p>
    <w:p w14:paraId="7BE82F73">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（4）提供所投产品详细的介绍及技术指标、产品参数。</w:t>
      </w:r>
    </w:p>
    <w:p w14:paraId="61243BA7">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（5）提供详细的售后服务方案。</w:t>
      </w:r>
    </w:p>
    <w:p w14:paraId="207E8CAB">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（6）投标人须提供所投产品生产厂家服务机构情况，包括地址、联系方式及技术人员数量等。</w:t>
      </w:r>
    </w:p>
    <w:p w14:paraId="2EC8AD05">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lang w:val="en-US" w:eastAsia="zh-CN"/>
        </w:rPr>
        <w:t>7</w:t>
      </w:r>
      <w:r>
        <w:rPr>
          <w:rFonts w:hint="eastAsia" w:ascii="宋体" w:hAnsi="宋体" w:cs="宋体"/>
          <w:b w:val="0"/>
          <w:bCs w:val="0"/>
          <w:sz w:val="24"/>
          <w:szCs w:val="24"/>
        </w:rPr>
        <w:t>.其他要求</w:t>
      </w:r>
    </w:p>
    <w:p w14:paraId="2CD8FFA2">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（1）投标人应秉持实训中心为国家级高技能人才培训基地建设主体的原则，全面协助实训中心完成基地建设与验收的各项具体工作，确保基地顺利通过验收。</w:t>
      </w:r>
    </w:p>
    <w:p w14:paraId="615AB7A9">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（2）涉及所有培训的实施由采购人指定地点。</w:t>
      </w:r>
    </w:p>
    <w:p w14:paraId="29C8790E">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（3）采购人对培训实施过程进行全程跟踪，对实施过程中发现的问题和不足，有权提出合理性要求并进行改进和完善；</w:t>
      </w:r>
    </w:p>
    <w:p w14:paraId="7B11437C">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（4）培训对象由采购人指定，培训对象对培训结果的满意率应达90%以上；</w:t>
      </w:r>
    </w:p>
    <w:p w14:paraId="480C8EB8">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（5）涉及职业工种课程资源开发服务，采购人有权对课程资源的应用效果进行跟踪并提出改进意见；</w:t>
      </w:r>
    </w:p>
    <w:p w14:paraId="43D36568">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（6）课程资源应符合国家职业标准，与现场设备性能相吻合。</w:t>
      </w:r>
    </w:p>
    <w:p w14:paraId="6DA44C21">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（7）知识产权要求</w:t>
      </w:r>
    </w:p>
    <w:p w14:paraId="590B9FA0">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投标人须承诺所提供的产品、软件、资料等不侵犯任何第三方的知识产权，如因此产生纠纷，由投标人承担全部责任。</w:t>
      </w:r>
    </w:p>
    <w:p w14:paraId="7201258E">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（8）保密条款要求</w:t>
      </w:r>
    </w:p>
    <w:p w14:paraId="31E2DC13">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rPr>
      </w:pPr>
      <w:r>
        <w:rPr>
          <w:rFonts w:hint="eastAsia" w:ascii="宋体" w:hAnsi="宋体" w:cs="宋体"/>
          <w:b w:val="0"/>
          <w:bCs w:val="0"/>
          <w:sz w:val="24"/>
          <w:szCs w:val="24"/>
        </w:rPr>
        <w:t>1）投标人须严格保守项目实施过程中知悉的采购人商业秘密、技术资料及培训数据等信息，未经采购人书面同意，不得向任何第三方披露、使用或允许第三方使用。</w:t>
      </w:r>
    </w:p>
    <w:p w14:paraId="195E7C20">
      <w:pPr>
        <w:keepNext w:val="0"/>
        <w:keepLines w:val="0"/>
        <w:pageBreakBefore w:val="0"/>
        <w:kinsoku/>
        <w:wordWrap/>
        <w:overflowPunct/>
        <w:topLinePunct w:val="0"/>
        <w:bidi w:val="0"/>
        <w:adjustRightInd w:val="0"/>
        <w:snapToGrid w:val="0"/>
        <w:spacing w:line="360" w:lineRule="auto"/>
        <w:ind w:firstLine="480" w:firstLineChars="200"/>
        <w:rPr>
          <w:rFonts w:hint="eastAsia" w:ascii="宋体" w:hAnsi="宋体" w:cs="宋体"/>
          <w:b w:val="0"/>
          <w:bCs w:val="0"/>
          <w:sz w:val="24"/>
          <w:szCs w:val="24"/>
          <w:lang w:eastAsia="zh-CN"/>
        </w:rPr>
      </w:pPr>
      <w:r>
        <w:rPr>
          <w:rFonts w:hint="eastAsia" w:ascii="宋体" w:hAnsi="宋体" w:cs="宋体"/>
          <w:b w:val="0"/>
          <w:bCs w:val="0"/>
          <w:sz w:val="24"/>
          <w:szCs w:val="24"/>
        </w:rPr>
        <w:t>2）项目结束后，投标人应将所有涉密资料归还采购人或按采购人要求销毁。如因投标人原因导致泄密，投标人应承担全部法律责任及经济赔偿责任，并赔偿采购人因此遭受的全部损失。</w:t>
      </w:r>
    </w:p>
    <w:p w14:paraId="2012D5D1">
      <w:pPr>
        <w:pStyle w:val="7"/>
        <w:keepNext w:val="0"/>
        <w:keepLines w:val="0"/>
        <w:pageBreakBefore w:val="0"/>
        <w:widowControl/>
        <w:numPr>
          <w:ilvl w:val="0"/>
          <w:numId w:val="0"/>
        </w:numPr>
        <w:kinsoku/>
        <w:wordWrap/>
        <w:overflowPunct/>
        <w:topLinePunct w:val="0"/>
        <w:bidi w:val="0"/>
        <w:adjustRightInd w:val="0"/>
        <w:snapToGrid w:val="0"/>
        <w:spacing w:line="360" w:lineRule="auto"/>
        <w:ind w:left="561" w:leftChars="0" w:hanging="561" w:hangingChars="233"/>
        <w:jc w:val="left"/>
        <w:rPr>
          <w:rFonts w:hint="eastAsia" w:ascii="宋体"/>
          <w:b/>
          <w:bCs w:val="0"/>
          <w:kern w:val="0"/>
          <w:sz w:val="24"/>
          <w:szCs w:val="24"/>
          <w:highlight w:val="none"/>
        </w:rPr>
      </w:pPr>
      <w:r>
        <w:rPr>
          <w:rFonts w:hint="default" w:ascii="宋体" w:hAnsi="Times New Roman" w:eastAsia="宋体" w:cs="Times New Roman"/>
          <w:b/>
          <w:bCs w:val="0"/>
          <w:kern w:val="0"/>
          <w:sz w:val="24"/>
          <w:szCs w:val="24"/>
          <w:lang w:val="en-US" w:eastAsia="zh-CN" w:bidi="ar-SA"/>
        </w:rPr>
        <w:t>七、</w:t>
      </w:r>
      <w:r>
        <w:rPr>
          <w:rFonts w:hint="eastAsia" w:ascii="宋体"/>
          <w:b/>
          <w:bCs w:val="0"/>
          <w:kern w:val="0"/>
          <w:sz w:val="24"/>
          <w:szCs w:val="24"/>
        </w:rPr>
        <w:t>采购项目交付或者实施的</w:t>
      </w:r>
      <w:r>
        <w:rPr>
          <w:rFonts w:hint="eastAsia" w:ascii="宋体"/>
          <w:b/>
          <w:bCs w:val="0"/>
          <w:kern w:val="0"/>
          <w:sz w:val="24"/>
          <w:szCs w:val="24"/>
          <w:highlight w:val="none"/>
        </w:rPr>
        <w:t>时间和地点</w:t>
      </w:r>
    </w:p>
    <w:p w14:paraId="4792679D">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val="0"/>
          <w:sz w:val="24"/>
          <w:szCs w:val="24"/>
          <w:highlight w:val="none"/>
          <w:lang w:eastAsia="zh-CN"/>
        </w:rPr>
      </w:pPr>
      <w:r>
        <w:rPr>
          <w:rFonts w:hint="eastAsia" w:ascii="宋体" w:hAnsi="宋体" w:cs="宋体"/>
          <w:b/>
          <w:bCs w:val="0"/>
          <w:sz w:val="24"/>
          <w:szCs w:val="24"/>
          <w:highlight w:val="none"/>
          <w:lang w:val="en-US" w:eastAsia="zh-CN"/>
        </w:rPr>
        <w:t>1.★</w:t>
      </w:r>
      <w:r>
        <w:rPr>
          <w:rFonts w:hint="eastAsia" w:ascii="宋体" w:hAnsi="宋体" w:cs="宋体"/>
          <w:b/>
          <w:bCs w:val="0"/>
          <w:sz w:val="24"/>
          <w:szCs w:val="24"/>
          <w:highlight w:val="none"/>
          <w:lang w:eastAsia="zh-CN"/>
        </w:rPr>
        <w:t>实施时间：</w:t>
      </w:r>
      <w:bookmarkStart w:id="4" w:name="_Toc10124"/>
      <w:bookmarkStart w:id="5" w:name="_Toc2500"/>
      <w:r>
        <w:rPr>
          <w:rFonts w:hint="eastAsia" w:ascii="宋体" w:hAnsi="宋体" w:cs="宋体"/>
          <w:b/>
          <w:bCs w:val="0"/>
          <w:sz w:val="24"/>
          <w:szCs w:val="24"/>
          <w:highlight w:val="none"/>
          <w:lang w:eastAsia="zh-CN"/>
        </w:rPr>
        <w:t>自合同签订之日起45日供货安装调试完成，并经采购人对设备验收合格后完成为期三年的培训基地建设及培训相关工作。</w:t>
      </w:r>
    </w:p>
    <w:p w14:paraId="3144EAB6">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val="0"/>
          <w:sz w:val="24"/>
          <w:szCs w:val="24"/>
          <w:highlight w:val="none"/>
          <w:lang w:eastAsia="zh-CN"/>
        </w:rPr>
      </w:pPr>
      <w:r>
        <w:rPr>
          <w:rFonts w:hint="eastAsia" w:ascii="宋体" w:hAnsi="宋体" w:cs="宋体"/>
          <w:b/>
          <w:bCs w:val="0"/>
          <w:sz w:val="24"/>
          <w:szCs w:val="24"/>
          <w:highlight w:val="none"/>
          <w:lang w:val="en-US" w:eastAsia="zh-CN"/>
        </w:rPr>
        <w:t>2.</w:t>
      </w:r>
      <w:bookmarkEnd w:id="4"/>
      <w:bookmarkEnd w:id="5"/>
      <w:r>
        <w:rPr>
          <w:rFonts w:hint="eastAsia" w:ascii="宋体" w:hAnsi="宋体" w:cs="宋体"/>
          <w:b/>
          <w:bCs w:val="0"/>
          <w:sz w:val="24"/>
          <w:szCs w:val="24"/>
          <w:highlight w:val="none"/>
          <w:lang w:val="en-US" w:eastAsia="zh-CN"/>
        </w:rPr>
        <w:t>★</w:t>
      </w:r>
      <w:r>
        <w:rPr>
          <w:rFonts w:hint="eastAsia" w:ascii="宋体" w:hAnsi="宋体" w:cs="宋体"/>
          <w:b/>
          <w:bCs w:val="0"/>
          <w:sz w:val="24"/>
          <w:szCs w:val="24"/>
          <w:highlight w:val="none"/>
          <w:lang w:eastAsia="zh-CN"/>
        </w:rPr>
        <w:t>质保期：自设备验收合格之日起2年。</w:t>
      </w:r>
    </w:p>
    <w:p w14:paraId="315D38C5">
      <w:pPr>
        <w:keepNext w:val="0"/>
        <w:keepLines w:val="0"/>
        <w:pageBreakBefore w:val="0"/>
        <w:kinsoku/>
        <w:wordWrap/>
        <w:overflowPunct/>
        <w:topLinePunct w:val="0"/>
        <w:bidi w:val="0"/>
        <w:adjustRightInd w:val="0"/>
        <w:snapToGrid w:val="0"/>
        <w:spacing w:line="360" w:lineRule="auto"/>
        <w:ind w:firstLine="482" w:firstLineChars="200"/>
        <w:rPr>
          <w:rFonts w:hint="eastAsia" w:ascii="宋体" w:hAnsi="宋体" w:cs="宋体"/>
          <w:b/>
          <w:bCs w:val="0"/>
          <w:sz w:val="24"/>
          <w:szCs w:val="24"/>
          <w:lang w:eastAsia="zh-CN"/>
        </w:rPr>
      </w:pPr>
      <w:r>
        <w:rPr>
          <w:rFonts w:hint="eastAsia" w:ascii="宋体" w:hAnsi="宋体" w:cs="宋体"/>
          <w:b/>
          <w:bCs w:val="0"/>
          <w:sz w:val="24"/>
          <w:szCs w:val="24"/>
          <w:highlight w:val="none"/>
          <w:lang w:val="en-US" w:eastAsia="zh-CN"/>
        </w:rPr>
        <w:t>3.★</w:t>
      </w:r>
      <w:r>
        <w:rPr>
          <w:rFonts w:hint="eastAsia" w:ascii="宋体" w:hAnsi="宋体" w:cs="宋体"/>
          <w:b/>
          <w:bCs w:val="0"/>
          <w:sz w:val="24"/>
          <w:szCs w:val="24"/>
          <w:highlight w:val="none"/>
          <w:lang w:eastAsia="zh-CN"/>
        </w:rPr>
        <w:t>实施地点：采购人指定地</w:t>
      </w:r>
      <w:r>
        <w:rPr>
          <w:rFonts w:hint="eastAsia" w:ascii="宋体" w:hAnsi="宋体" w:cs="宋体"/>
          <w:b/>
          <w:bCs w:val="0"/>
          <w:sz w:val="24"/>
          <w:szCs w:val="24"/>
          <w:lang w:eastAsia="zh-CN"/>
        </w:rPr>
        <w:t>点。</w:t>
      </w:r>
    </w:p>
    <w:p w14:paraId="181E8A7D">
      <w:pPr>
        <w:pStyle w:val="7"/>
        <w:keepNext w:val="0"/>
        <w:keepLines w:val="0"/>
        <w:pageBreakBefore w:val="0"/>
        <w:widowControl/>
        <w:numPr>
          <w:ilvl w:val="0"/>
          <w:numId w:val="0"/>
        </w:numPr>
        <w:kinsoku/>
        <w:wordWrap/>
        <w:overflowPunct/>
        <w:topLinePunct w:val="0"/>
        <w:bidi w:val="0"/>
        <w:adjustRightInd w:val="0"/>
        <w:snapToGrid w:val="0"/>
        <w:spacing w:line="360" w:lineRule="auto"/>
        <w:ind w:left="561" w:leftChars="0" w:hanging="561" w:hangingChars="233"/>
        <w:jc w:val="left"/>
        <w:rPr>
          <w:rFonts w:hint="eastAsia" w:ascii="宋体"/>
          <w:b/>
          <w:bCs w:val="0"/>
          <w:kern w:val="0"/>
          <w:sz w:val="24"/>
          <w:szCs w:val="24"/>
          <w:highlight w:val="none"/>
        </w:rPr>
      </w:pPr>
      <w:r>
        <w:rPr>
          <w:rFonts w:hint="default" w:ascii="宋体" w:hAnsi="Times New Roman" w:eastAsia="宋体" w:cs="Times New Roman"/>
          <w:b/>
          <w:bCs w:val="0"/>
          <w:kern w:val="0"/>
          <w:sz w:val="24"/>
          <w:szCs w:val="24"/>
          <w:lang w:val="en-US" w:eastAsia="zh-CN" w:bidi="ar-SA"/>
        </w:rPr>
        <w:t>八、★</w:t>
      </w:r>
      <w:r>
        <w:rPr>
          <w:rFonts w:hint="eastAsia" w:ascii="宋体"/>
          <w:b/>
          <w:bCs w:val="0"/>
          <w:kern w:val="0"/>
          <w:sz w:val="24"/>
          <w:szCs w:val="24"/>
          <w:highlight w:val="none"/>
          <w:lang w:val="en-US" w:eastAsia="zh-CN"/>
        </w:rPr>
        <w:t>质量要求</w:t>
      </w:r>
    </w:p>
    <w:p w14:paraId="25524650">
      <w:pPr>
        <w:pStyle w:val="8"/>
        <w:keepNext w:val="0"/>
        <w:keepLines w:val="0"/>
        <w:pageBreakBefore w:val="0"/>
        <w:kinsoku/>
        <w:wordWrap/>
        <w:overflowPunct/>
        <w:topLinePunct w:val="0"/>
        <w:bidi w:val="0"/>
        <w:adjustRightInd w:val="0"/>
        <w:snapToGrid w:val="0"/>
        <w:spacing w:line="360" w:lineRule="auto"/>
        <w:ind w:firstLine="482" w:firstLineChars="200"/>
        <w:jc w:val="both"/>
        <w:rPr>
          <w:rFonts w:ascii="宋体" w:hAnsi="宋体" w:eastAsia="宋体" w:cs="Arial"/>
          <w:b/>
          <w:bCs w:val="0"/>
          <w:color w:val="auto"/>
          <w:highlight w:val="none"/>
        </w:rPr>
      </w:pPr>
      <w:r>
        <w:rPr>
          <w:rFonts w:hint="eastAsia" w:ascii="宋体" w:hAnsi="宋体" w:eastAsia="宋体" w:cs="Arial"/>
          <w:b/>
          <w:bCs w:val="0"/>
          <w:color w:val="auto"/>
          <w:highlight w:val="none"/>
        </w:rPr>
        <w:t>满足国家、地方和行业现行的法律法规、规章制度、规范及招标文件的规定。</w:t>
      </w:r>
    </w:p>
    <w:p w14:paraId="2A26F02F">
      <w:pPr>
        <w:pStyle w:val="7"/>
        <w:keepNext w:val="0"/>
        <w:keepLines w:val="0"/>
        <w:pageBreakBefore w:val="0"/>
        <w:widowControl/>
        <w:numPr>
          <w:ilvl w:val="0"/>
          <w:numId w:val="0"/>
        </w:numPr>
        <w:kinsoku/>
        <w:wordWrap/>
        <w:overflowPunct/>
        <w:topLinePunct w:val="0"/>
        <w:bidi w:val="0"/>
        <w:adjustRightInd w:val="0"/>
        <w:snapToGrid w:val="0"/>
        <w:spacing w:line="360" w:lineRule="auto"/>
        <w:ind w:left="561" w:leftChars="0" w:hanging="561" w:hangingChars="233"/>
        <w:jc w:val="left"/>
        <w:rPr>
          <w:rFonts w:hint="eastAsia" w:ascii="宋体"/>
          <w:b/>
          <w:bCs w:val="0"/>
          <w:kern w:val="0"/>
          <w:sz w:val="24"/>
          <w:szCs w:val="24"/>
          <w:highlight w:val="none"/>
        </w:rPr>
      </w:pPr>
      <w:r>
        <w:rPr>
          <w:rFonts w:hint="default" w:ascii="宋体" w:hAnsi="Times New Roman" w:eastAsia="宋体" w:cs="Times New Roman"/>
          <w:b/>
          <w:bCs w:val="0"/>
          <w:kern w:val="0"/>
          <w:sz w:val="24"/>
          <w:szCs w:val="24"/>
          <w:lang w:val="en-US" w:eastAsia="zh-CN" w:bidi="ar-SA"/>
        </w:rPr>
        <w:t>九、★</w:t>
      </w:r>
      <w:r>
        <w:rPr>
          <w:rFonts w:hint="eastAsia" w:ascii="宋体"/>
          <w:b/>
          <w:bCs w:val="0"/>
          <w:kern w:val="0"/>
          <w:sz w:val="24"/>
          <w:szCs w:val="24"/>
          <w:highlight w:val="none"/>
        </w:rPr>
        <w:t>付款方式</w:t>
      </w:r>
    </w:p>
    <w:p w14:paraId="261C7D0D">
      <w:pPr>
        <w:pStyle w:val="8"/>
        <w:keepNext w:val="0"/>
        <w:keepLines w:val="0"/>
        <w:pageBreakBefore w:val="0"/>
        <w:kinsoku/>
        <w:wordWrap/>
        <w:overflowPunct/>
        <w:topLinePunct w:val="0"/>
        <w:bidi w:val="0"/>
        <w:adjustRightInd w:val="0"/>
        <w:snapToGrid w:val="0"/>
        <w:spacing w:line="360" w:lineRule="auto"/>
        <w:ind w:firstLine="482" w:firstLineChars="200"/>
        <w:jc w:val="both"/>
        <w:rPr>
          <w:rFonts w:hint="eastAsia" w:ascii="宋体" w:eastAsia="宋体" w:cs="宋体"/>
          <w:b/>
          <w:bCs w:val="0"/>
          <w:color w:val="auto"/>
          <w:highlight w:val="none"/>
          <w:lang w:eastAsia="zh-CN"/>
        </w:rPr>
      </w:pPr>
      <w:r>
        <w:rPr>
          <w:rFonts w:hint="eastAsia" w:ascii="宋体" w:eastAsia="宋体" w:cs="宋体"/>
          <w:b/>
          <w:bCs w:val="0"/>
          <w:color w:val="auto"/>
          <w:highlight w:val="none"/>
          <w:lang w:eastAsia="zh-CN"/>
        </w:rPr>
        <w:t>合同签订后，采购人支付合同总额的40%，设备到货安装调试完成并经采购人对设备验收合格后支付合同总额的50%，三年服务期结束且经采购人最终验收合格后支付合同剩余款项。</w:t>
      </w:r>
    </w:p>
    <w:p w14:paraId="2C8AFA3B">
      <w:pPr>
        <w:pStyle w:val="8"/>
        <w:keepNext w:val="0"/>
        <w:keepLines w:val="0"/>
        <w:pageBreakBefore w:val="0"/>
        <w:kinsoku/>
        <w:wordWrap/>
        <w:overflowPunct/>
        <w:topLinePunct w:val="0"/>
        <w:bidi w:val="0"/>
        <w:adjustRightInd w:val="0"/>
        <w:snapToGrid w:val="0"/>
        <w:spacing w:line="360" w:lineRule="auto"/>
        <w:ind w:firstLine="482" w:firstLineChars="200"/>
        <w:jc w:val="both"/>
        <w:rPr>
          <w:rFonts w:ascii="宋体" w:eastAsia="宋体" w:cs="宋体"/>
          <w:b/>
          <w:bCs w:val="0"/>
          <w:color w:val="auto"/>
          <w:highlight w:val="none"/>
        </w:rPr>
      </w:pPr>
      <w:r>
        <w:rPr>
          <w:rFonts w:hint="eastAsia" w:ascii="宋体" w:eastAsia="宋体" w:cs="宋体"/>
          <w:b/>
          <w:bCs w:val="0"/>
          <w:color w:val="auto"/>
          <w:highlight w:val="none"/>
          <w:lang w:eastAsia="zh-CN"/>
        </w:rPr>
        <w:t>注：上述付款方式均由中标单位开具相应数额的发票后，采购人予以支付。</w:t>
      </w:r>
    </w:p>
    <w:p w14:paraId="1BBB9253">
      <w:pPr>
        <w:pStyle w:val="7"/>
        <w:keepNext w:val="0"/>
        <w:keepLines w:val="0"/>
        <w:pageBreakBefore w:val="0"/>
        <w:widowControl/>
        <w:numPr>
          <w:ilvl w:val="0"/>
          <w:numId w:val="0"/>
        </w:numPr>
        <w:kinsoku/>
        <w:wordWrap/>
        <w:overflowPunct/>
        <w:topLinePunct w:val="0"/>
        <w:bidi w:val="0"/>
        <w:adjustRightInd w:val="0"/>
        <w:snapToGrid w:val="0"/>
        <w:spacing w:line="360" w:lineRule="auto"/>
        <w:ind w:left="561" w:leftChars="0" w:hanging="561" w:hangingChars="233"/>
        <w:jc w:val="left"/>
        <w:rPr>
          <w:rFonts w:hint="eastAsia" w:ascii="宋体"/>
          <w:b/>
          <w:kern w:val="0"/>
          <w:sz w:val="24"/>
          <w:szCs w:val="24"/>
          <w:highlight w:val="none"/>
        </w:rPr>
      </w:pPr>
      <w:r>
        <w:rPr>
          <w:rFonts w:hint="default" w:ascii="宋体" w:hAnsi="Times New Roman" w:eastAsia="宋体" w:cs="Times New Roman"/>
          <w:b/>
          <w:kern w:val="0"/>
          <w:sz w:val="24"/>
          <w:szCs w:val="24"/>
          <w:highlight w:val="none"/>
          <w:lang w:val="en-US" w:eastAsia="zh-CN" w:bidi="ar-SA"/>
        </w:rPr>
        <w:t>十、</w:t>
      </w:r>
      <w:r>
        <w:rPr>
          <w:rFonts w:hint="eastAsia" w:ascii="宋体"/>
          <w:b/>
          <w:kern w:val="0"/>
          <w:sz w:val="24"/>
          <w:szCs w:val="24"/>
          <w:highlight w:val="none"/>
          <w:lang w:val="en-US" w:eastAsia="zh-CN"/>
        </w:rPr>
        <w:t>履约</w:t>
      </w:r>
      <w:r>
        <w:rPr>
          <w:rFonts w:hint="eastAsia" w:ascii="宋体"/>
          <w:b/>
          <w:kern w:val="0"/>
          <w:sz w:val="24"/>
          <w:szCs w:val="24"/>
          <w:highlight w:val="none"/>
        </w:rPr>
        <w:t>验收标准及方法</w:t>
      </w:r>
    </w:p>
    <w:p w14:paraId="316C3A4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val="0"/>
        <w:snapToGrid w:val="0"/>
        <w:spacing w:line="360" w:lineRule="auto"/>
        <w:ind w:firstLine="480" w:firstLineChars="200"/>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highlight w:val="none"/>
          <w:lang w:val="en-US" w:eastAsia="zh-CN" w:bidi="ar-SA"/>
        </w:rPr>
        <w:t>1.验</w:t>
      </w:r>
      <w:r>
        <w:rPr>
          <w:rFonts w:hint="default" w:ascii="宋体" w:hAnsi="宋体" w:eastAsia="宋体" w:cs="宋体"/>
          <w:color w:val="auto"/>
          <w:kern w:val="2"/>
          <w:sz w:val="24"/>
          <w:szCs w:val="24"/>
          <w:lang w:val="en-US" w:eastAsia="zh-CN" w:bidi="ar-SA"/>
        </w:rPr>
        <w:t>收主体：</w:t>
      </w:r>
      <w:r>
        <w:rPr>
          <w:rFonts w:hint="eastAsia" w:ascii="宋体" w:hAnsi="宋体" w:cs="宋体"/>
          <w:color w:val="auto"/>
          <w:kern w:val="2"/>
          <w:sz w:val="24"/>
          <w:szCs w:val="24"/>
          <w:lang w:val="en-US" w:eastAsia="zh-CN" w:bidi="ar-SA"/>
        </w:rPr>
        <w:t>天津港保税区职业技能公共实训中心</w:t>
      </w:r>
      <w:r>
        <w:rPr>
          <w:rFonts w:hint="default" w:ascii="宋体" w:hAnsi="宋体" w:eastAsia="宋体" w:cs="宋体"/>
          <w:color w:val="auto"/>
          <w:kern w:val="2"/>
          <w:sz w:val="24"/>
          <w:szCs w:val="24"/>
          <w:lang w:val="en-US" w:eastAsia="zh-CN" w:bidi="ar-SA"/>
        </w:rPr>
        <w:t>。</w:t>
      </w:r>
    </w:p>
    <w:p w14:paraId="024B8D9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val="0"/>
        <w:snapToGrid w:val="0"/>
        <w:spacing w:line="360" w:lineRule="auto"/>
        <w:ind w:firstLine="480" w:firstLineChars="200"/>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2.验收时间：</w:t>
      </w:r>
    </w:p>
    <w:p w14:paraId="6FC84CF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val="0"/>
        <w:snapToGrid w:val="0"/>
        <w:spacing w:line="360" w:lineRule="auto"/>
        <w:ind w:firstLine="480" w:firstLineChars="200"/>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第一阶段：自设备安装调试完成后15个工作日内完成验收。</w:t>
      </w:r>
    </w:p>
    <w:p w14:paraId="1006898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val="0"/>
        <w:snapToGrid w:val="0"/>
        <w:spacing w:line="360" w:lineRule="auto"/>
        <w:ind w:firstLine="480" w:firstLineChars="200"/>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第二阶段：合同签订服务期结束后15个工作日内完成验收。</w:t>
      </w:r>
    </w:p>
    <w:p w14:paraId="079BFF13">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val="0"/>
        <w:snapToGrid w:val="0"/>
        <w:spacing w:line="360" w:lineRule="auto"/>
        <w:ind w:firstLine="480" w:firstLineChars="200"/>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3.验收方式：招标人根据项目完成情况填写验收书及验收书附表并经审核后加盖</w:t>
      </w:r>
      <w:r>
        <w:rPr>
          <w:rFonts w:hint="eastAsia" w:ascii="宋体" w:hAnsi="宋体" w:cs="宋体"/>
          <w:color w:val="auto"/>
          <w:kern w:val="2"/>
          <w:sz w:val="24"/>
          <w:szCs w:val="24"/>
          <w:lang w:val="en-US" w:eastAsia="zh-CN" w:bidi="ar-SA"/>
        </w:rPr>
        <w:t>双方</w:t>
      </w:r>
      <w:r>
        <w:rPr>
          <w:rFonts w:hint="default" w:ascii="宋体" w:hAnsi="宋体" w:eastAsia="宋体" w:cs="宋体"/>
          <w:color w:val="auto"/>
          <w:kern w:val="2"/>
          <w:sz w:val="24"/>
          <w:szCs w:val="24"/>
          <w:lang w:val="en-US" w:eastAsia="zh-CN" w:bidi="ar-SA"/>
        </w:rPr>
        <w:t>单位公章。</w:t>
      </w:r>
    </w:p>
    <w:p w14:paraId="6D57B66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val="0"/>
        <w:snapToGrid w:val="0"/>
        <w:spacing w:line="360" w:lineRule="auto"/>
        <w:ind w:firstLine="480" w:firstLineChars="200"/>
        <w:rPr>
          <w:rFonts w:hint="default" w:ascii="宋体" w:hAnsi="宋体" w:eastAsia="宋体" w:cs="宋体"/>
          <w:color w:val="auto"/>
          <w:kern w:val="2"/>
          <w:sz w:val="24"/>
          <w:szCs w:val="24"/>
          <w:lang w:val="en-US" w:eastAsia="zh-CN" w:bidi="ar-SA"/>
        </w:rPr>
      </w:pPr>
      <w:r>
        <w:rPr>
          <w:rFonts w:hint="default" w:ascii="宋体" w:hAnsi="宋体" w:eastAsia="宋体" w:cs="宋体"/>
          <w:color w:val="auto"/>
          <w:kern w:val="2"/>
          <w:sz w:val="24"/>
          <w:szCs w:val="24"/>
          <w:lang w:val="en-US" w:eastAsia="zh-CN" w:bidi="ar-SA"/>
        </w:rPr>
        <w:t>4.验收程序：每次付款前由</w:t>
      </w:r>
      <w:r>
        <w:rPr>
          <w:rFonts w:hint="eastAsia" w:ascii="宋体" w:hAnsi="宋体" w:eastAsia="宋体" w:cs="宋体"/>
          <w:color w:val="auto"/>
          <w:kern w:val="2"/>
          <w:sz w:val="24"/>
          <w:szCs w:val="24"/>
          <w:lang w:val="en-US" w:eastAsia="zh-CN" w:bidi="ar-SA"/>
        </w:rPr>
        <w:t>天津港保税区职业技能公共实训中心</w:t>
      </w:r>
      <w:r>
        <w:rPr>
          <w:rFonts w:hint="default" w:ascii="宋体" w:hAnsi="宋体" w:eastAsia="宋体" w:cs="宋体"/>
          <w:color w:val="auto"/>
          <w:kern w:val="2"/>
          <w:sz w:val="24"/>
          <w:szCs w:val="24"/>
          <w:lang w:val="en-US" w:eastAsia="zh-CN" w:bidi="ar-SA"/>
        </w:rPr>
        <w:t>会同中标单位根据项目完成情况填写验收书及验收书附表并经招标人审核盖章，合同履行结束后由招标人保存全部验收资料及手续文件。</w:t>
      </w:r>
    </w:p>
    <w:p w14:paraId="1B1D101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val="0"/>
        <w:snapToGrid w:val="0"/>
        <w:spacing w:line="360" w:lineRule="auto"/>
        <w:ind w:firstLine="480" w:firstLineChars="200"/>
        <w:rPr>
          <w:rFonts w:hint="default" w:ascii="宋体" w:hAnsi="宋体" w:eastAsia="宋体" w:cs="宋体"/>
          <w:color w:val="auto"/>
          <w:kern w:val="2"/>
          <w:sz w:val="24"/>
          <w:szCs w:val="24"/>
          <w:highlight w:val="none"/>
          <w:lang w:val="en-US" w:eastAsia="zh-CN" w:bidi="ar-SA"/>
        </w:rPr>
      </w:pPr>
      <w:r>
        <w:rPr>
          <w:rFonts w:hint="default" w:ascii="宋体" w:hAnsi="宋体" w:eastAsia="宋体" w:cs="宋体"/>
          <w:color w:val="auto"/>
          <w:kern w:val="2"/>
          <w:sz w:val="24"/>
          <w:szCs w:val="24"/>
          <w:lang w:val="en-US" w:eastAsia="zh-CN" w:bidi="ar-SA"/>
        </w:rPr>
        <w:t>5.验收内容：本项目全部服</w:t>
      </w:r>
      <w:r>
        <w:rPr>
          <w:rFonts w:hint="default" w:ascii="宋体" w:hAnsi="宋体" w:eastAsia="宋体" w:cs="宋体"/>
          <w:color w:val="auto"/>
          <w:kern w:val="2"/>
          <w:sz w:val="24"/>
          <w:szCs w:val="24"/>
          <w:highlight w:val="none"/>
          <w:lang w:val="en-US" w:eastAsia="zh-CN" w:bidi="ar-SA"/>
        </w:rPr>
        <w:t>务内容及拟派人员情况。</w:t>
      </w:r>
    </w:p>
    <w:p w14:paraId="74AC673D">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val="0"/>
        <w:snapToGrid w:val="0"/>
        <w:spacing w:line="360" w:lineRule="auto"/>
        <w:ind w:firstLine="480" w:firstLineChars="200"/>
        <w:rPr>
          <w:rFonts w:hint="default" w:ascii="宋体" w:hAnsi="宋体" w:eastAsia="宋体" w:cs="宋体"/>
          <w:color w:val="auto"/>
          <w:kern w:val="2"/>
          <w:sz w:val="24"/>
          <w:szCs w:val="24"/>
          <w:highlight w:val="none"/>
          <w:lang w:val="en-US" w:eastAsia="zh-CN" w:bidi="ar-SA"/>
        </w:rPr>
      </w:pPr>
      <w:r>
        <w:rPr>
          <w:rFonts w:hint="default" w:ascii="宋体" w:hAnsi="宋体" w:eastAsia="宋体" w:cs="宋体"/>
          <w:color w:val="auto"/>
          <w:kern w:val="2"/>
          <w:sz w:val="24"/>
          <w:szCs w:val="24"/>
          <w:highlight w:val="none"/>
          <w:lang w:val="en-US" w:eastAsia="zh-CN" w:bidi="ar-SA"/>
        </w:rPr>
        <w:t>6.验收标准：采购人将结合本项目招投标文件内容、本合同约定，以及现行有效的国家标准、行业标准、地方标准，兼顾项目实际执行情况与客观量化指标，编制对应的考核打分表及考核管理办法。投标人须严格遵照考核标准执行，配合完成全流程验收工作。</w:t>
      </w:r>
    </w:p>
    <w:p w14:paraId="514FF4C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val="0"/>
        <w:snapToGrid w:val="0"/>
        <w:spacing w:line="360" w:lineRule="auto"/>
        <w:ind w:firstLine="480" w:firstLineChars="200"/>
        <w:rPr>
          <w:rFonts w:hint="eastAsia" w:ascii="宋体" w:hAnsi="宋体" w:cs="宋体"/>
          <w:sz w:val="24"/>
          <w:szCs w:val="24"/>
          <w:highlight w:val="none"/>
        </w:rPr>
      </w:pPr>
    </w:p>
    <w:p w14:paraId="6D607AD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bidi w:val="0"/>
        <w:adjustRightInd w:val="0"/>
        <w:snapToGrid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cs="宋体"/>
          <w:sz w:val="24"/>
          <w:szCs w:val="24"/>
          <w:highlight w:val="none"/>
        </w:rPr>
        <w:t>注：</w:t>
      </w:r>
      <w:r>
        <w:rPr>
          <w:rFonts w:hint="eastAsia" w:ascii="宋体" w:hAnsi="宋体" w:eastAsia="宋体" w:cs="宋体"/>
          <w:sz w:val="24"/>
          <w:szCs w:val="24"/>
          <w:highlight w:val="none"/>
          <w:lang w:val="en-US" w:eastAsia="zh-CN"/>
        </w:rPr>
        <w:t>项目需求书中标注“★”号条款为实质性条款，不得出现负偏离，否则投标无效。标注“■”要求为本项目产品重要指标。标注“▲”号的产品为核心产品，提供相同品牌核心产品且通过资格审查、符合性审查的不同投标人，按一家投标人计算。</w:t>
      </w:r>
    </w:p>
    <w:p w14:paraId="39490D74">
      <w:pPr>
        <w:snapToGrid w:val="0"/>
        <w:spacing w:line="360" w:lineRule="auto"/>
        <w:ind w:firstLine="480" w:firstLineChars="200"/>
        <w:rPr>
          <w:rFonts w:hint="eastAsia" w:ascii="宋体" w:hAnsi="宋体" w:eastAsia="宋体" w:cs="宋体"/>
          <w:sz w:val="24"/>
          <w:szCs w:val="24"/>
          <w:highlight w:val="green"/>
          <w:lang w:val="en-US" w:eastAsia="zh-CN"/>
        </w:rPr>
        <w:sectPr>
          <w:headerReference r:id="rId6" w:type="default"/>
          <w:pgSz w:w="11905" w:h="16838"/>
          <w:pgMar w:top="2041" w:right="1559" w:bottom="1701" w:left="1559" w:header="1134" w:footer="992" w:gutter="0"/>
          <w:pgNumType w:fmt="numberInDash"/>
          <w:cols w:space="720" w:num="1"/>
          <w:docGrid w:type="lines" w:linePitch="313" w:charSpace="0"/>
        </w:sectPr>
      </w:pPr>
    </w:p>
    <w:p w14:paraId="4E3735D5">
      <w:pPr>
        <w:keepNext w:val="0"/>
        <w:keepLines w:val="0"/>
        <w:pageBreakBefore w:val="0"/>
        <w:kinsoku/>
        <w:wordWrap/>
        <w:overflowPunct/>
        <w:topLinePunct w:val="0"/>
        <w:bidi w:val="0"/>
        <w:adjustRightInd w:val="0"/>
        <w:snapToGrid w:val="0"/>
        <w:spacing w:line="360" w:lineRule="auto"/>
        <w:ind w:left="0" w:leftChars="0" w:firstLine="422" w:firstLineChars="175"/>
        <w:jc w:val="both"/>
        <w:rPr>
          <w:rFonts w:hint="default" w:ascii="宋体" w:hAnsi="Times New Roman" w:eastAsia="宋体" w:cs="宋体"/>
          <w:b/>
          <w:bCs w:val="0"/>
          <w:sz w:val="24"/>
          <w:szCs w:val="24"/>
          <w:lang w:val="en-US" w:eastAsia="zh-CN"/>
        </w:rPr>
      </w:pPr>
      <w:r>
        <w:rPr>
          <w:rFonts w:hint="eastAsia" w:ascii="宋体" w:hAnsi="Times New Roman" w:eastAsia="宋体" w:cs="宋体"/>
          <w:b/>
          <w:bCs w:val="0"/>
          <w:sz w:val="24"/>
          <w:szCs w:val="24"/>
          <w:lang w:val="en-US" w:eastAsia="zh-CN"/>
        </w:rPr>
        <w:t>附件</w:t>
      </w:r>
      <w:r>
        <w:rPr>
          <w:rFonts w:hint="eastAsia" w:ascii="宋体" w:cs="宋体"/>
          <w:b/>
          <w:bCs w:val="0"/>
          <w:sz w:val="24"/>
          <w:szCs w:val="24"/>
          <w:lang w:val="en-US" w:eastAsia="zh-CN"/>
        </w:rPr>
        <w:t>4</w:t>
      </w:r>
    </w:p>
    <w:p w14:paraId="1C0AE5D0">
      <w:pPr>
        <w:keepNext w:val="0"/>
        <w:keepLines w:val="0"/>
        <w:pageBreakBefore w:val="0"/>
        <w:kinsoku/>
        <w:wordWrap/>
        <w:overflowPunct/>
        <w:topLinePunct w:val="0"/>
        <w:bidi w:val="0"/>
        <w:adjustRightInd w:val="0"/>
        <w:snapToGrid w:val="0"/>
        <w:spacing w:line="360" w:lineRule="auto"/>
        <w:jc w:val="center"/>
        <w:rPr>
          <w:rFonts w:hint="eastAsia" w:ascii="宋体" w:hAnsi="Times New Roman" w:eastAsia="宋体" w:cs="宋体"/>
          <w:b/>
          <w:bCs w:val="0"/>
          <w:sz w:val="36"/>
          <w:szCs w:val="36"/>
          <w:lang w:val="en-US" w:eastAsia="zh-CN"/>
        </w:rPr>
      </w:pPr>
      <w:r>
        <w:rPr>
          <w:rFonts w:hint="eastAsia" w:ascii="宋体" w:hAnsi="Times New Roman" w:eastAsia="宋体" w:cs="宋体"/>
          <w:b/>
          <w:bCs w:val="0"/>
          <w:sz w:val="36"/>
          <w:szCs w:val="36"/>
          <w:lang w:val="en-US" w:eastAsia="zh-CN"/>
        </w:rPr>
        <w:t>采购清单</w:t>
      </w:r>
    </w:p>
    <w:tbl>
      <w:tblPr>
        <w:tblStyle w:val="4"/>
        <w:tblW w:w="5000" w:type="pct"/>
        <w:tblInd w:w="0" w:type="dxa"/>
        <w:tblLayout w:type="autofit"/>
        <w:tblCellMar>
          <w:top w:w="0" w:type="dxa"/>
          <w:left w:w="108" w:type="dxa"/>
          <w:bottom w:w="0" w:type="dxa"/>
          <w:right w:w="108" w:type="dxa"/>
        </w:tblCellMar>
      </w:tblPr>
      <w:tblGrid>
        <w:gridCol w:w="484"/>
        <w:gridCol w:w="1396"/>
        <w:gridCol w:w="10462"/>
        <w:gridCol w:w="485"/>
        <w:gridCol w:w="485"/>
      </w:tblGrid>
      <w:tr w14:paraId="565BACF2">
        <w:tblPrEx>
          <w:tblCellMar>
            <w:top w:w="0" w:type="dxa"/>
            <w:left w:w="108" w:type="dxa"/>
            <w:bottom w:w="0" w:type="dxa"/>
            <w:right w:w="108" w:type="dxa"/>
          </w:tblCellMar>
        </w:tblPrEx>
        <w:trPr>
          <w:trHeight w:val="288" w:hRule="atLeast"/>
        </w:trPr>
        <w:tc>
          <w:tcPr>
            <w:tcW w:w="182" w:type="pct"/>
            <w:tcBorders>
              <w:top w:val="single" w:color="auto" w:sz="4" w:space="0"/>
              <w:left w:val="single" w:color="auto" w:sz="4" w:space="0"/>
              <w:bottom w:val="single" w:color="auto" w:sz="4" w:space="0"/>
              <w:right w:val="single" w:color="auto" w:sz="4" w:space="0"/>
            </w:tcBorders>
            <w:noWrap w:val="0"/>
            <w:vAlign w:val="center"/>
          </w:tcPr>
          <w:p w14:paraId="6871FB35">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序号</w:t>
            </w:r>
          </w:p>
        </w:tc>
        <w:tc>
          <w:tcPr>
            <w:tcW w:w="524" w:type="pct"/>
            <w:tcBorders>
              <w:top w:val="single" w:color="auto" w:sz="4" w:space="0"/>
              <w:left w:val="nil"/>
              <w:bottom w:val="single" w:color="auto" w:sz="4" w:space="0"/>
              <w:right w:val="single" w:color="auto" w:sz="4" w:space="0"/>
            </w:tcBorders>
            <w:noWrap w:val="0"/>
            <w:vAlign w:val="center"/>
          </w:tcPr>
          <w:p w14:paraId="42F05043">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设备名称</w:t>
            </w:r>
          </w:p>
        </w:tc>
        <w:tc>
          <w:tcPr>
            <w:tcW w:w="3927" w:type="pct"/>
            <w:tcBorders>
              <w:top w:val="single" w:color="auto" w:sz="4" w:space="0"/>
              <w:left w:val="single" w:color="auto" w:sz="4" w:space="0"/>
              <w:bottom w:val="single" w:color="auto" w:sz="4" w:space="0"/>
              <w:right w:val="single" w:color="auto" w:sz="4" w:space="0"/>
            </w:tcBorders>
            <w:noWrap w:val="0"/>
            <w:vAlign w:val="center"/>
          </w:tcPr>
          <w:p w14:paraId="5E8130F1">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技术参数</w:t>
            </w:r>
          </w:p>
        </w:tc>
        <w:tc>
          <w:tcPr>
            <w:tcW w:w="182" w:type="pct"/>
            <w:tcBorders>
              <w:top w:val="single" w:color="auto" w:sz="4" w:space="0"/>
              <w:left w:val="nil"/>
              <w:bottom w:val="single" w:color="auto" w:sz="4" w:space="0"/>
              <w:right w:val="single" w:color="auto" w:sz="4" w:space="0"/>
            </w:tcBorders>
            <w:noWrap w:val="0"/>
            <w:vAlign w:val="center"/>
          </w:tcPr>
          <w:p w14:paraId="660DC536">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val="en-US" w:eastAsia="zh-CN"/>
              </w:rPr>
              <w:t>数量</w:t>
            </w:r>
          </w:p>
        </w:tc>
        <w:tc>
          <w:tcPr>
            <w:tcW w:w="182" w:type="pct"/>
            <w:tcBorders>
              <w:top w:val="single" w:color="auto" w:sz="4" w:space="0"/>
              <w:left w:val="nil"/>
              <w:bottom w:val="single" w:color="auto" w:sz="4" w:space="0"/>
              <w:right w:val="single" w:color="auto" w:sz="4" w:space="0"/>
            </w:tcBorders>
            <w:noWrap w:val="0"/>
            <w:vAlign w:val="center"/>
          </w:tcPr>
          <w:p w14:paraId="36946B46">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备注</w:t>
            </w:r>
          </w:p>
        </w:tc>
      </w:tr>
      <w:tr w14:paraId="5D1882A1">
        <w:tblPrEx>
          <w:tblCellMar>
            <w:top w:w="0" w:type="dxa"/>
            <w:left w:w="108" w:type="dxa"/>
            <w:bottom w:w="0" w:type="dxa"/>
            <w:right w:w="108" w:type="dxa"/>
          </w:tblCellMar>
        </w:tblPrEx>
        <w:trPr>
          <w:trHeight w:val="288" w:hRule="atLeast"/>
        </w:trPr>
        <w:tc>
          <w:tcPr>
            <w:tcW w:w="182" w:type="pct"/>
            <w:tcBorders>
              <w:top w:val="single" w:color="auto" w:sz="4" w:space="0"/>
              <w:left w:val="single" w:color="auto" w:sz="4" w:space="0"/>
              <w:bottom w:val="single" w:color="auto" w:sz="4" w:space="0"/>
              <w:right w:val="single" w:color="auto" w:sz="4" w:space="0"/>
            </w:tcBorders>
            <w:noWrap w:val="0"/>
            <w:vAlign w:val="center"/>
          </w:tcPr>
          <w:p w14:paraId="3DCC4DCA">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w:t>
            </w:r>
          </w:p>
        </w:tc>
        <w:tc>
          <w:tcPr>
            <w:tcW w:w="524" w:type="pct"/>
            <w:tcBorders>
              <w:top w:val="single" w:color="auto" w:sz="4" w:space="0"/>
              <w:left w:val="nil"/>
              <w:bottom w:val="single" w:color="auto" w:sz="4" w:space="0"/>
              <w:right w:val="single" w:color="auto" w:sz="4" w:space="0"/>
            </w:tcBorders>
            <w:noWrap w:val="0"/>
            <w:vAlign w:val="center"/>
          </w:tcPr>
          <w:p w14:paraId="0852DFC6">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▲驱动电机控制系统检测与维修教学实训台</w:t>
            </w:r>
          </w:p>
        </w:tc>
        <w:tc>
          <w:tcPr>
            <w:tcW w:w="3927" w:type="pct"/>
            <w:tcBorders>
              <w:top w:val="single" w:color="auto" w:sz="4" w:space="0"/>
              <w:left w:val="single" w:color="auto" w:sz="4" w:space="0"/>
              <w:bottom w:val="single" w:color="auto" w:sz="4" w:space="0"/>
              <w:right w:val="single" w:color="auto" w:sz="4" w:space="0"/>
            </w:tcBorders>
            <w:noWrap w:val="0"/>
            <w:vAlign w:val="center"/>
          </w:tcPr>
          <w:p w14:paraId="14801C21">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一、产品功能要求</w:t>
            </w:r>
          </w:p>
          <w:p w14:paraId="44516A39">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1.电机拆装平台由变速器拆装平台和电机支架组成。</w:t>
            </w:r>
          </w:p>
          <w:p w14:paraId="2BB9477B">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配置电机检测电控系统，通过测试平台可进行电机正转、反转、加速、减速、停止等运动控制。数据显示终端可显示电机运转时的相电压、工作电压、工作电流、电机位置传感器参数、电机温度等信息。检测面板上喷绘有电机控制原理图和检测端子，检测端子可检测电机位置传感器动态信号（旋变传感器）、电机温度信号、电机UVW电压等。</w:t>
            </w:r>
          </w:p>
          <w:p w14:paraId="1CB86E54">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3.面板上配置电源开关、急停开关、状态指示灯等组成。</w:t>
            </w:r>
          </w:p>
          <w:p w14:paraId="102B8941">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4.■满足的实训任务包含但不限于</w:t>
            </w:r>
          </w:p>
          <w:p w14:paraId="3E3D6A65">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rPr>
              <w:t>4.1驱动电机结构原理认知</w:t>
            </w:r>
            <w:r>
              <w:rPr>
                <w:rFonts w:hint="eastAsia" w:ascii="宋体" w:hAnsi="宋体" w:cs="宋体"/>
                <w:b/>
                <w:bCs/>
                <w:sz w:val="24"/>
                <w:szCs w:val="24"/>
                <w:highlight w:val="none"/>
                <w:lang w:eastAsia="zh-CN"/>
              </w:rPr>
              <w:t>。</w:t>
            </w:r>
          </w:p>
          <w:p w14:paraId="1430A48A">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rPr>
              <w:t>4.2驱动电机类型与性能介绍</w:t>
            </w:r>
            <w:r>
              <w:rPr>
                <w:rFonts w:hint="eastAsia" w:ascii="宋体" w:hAnsi="宋体" w:cs="宋体"/>
                <w:b/>
                <w:bCs/>
                <w:sz w:val="24"/>
                <w:szCs w:val="24"/>
                <w:highlight w:val="none"/>
                <w:lang w:eastAsia="zh-CN"/>
              </w:rPr>
              <w:t>。</w:t>
            </w:r>
          </w:p>
          <w:p w14:paraId="04CCF92A">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rPr>
              <w:t>4.3驱动电机拆装与部件识别</w:t>
            </w:r>
            <w:r>
              <w:rPr>
                <w:rFonts w:hint="eastAsia" w:ascii="宋体" w:hAnsi="宋体" w:cs="宋体"/>
                <w:b/>
                <w:bCs/>
                <w:sz w:val="24"/>
                <w:szCs w:val="24"/>
                <w:highlight w:val="none"/>
                <w:lang w:eastAsia="zh-CN"/>
              </w:rPr>
              <w:t>。</w:t>
            </w:r>
          </w:p>
          <w:p w14:paraId="6B8ED805">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rPr>
              <w:t>4.4驱动电机信号测量与驱动检测</w:t>
            </w:r>
            <w:r>
              <w:rPr>
                <w:rFonts w:hint="eastAsia" w:ascii="宋体" w:hAnsi="宋体" w:cs="宋体"/>
                <w:b/>
                <w:bCs/>
                <w:sz w:val="24"/>
                <w:szCs w:val="24"/>
                <w:highlight w:val="none"/>
                <w:lang w:eastAsia="zh-CN"/>
              </w:rPr>
              <w:t>。</w:t>
            </w:r>
          </w:p>
          <w:p w14:paraId="1F3BAB80">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bCs/>
                <w:sz w:val="24"/>
                <w:szCs w:val="24"/>
                <w:highlight w:val="none"/>
              </w:rPr>
              <w:t>4.5电机性能与控制操作。</w:t>
            </w:r>
          </w:p>
          <w:p w14:paraId="4F91D724">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5.配件清单包含但不限于</w:t>
            </w:r>
          </w:p>
          <w:p w14:paraId="078A0109">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永磁同步电机总成 1 套</w:t>
            </w:r>
            <w:r>
              <w:rPr>
                <w:rFonts w:hint="eastAsia" w:ascii="宋体" w:hAnsi="宋体" w:cs="宋体"/>
                <w:b w:val="0"/>
                <w:bCs w:val="0"/>
                <w:sz w:val="24"/>
                <w:szCs w:val="24"/>
                <w:highlight w:val="none"/>
                <w:lang w:eastAsia="zh-CN"/>
              </w:rPr>
              <w:t>。</w:t>
            </w:r>
          </w:p>
          <w:p w14:paraId="555EE116">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直流电源 1 套</w:t>
            </w:r>
            <w:r>
              <w:rPr>
                <w:rFonts w:hint="eastAsia" w:ascii="宋体" w:hAnsi="宋体" w:cs="宋体"/>
                <w:b w:val="0"/>
                <w:bCs w:val="0"/>
                <w:sz w:val="24"/>
                <w:szCs w:val="24"/>
                <w:highlight w:val="none"/>
                <w:lang w:eastAsia="zh-CN"/>
              </w:rPr>
              <w:t>。</w:t>
            </w:r>
          </w:p>
          <w:p w14:paraId="0439720B">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电机测试线束 1 套</w:t>
            </w:r>
            <w:r>
              <w:rPr>
                <w:rFonts w:hint="eastAsia" w:ascii="宋体" w:hAnsi="宋体" w:cs="宋体"/>
                <w:b w:val="0"/>
                <w:bCs w:val="0"/>
                <w:sz w:val="24"/>
                <w:szCs w:val="24"/>
                <w:highlight w:val="none"/>
                <w:lang w:eastAsia="zh-CN"/>
              </w:rPr>
              <w:t>。</w:t>
            </w:r>
          </w:p>
          <w:p w14:paraId="265A27F7">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交互控制终端 1 套</w:t>
            </w:r>
            <w:r>
              <w:rPr>
                <w:rFonts w:hint="eastAsia" w:ascii="宋体" w:hAnsi="宋体" w:cs="宋体"/>
                <w:b w:val="0"/>
                <w:bCs w:val="0"/>
                <w:sz w:val="24"/>
                <w:szCs w:val="24"/>
                <w:highlight w:val="none"/>
                <w:lang w:eastAsia="zh-CN"/>
              </w:rPr>
              <w:t>。</w:t>
            </w:r>
          </w:p>
          <w:p w14:paraId="14A839E5">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电机控制模块 1 块</w:t>
            </w:r>
            <w:r>
              <w:rPr>
                <w:rFonts w:hint="eastAsia" w:ascii="宋体" w:hAnsi="宋体" w:cs="宋体"/>
                <w:b w:val="0"/>
                <w:bCs w:val="0"/>
                <w:sz w:val="24"/>
                <w:szCs w:val="24"/>
                <w:highlight w:val="none"/>
                <w:lang w:eastAsia="zh-CN"/>
              </w:rPr>
              <w:t>。</w:t>
            </w:r>
          </w:p>
          <w:p w14:paraId="279092C1">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电机拆装平台 1 张</w:t>
            </w:r>
            <w:r>
              <w:rPr>
                <w:rFonts w:hint="eastAsia" w:ascii="宋体" w:hAnsi="宋体" w:cs="宋体"/>
                <w:b w:val="0"/>
                <w:bCs w:val="0"/>
                <w:sz w:val="24"/>
                <w:szCs w:val="24"/>
                <w:highlight w:val="none"/>
                <w:lang w:eastAsia="zh-CN"/>
              </w:rPr>
              <w:t>。</w:t>
            </w:r>
          </w:p>
          <w:p w14:paraId="3CAB8E4A">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6.产品工艺标准要求</w:t>
            </w:r>
          </w:p>
          <w:p w14:paraId="235539ED">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6.1教学面板工艺：高强度铝塑板，高清UV喷绘表面镀膜工艺。</w:t>
            </w:r>
          </w:p>
          <w:p w14:paraId="49F6DE52">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6.2工作站主体材质/规格：框架采用铝型材材质，层板采用铁质。</w:t>
            </w:r>
          </w:p>
          <w:p w14:paraId="3A696EDF">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6.3移动脚轮：工作站移动脚轮采用4个≥5寸重型聚氨酯轮，单轮承载能力不低于320kg，配套刹车系统。</w:t>
            </w:r>
          </w:p>
          <w:p w14:paraId="53A609C2">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6.4不少于三层抽屉储存，抽屉储存空间采用重型导轨配套双锁设计，单抽屉额定承重不低于35kg。</w:t>
            </w:r>
          </w:p>
          <w:p w14:paraId="2F9B109C">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6.5配置AC220V电源插座，满足对外接电源的需求，电源插座安装有保险丝确保用电安全。</w:t>
            </w:r>
          </w:p>
          <w:p w14:paraId="1D3DA491">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7.配置驱动电机一体化零部件收纳架</w:t>
            </w:r>
          </w:p>
          <w:p w14:paraId="065D8466">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收纳架采用≥4层设计，每层按照拆装先后顺序进行布局，并使用耐油材料采用激光切割成存放零部件的外形图卡位，卡位旁边有零部件的名称。</w:t>
            </w:r>
          </w:p>
          <w:p w14:paraId="11CDC7FE">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材质：工业铝型材</w:t>
            </w:r>
            <w:r>
              <w:rPr>
                <w:rFonts w:hint="eastAsia" w:ascii="宋体" w:hAnsi="宋体" w:cs="宋体"/>
                <w:b w:val="0"/>
                <w:bCs w:val="0"/>
                <w:sz w:val="24"/>
                <w:szCs w:val="24"/>
                <w:highlight w:val="none"/>
                <w:lang w:eastAsia="zh-CN"/>
              </w:rPr>
              <w:t>。</w:t>
            </w:r>
          </w:p>
          <w:p w14:paraId="453CB04F">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规格：不小于40*40mm</w:t>
            </w:r>
            <w:r>
              <w:rPr>
                <w:rFonts w:hint="eastAsia" w:ascii="宋体" w:hAnsi="宋体" w:cs="宋体"/>
                <w:b w:val="0"/>
                <w:bCs w:val="0"/>
                <w:sz w:val="24"/>
                <w:szCs w:val="24"/>
                <w:highlight w:val="none"/>
                <w:lang w:eastAsia="zh-CN"/>
              </w:rPr>
              <w:t>。</w:t>
            </w:r>
          </w:p>
          <w:p w14:paraId="16BF9EEC">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整体规格尺寸（长*宽*高）：≥800*580*1370mm。</w:t>
            </w:r>
          </w:p>
        </w:tc>
        <w:tc>
          <w:tcPr>
            <w:tcW w:w="182" w:type="pct"/>
            <w:tcBorders>
              <w:top w:val="single" w:color="auto" w:sz="4" w:space="0"/>
              <w:left w:val="nil"/>
              <w:bottom w:val="single" w:color="auto" w:sz="4" w:space="0"/>
              <w:right w:val="single" w:color="auto" w:sz="4" w:space="0"/>
            </w:tcBorders>
            <w:noWrap w:val="0"/>
            <w:vAlign w:val="center"/>
          </w:tcPr>
          <w:p w14:paraId="57E36947">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w:t>
            </w:r>
          </w:p>
        </w:tc>
        <w:tc>
          <w:tcPr>
            <w:tcW w:w="182" w:type="pct"/>
            <w:tcBorders>
              <w:top w:val="single" w:color="auto" w:sz="4" w:space="0"/>
              <w:left w:val="nil"/>
              <w:bottom w:val="single" w:color="auto" w:sz="4" w:space="0"/>
              <w:right w:val="single" w:color="auto" w:sz="4" w:space="0"/>
            </w:tcBorders>
            <w:noWrap w:val="0"/>
            <w:vAlign w:val="center"/>
          </w:tcPr>
          <w:p w14:paraId="15AEF3A2">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p>
        </w:tc>
      </w:tr>
      <w:tr w14:paraId="435E9404">
        <w:tblPrEx>
          <w:tblCellMar>
            <w:top w:w="0" w:type="dxa"/>
            <w:left w:w="108" w:type="dxa"/>
            <w:bottom w:w="0" w:type="dxa"/>
            <w:right w:w="108" w:type="dxa"/>
          </w:tblCellMar>
        </w:tblPrEx>
        <w:trPr>
          <w:trHeight w:val="288" w:hRule="atLeast"/>
        </w:trPr>
        <w:tc>
          <w:tcPr>
            <w:tcW w:w="182" w:type="pct"/>
            <w:tcBorders>
              <w:top w:val="single" w:color="auto" w:sz="4" w:space="0"/>
              <w:left w:val="single" w:color="auto" w:sz="4" w:space="0"/>
              <w:bottom w:val="single" w:color="auto" w:sz="4" w:space="0"/>
              <w:right w:val="single" w:color="auto" w:sz="4" w:space="0"/>
            </w:tcBorders>
            <w:noWrap w:val="0"/>
            <w:vAlign w:val="center"/>
          </w:tcPr>
          <w:p w14:paraId="75A870C4">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w:t>
            </w:r>
          </w:p>
        </w:tc>
        <w:tc>
          <w:tcPr>
            <w:tcW w:w="524" w:type="pct"/>
            <w:tcBorders>
              <w:top w:val="single" w:color="auto" w:sz="4" w:space="0"/>
              <w:left w:val="nil"/>
              <w:bottom w:val="single" w:color="auto" w:sz="4" w:space="0"/>
              <w:right w:val="single" w:color="auto" w:sz="4" w:space="0"/>
            </w:tcBorders>
            <w:noWrap w:val="0"/>
            <w:vAlign w:val="center"/>
          </w:tcPr>
          <w:p w14:paraId="133495B9">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驱动电机系统检测与维修工量具</w:t>
            </w:r>
          </w:p>
        </w:tc>
        <w:tc>
          <w:tcPr>
            <w:tcW w:w="3927" w:type="pct"/>
            <w:tcBorders>
              <w:top w:val="single" w:color="auto" w:sz="4" w:space="0"/>
              <w:left w:val="single" w:color="auto" w:sz="4" w:space="0"/>
              <w:bottom w:val="single" w:color="auto" w:sz="4" w:space="0"/>
              <w:right w:val="single" w:color="auto" w:sz="4" w:space="0"/>
            </w:tcBorders>
            <w:noWrap w:val="0"/>
            <w:vAlign w:val="center"/>
          </w:tcPr>
          <w:p w14:paraId="5B1964E1">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一、产品功能要求</w:t>
            </w:r>
          </w:p>
          <w:p w14:paraId="690841F8">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1.可以与驱动电机控制系统检测与维修实训平台的配套使用，可完成检测、更换与维修驱动电机总成、检测、诊断与维修电机齿轮箱学习情境的实训需求。</w:t>
            </w:r>
          </w:p>
          <w:p w14:paraId="019375E8">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cs="宋体"/>
                <w:b w:val="0"/>
                <w:bCs w:val="0"/>
                <w:sz w:val="24"/>
                <w:szCs w:val="24"/>
                <w:highlight w:val="none"/>
                <w:lang w:val="en-US" w:eastAsia="zh-CN"/>
              </w:rPr>
              <w:t>2.</w:t>
            </w:r>
            <w:r>
              <w:rPr>
                <w:rFonts w:hint="eastAsia" w:ascii="宋体" w:hAnsi="宋体" w:eastAsia="宋体" w:cs="宋体"/>
                <w:b w:val="0"/>
                <w:bCs w:val="0"/>
                <w:sz w:val="24"/>
                <w:szCs w:val="24"/>
                <w:highlight w:val="none"/>
              </w:rPr>
              <w:t>收纳采用彩色EVA棉经过精准雕刻将辅教集成套装嵌入其中，喷绘有辅教集成套装的名称和规格。</w:t>
            </w:r>
          </w:p>
          <w:p w14:paraId="73072239">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cs="宋体"/>
                <w:b w:val="0"/>
                <w:bCs w:val="0"/>
                <w:sz w:val="24"/>
                <w:szCs w:val="24"/>
                <w:highlight w:val="none"/>
                <w:lang w:val="en-US" w:eastAsia="zh-CN"/>
              </w:rPr>
              <w:t>3.</w:t>
            </w:r>
            <w:r>
              <w:rPr>
                <w:rFonts w:hint="eastAsia" w:ascii="宋体" w:hAnsi="宋体" w:eastAsia="宋体" w:cs="宋体"/>
                <w:b w:val="0"/>
                <w:bCs w:val="0"/>
                <w:sz w:val="24"/>
                <w:szCs w:val="24"/>
                <w:highlight w:val="none"/>
              </w:rPr>
              <w:t>辅教集成套装按类别进行分类储存在示教平台内，配备锁具的抽屉。</w:t>
            </w:r>
          </w:p>
          <w:p w14:paraId="21FBD707">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二、工具清单</w:t>
            </w:r>
          </w:p>
          <w:p w14:paraId="143E9872">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 xml:space="preserve">1.尼龙棒 ≥44mm 尼龙棒，长度 </w:t>
            </w:r>
            <w:r>
              <w:rPr>
                <w:rFonts w:hint="eastAsia" w:ascii="宋体" w:hAnsi="宋体" w:cs="宋体"/>
                <w:b w:val="0"/>
                <w:bCs w:val="0"/>
                <w:sz w:val="24"/>
                <w:szCs w:val="24"/>
                <w:highlight w:val="none"/>
                <w:lang w:val="en-US" w:eastAsia="zh-CN"/>
              </w:rPr>
              <w:t>≥</w:t>
            </w:r>
            <w:r>
              <w:rPr>
                <w:rFonts w:hint="eastAsia" w:ascii="宋体" w:hAnsi="宋体" w:eastAsia="宋体" w:cs="宋体"/>
                <w:b w:val="0"/>
                <w:bCs w:val="0"/>
                <w:sz w:val="24"/>
                <w:szCs w:val="24"/>
                <w:highlight w:val="none"/>
              </w:rPr>
              <w:t>150mm 1 个</w:t>
            </w:r>
            <w:r>
              <w:rPr>
                <w:rFonts w:hint="eastAsia" w:ascii="宋体" w:hAnsi="宋体" w:cs="宋体"/>
                <w:b w:val="0"/>
                <w:bCs w:val="0"/>
                <w:sz w:val="24"/>
                <w:szCs w:val="24"/>
                <w:highlight w:val="none"/>
                <w:lang w:eastAsia="zh-CN"/>
              </w:rPr>
              <w:t>。</w:t>
            </w:r>
          </w:p>
          <w:p w14:paraId="4F34BD12">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2.电机前轴承/差速器轴承安装工装专用工装 1 个</w:t>
            </w:r>
            <w:r>
              <w:rPr>
                <w:rFonts w:hint="eastAsia" w:ascii="宋体" w:hAnsi="宋体" w:cs="宋体"/>
                <w:b w:val="0"/>
                <w:bCs w:val="0"/>
                <w:sz w:val="24"/>
                <w:szCs w:val="24"/>
                <w:highlight w:val="none"/>
                <w:lang w:eastAsia="zh-CN"/>
              </w:rPr>
              <w:t>。</w:t>
            </w:r>
          </w:p>
          <w:p w14:paraId="1B35D462">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3.电机前轴承拆卸定位块专用工装 1 个</w:t>
            </w:r>
            <w:r>
              <w:rPr>
                <w:rFonts w:hint="eastAsia" w:ascii="宋体" w:hAnsi="宋体" w:cs="宋体"/>
                <w:b w:val="0"/>
                <w:bCs w:val="0"/>
                <w:sz w:val="24"/>
                <w:szCs w:val="24"/>
                <w:highlight w:val="none"/>
                <w:lang w:eastAsia="zh-CN"/>
              </w:rPr>
              <w:t>。</w:t>
            </w:r>
          </w:p>
          <w:p w14:paraId="19FE85CA">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4.电机后轴承拆卸定位块专用工装 1 个</w:t>
            </w:r>
            <w:r>
              <w:rPr>
                <w:rFonts w:hint="eastAsia" w:ascii="宋体" w:hAnsi="宋体" w:cs="宋体"/>
                <w:b w:val="0"/>
                <w:bCs w:val="0"/>
                <w:sz w:val="24"/>
                <w:szCs w:val="24"/>
                <w:highlight w:val="none"/>
                <w:lang w:eastAsia="zh-CN"/>
              </w:rPr>
              <w:t>。</w:t>
            </w:r>
          </w:p>
          <w:p w14:paraId="036A15C8">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5.差速器轴承拆卸定位块专用工装 1 个</w:t>
            </w:r>
            <w:r>
              <w:rPr>
                <w:rFonts w:hint="eastAsia" w:ascii="宋体" w:hAnsi="宋体" w:cs="宋体"/>
                <w:b w:val="0"/>
                <w:bCs w:val="0"/>
                <w:sz w:val="24"/>
                <w:szCs w:val="24"/>
                <w:highlight w:val="none"/>
                <w:lang w:eastAsia="zh-CN"/>
              </w:rPr>
              <w:t>。</w:t>
            </w:r>
          </w:p>
          <w:p w14:paraId="57485BB3">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6.转子支撑专用工具铝合金材质 1 个</w:t>
            </w:r>
            <w:r>
              <w:rPr>
                <w:rFonts w:hint="eastAsia" w:ascii="宋体" w:hAnsi="宋体" w:cs="宋体"/>
                <w:b w:val="0"/>
                <w:bCs w:val="0"/>
                <w:sz w:val="24"/>
                <w:szCs w:val="24"/>
                <w:highlight w:val="none"/>
                <w:lang w:eastAsia="zh-CN"/>
              </w:rPr>
              <w:t>。</w:t>
            </w:r>
          </w:p>
          <w:p w14:paraId="047ABBFD">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7.转子拆装导向支架包含弓形架1个，定位轴1根，调整板 2 块，紧固螺栓 8</w:t>
            </w:r>
            <w:r>
              <w:rPr>
                <w:rFonts w:hint="eastAsia" w:ascii="宋体" w:hAnsi="宋体" w:cs="宋体"/>
                <w:b w:val="0"/>
                <w:bCs w:val="0"/>
                <w:sz w:val="24"/>
                <w:szCs w:val="24"/>
                <w:highlight w:val="none"/>
                <w:lang w:val="en-US" w:eastAsia="zh-CN"/>
              </w:rPr>
              <w:t>颗</w:t>
            </w:r>
            <w:r>
              <w:rPr>
                <w:rFonts w:hint="eastAsia" w:ascii="宋体" w:hAnsi="宋体" w:cs="宋体"/>
                <w:b w:val="0"/>
                <w:bCs w:val="0"/>
                <w:sz w:val="24"/>
                <w:szCs w:val="24"/>
                <w:highlight w:val="none"/>
                <w:lang w:eastAsia="zh-CN"/>
              </w:rPr>
              <w:t>。</w:t>
            </w:r>
          </w:p>
          <w:p w14:paraId="41E12F74">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8.3 轴摆放定位板专用工装 1 个</w:t>
            </w:r>
            <w:r>
              <w:rPr>
                <w:rFonts w:hint="eastAsia" w:ascii="宋体" w:hAnsi="宋体" w:cs="宋体"/>
                <w:b w:val="0"/>
                <w:bCs w:val="0"/>
                <w:sz w:val="24"/>
                <w:szCs w:val="24"/>
                <w:highlight w:val="none"/>
                <w:lang w:eastAsia="zh-CN"/>
              </w:rPr>
              <w:t>。</w:t>
            </w:r>
          </w:p>
          <w:p w14:paraId="49BA1835">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9.后箱体摆放定位板专用工装 1 个</w:t>
            </w:r>
            <w:r>
              <w:rPr>
                <w:rFonts w:hint="eastAsia" w:ascii="宋体" w:hAnsi="宋体" w:cs="宋体"/>
                <w:b w:val="0"/>
                <w:bCs w:val="0"/>
                <w:sz w:val="24"/>
                <w:szCs w:val="24"/>
                <w:highlight w:val="none"/>
                <w:lang w:eastAsia="zh-CN"/>
              </w:rPr>
              <w:t>。</w:t>
            </w:r>
          </w:p>
          <w:p w14:paraId="5B917610">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10.电机花键手轮专用工装 1 个</w:t>
            </w:r>
            <w:r>
              <w:rPr>
                <w:rFonts w:hint="eastAsia" w:ascii="宋体" w:hAnsi="宋体" w:cs="宋体"/>
                <w:b w:val="0"/>
                <w:bCs w:val="0"/>
                <w:sz w:val="24"/>
                <w:szCs w:val="24"/>
                <w:highlight w:val="none"/>
                <w:lang w:eastAsia="zh-CN"/>
              </w:rPr>
              <w:t>。</w:t>
            </w:r>
          </w:p>
          <w:p w14:paraId="233DEF0C">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11.轴承拆装压力机 20T1 台</w:t>
            </w:r>
            <w:r>
              <w:rPr>
                <w:rFonts w:hint="eastAsia" w:ascii="宋体" w:hAnsi="宋体" w:cs="宋体"/>
                <w:b w:val="0"/>
                <w:bCs w:val="0"/>
                <w:sz w:val="24"/>
                <w:szCs w:val="24"/>
                <w:highlight w:val="none"/>
                <w:lang w:eastAsia="zh-CN"/>
              </w:rPr>
              <w:t>。</w:t>
            </w:r>
          </w:p>
          <w:p w14:paraId="437AB465">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12.2 或 3 爪拉马通用 4 寸 1 个</w:t>
            </w:r>
            <w:r>
              <w:rPr>
                <w:rFonts w:hint="eastAsia" w:ascii="宋体" w:hAnsi="宋体" w:cs="宋体"/>
                <w:b w:val="0"/>
                <w:bCs w:val="0"/>
                <w:sz w:val="24"/>
                <w:szCs w:val="24"/>
                <w:highlight w:val="none"/>
                <w:lang w:eastAsia="zh-CN"/>
              </w:rPr>
              <w:t>。</w:t>
            </w:r>
          </w:p>
          <w:p w14:paraId="0A166CA2">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13.2 或 3 爪拉马通用 6 寸 1 个</w:t>
            </w:r>
            <w:r>
              <w:rPr>
                <w:rFonts w:hint="eastAsia" w:ascii="宋体" w:hAnsi="宋体" w:cs="宋体"/>
                <w:b w:val="0"/>
                <w:bCs w:val="0"/>
                <w:sz w:val="24"/>
                <w:szCs w:val="24"/>
                <w:highlight w:val="none"/>
                <w:lang w:eastAsia="zh-CN"/>
              </w:rPr>
              <w:t>。</w:t>
            </w:r>
          </w:p>
          <w:p w14:paraId="6D613BC8">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14.2 或 3 爪拉马通用型 12 寸 1 个</w:t>
            </w:r>
            <w:r>
              <w:rPr>
                <w:rFonts w:hint="eastAsia" w:ascii="宋体" w:hAnsi="宋体" w:cs="宋体"/>
                <w:b w:val="0"/>
                <w:bCs w:val="0"/>
                <w:sz w:val="24"/>
                <w:szCs w:val="24"/>
                <w:highlight w:val="none"/>
                <w:lang w:eastAsia="zh-CN"/>
              </w:rPr>
              <w:t>。</w:t>
            </w:r>
          </w:p>
          <w:p w14:paraId="0561D273">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15.轴承拉马万用型，精钢材质，耐磨抗拉 1 套</w:t>
            </w:r>
            <w:r>
              <w:rPr>
                <w:rFonts w:hint="eastAsia" w:ascii="宋体" w:hAnsi="宋体" w:cs="宋体"/>
                <w:b w:val="0"/>
                <w:bCs w:val="0"/>
                <w:sz w:val="24"/>
                <w:szCs w:val="24"/>
                <w:highlight w:val="none"/>
                <w:lang w:eastAsia="zh-CN"/>
              </w:rPr>
              <w:t>。</w:t>
            </w:r>
          </w:p>
          <w:p w14:paraId="6AB55C7A">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16.管钳 14 寸 1 个</w:t>
            </w:r>
            <w:r>
              <w:rPr>
                <w:rFonts w:hint="eastAsia" w:ascii="宋体" w:hAnsi="宋体" w:cs="宋体"/>
                <w:b w:val="0"/>
                <w:bCs w:val="0"/>
                <w:sz w:val="24"/>
                <w:szCs w:val="24"/>
                <w:highlight w:val="none"/>
                <w:lang w:eastAsia="zh-CN"/>
              </w:rPr>
              <w:t>。</w:t>
            </w:r>
          </w:p>
          <w:p w14:paraId="172BCFED">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17.磁通测试仪1 个</w:t>
            </w:r>
            <w:r>
              <w:rPr>
                <w:rFonts w:hint="eastAsia" w:ascii="宋体" w:hAnsi="宋体" w:cs="宋体"/>
                <w:b w:val="0"/>
                <w:bCs w:val="0"/>
                <w:sz w:val="24"/>
                <w:szCs w:val="24"/>
                <w:highlight w:val="none"/>
                <w:lang w:eastAsia="zh-CN"/>
              </w:rPr>
              <w:t>。</w:t>
            </w:r>
          </w:p>
          <w:p w14:paraId="01978D85">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18.5V 电源 1 台</w:t>
            </w:r>
            <w:r>
              <w:rPr>
                <w:rFonts w:hint="eastAsia" w:ascii="宋体" w:hAnsi="宋体" w:cs="宋体"/>
                <w:b w:val="0"/>
                <w:bCs w:val="0"/>
                <w:sz w:val="24"/>
                <w:szCs w:val="24"/>
                <w:highlight w:val="none"/>
                <w:lang w:eastAsia="zh-CN"/>
              </w:rPr>
              <w:t>。</w:t>
            </w:r>
          </w:p>
          <w:p w14:paraId="59522C0D">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19.三轴轴调整垫片（差速器调整垫片）（0.50~1.2 cm），15个规格每个1片</w:t>
            </w:r>
            <w:r>
              <w:rPr>
                <w:rFonts w:hint="eastAsia" w:ascii="宋体" w:hAnsi="宋体" w:cs="宋体"/>
                <w:b w:val="0"/>
                <w:bCs w:val="0"/>
                <w:sz w:val="24"/>
                <w:szCs w:val="24"/>
                <w:highlight w:val="none"/>
                <w:lang w:eastAsia="zh-CN"/>
              </w:rPr>
              <w:t>。</w:t>
            </w:r>
          </w:p>
          <w:p w14:paraId="703C85A3">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w:t>
            </w:r>
            <w:r>
              <w:rPr>
                <w:rFonts w:hint="eastAsia" w:ascii="宋体" w:hAnsi="宋体" w:cs="宋体"/>
                <w:b w:val="0"/>
                <w:bCs w:val="0"/>
                <w:sz w:val="24"/>
                <w:szCs w:val="24"/>
                <w:highlight w:val="none"/>
                <w:lang w:val="en-US" w:eastAsia="zh-CN"/>
              </w:rPr>
              <w:t>0</w:t>
            </w:r>
            <w:r>
              <w:rPr>
                <w:rFonts w:hint="eastAsia" w:ascii="宋体" w:hAnsi="宋体" w:eastAsia="宋体" w:cs="宋体"/>
                <w:b w:val="0"/>
                <w:bCs w:val="0"/>
                <w:sz w:val="24"/>
                <w:szCs w:val="24"/>
                <w:highlight w:val="none"/>
              </w:rPr>
              <w:t>.差速器半轴拆卸专用接杆 Cr-V 钢制造，表面三层镜面电镀－镍镍铬，硬度最高 HRC50、1 个。</w:t>
            </w:r>
          </w:p>
          <w:p w14:paraId="14EF88F6">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2</w:t>
            </w:r>
            <w:r>
              <w:rPr>
                <w:rFonts w:hint="eastAsia" w:ascii="宋体" w:hAnsi="宋体" w:cs="宋体"/>
                <w:b w:val="0"/>
                <w:bCs w:val="0"/>
                <w:sz w:val="24"/>
                <w:szCs w:val="24"/>
                <w:highlight w:val="none"/>
                <w:lang w:val="en-US" w:eastAsia="zh-CN"/>
              </w:rPr>
              <w:t>1</w:t>
            </w:r>
            <w:r>
              <w:rPr>
                <w:rFonts w:hint="eastAsia" w:ascii="宋体" w:hAnsi="宋体" w:eastAsia="宋体" w:cs="宋体"/>
                <w:b w:val="0"/>
                <w:bCs w:val="0"/>
                <w:sz w:val="24"/>
                <w:szCs w:val="24"/>
                <w:highlight w:val="none"/>
              </w:rPr>
              <w:t>.转子托架双导轨滑块加托盘 1 套</w:t>
            </w:r>
            <w:r>
              <w:rPr>
                <w:rFonts w:hint="eastAsia" w:ascii="宋体" w:hAnsi="宋体" w:cs="宋体"/>
                <w:b w:val="0"/>
                <w:bCs w:val="0"/>
                <w:sz w:val="24"/>
                <w:szCs w:val="24"/>
                <w:highlight w:val="none"/>
                <w:lang w:eastAsia="zh-CN"/>
              </w:rPr>
              <w:t>。</w:t>
            </w:r>
          </w:p>
          <w:p w14:paraId="19065F72">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w:t>
            </w:r>
            <w:r>
              <w:rPr>
                <w:rFonts w:hint="eastAsia" w:ascii="宋体" w:hAnsi="宋体" w:cs="宋体"/>
                <w:b w:val="0"/>
                <w:bCs w:val="0"/>
                <w:sz w:val="24"/>
                <w:szCs w:val="24"/>
                <w:highlight w:val="none"/>
                <w:lang w:val="en-US" w:eastAsia="zh-CN"/>
              </w:rPr>
              <w:t>2</w:t>
            </w:r>
            <w:r>
              <w:rPr>
                <w:rFonts w:hint="eastAsia" w:ascii="宋体" w:hAnsi="宋体" w:eastAsia="宋体" w:cs="宋体"/>
                <w:b w:val="0"/>
                <w:bCs w:val="0"/>
                <w:sz w:val="24"/>
                <w:szCs w:val="24"/>
                <w:highlight w:val="none"/>
              </w:rPr>
              <w:t>.转子轴承拆装固定座专用工装 1 个。</w:t>
            </w:r>
          </w:p>
        </w:tc>
        <w:tc>
          <w:tcPr>
            <w:tcW w:w="182" w:type="pct"/>
            <w:tcBorders>
              <w:top w:val="single" w:color="auto" w:sz="4" w:space="0"/>
              <w:left w:val="nil"/>
              <w:bottom w:val="single" w:color="auto" w:sz="4" w:space="0"/>
              <w:right w:val="single" w:color="auto" w:sz="4" w:space="0"/>
            </w:tcBorders>
            <w:noWrap w:val="0"/>
            <w:vAlign w:val="center"/>
          </w:tcPr>
          <w:p w14:paraId="47896D4D">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w:t>
            </w:r>
          </w:p>
        </w:tc>
        <w:tc>
          <w:tcPr>
            <w:tcW w:w="182" w:type="pct"/>
            <w:tcBorders>
              <w:top w:val="single" w:color="auto" w:sz="4" w:space="0"/>
              <w:left w:val="nil"/>
              <w:bottom w:val="single" w:color="auto" w:sz="4" w:space="0"/>
              <w:right w:val="single" w:color="auto" w:sz="4" w:space="0"/>
            </w:tcBorders>
            <w:noWrap w:val="0"/>
            <w:vAlign w:val="center"/>
          </w:tcPr>
          <w:p w14:paraId="0A891E1A">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p>
        </w:tc>
      </w:tr>
      <w:tr w14:paraId="60D9A80C">
        <w:tblPrEx>
          <w:tblCellMar>
            <w:top w:w="0" w:type="dxa"/>
            <w:left w:w="108" w:type="dxa"/>
            <w:bottom w:w="0" w:type="dxa"/>
            <w:right w:w="108" w:type="dxa"/>
          </w:tblCellMar>
        </w:tblPrEx>
        <w:trPr>
          <w:trHeight w:val="288" w:hRule="atLeast"/>
        </w:trPr>
        <w:tc>
          <w:tcPr>
            <w:tcW w:w="182" w:type="pct"/>
            <w:tcBorders>
              <w:top w:val="single" w:color="auto" w:sz="4" w:space="0"/>
              <w:left w:val="single" w:color="auto" w:sz="4" w:space="0"/>
              <w:bottom w:val="single" w:color="auto" w:sz="4" w:space="0"/>
              <w:right w:val="single" w:color="auto" w:sz="4" w:space="0"/>
            </w:tcBorders>
            <w:noWrap w:val="0"/>
            <w:vAlign w:val="center"/>
          </w:tcPr>
          <w:p w14:paraId="59DBF23D">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w:t>
            </w:r>
          </w:p>
        </w:tc>
        <w:tc>
          <w:tcPr>
            <w:tcW w:w="524" w:type="pct"/>
            <w:tcBorders>
              <w:top w:val="single" w:color="auto" w:sz="4" w:space="0"/>
              <w:left w:val="nil"/>
              <w:bottom w:val="single" w:color="auto" w:sz="4" w:space="0"/>
              <w:right w:val="single" w:color="auto" w:sz="4" w:space="0"/>
            </w:tcBorders>
            <w:noWrap w:val="0"/>
            <w:vAlign w:val="center"/>
          </w:tcPr>
          <w:p w14:paraId="70C059BA">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▲动力电池管理系统教学实训台</w:t>
            </w:r>
          </w:p>
        </w:tc>
        <w:tc>
          <w:tcPr>
            <w:tcW w:w="3927" w:type="pct"/>
            <w:tcBorders>
              <w:top w:val="single" w:color="auto" w:sz="4" w:space="0"/>
              <w:left w:val="single" w:color="auto" w:sz="4" w:space="0"/>
              <w:bottom w:val="single" w:color="auto" w:sz="4" w:space="0"/>
              <w:right w:val="single" w:color="auto" w:sz="4" w:space="0"/>
            </w:tcBorders>
            <w:noWrap w:val="0"/>
            <w:vAlign w:val="center"/>
          </w:tcPr>
          <w:p w14:paraId="49154298">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一、产品功能要求</w:t>
            </w:r>
          </w:p>
          <w:p w14:paraId="4E3C6B08">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1.配置专用装调绝缘工作台，在绝缘工作台上可进行电源管理系统的零部件装配，线路连接训练</w:t>
            </w:r>
            <w:r>
              <w:rPr>
                <w:rFonts w:hint="eastAsia" w:ascii="宋体" w:hAnsi="宋体" w:cs="宋体"/>
                <w:b w:val="0"/>
                <w:bCs w:val="0"/>
                <w:sz w:val="24"/>
                <w:szCs w:val="24"/>
                <w:highlight w:val="none"/>
                <w:lang w:eastAsia="zh-CN"/>
              </w:rPr>
              <w:t>。</w:t>
            </w:r>
          </w:p>
          <w:p w14:paraId="0BF2EAEE">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2.采用磷酸铁锂动力电池配置专用底座及连接端子可满足动力电池反复拆装训练，单体电池6块为一个单元模块，不少于4个模组构成</w:t>
            </w:r>
            <w:r>
              <w:rPr>
                <w:rFonts w:hint="eastAsia" w:ascii="宋体" w:hAnsi="宋体" w:cs="宋体"/>
                <w:b w:val="0"/>
                <w:bCs w:val="0"/>
                <w:sz w:val="24"/>
                <w:szCs w:val="24"/>
                <w:highlight w:val="none"/>
                <w:lang w:eastAsia="zh-CN"/>
              </w:rPr>
              <w:t>。</w:t>
            </w:r>
          </w:p>
          <w:p w14:paraId="7F99CB5D">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3.采用车规级维修开关，可进行维修开关的装配和电路接线训练</w:t>
            </w:r>
            <w:r>
              <w:rPr>
                <w:rFonts w:hint="eastAsia" w:ascii="宋体" w:hAnsi="宋体" w:cs="宋体"/>
                <w:b w:val="0"/>
                <w:bCs w:val="0"/>
                <w:sz w:val="24"/>
                <w:szCs w:val="24"/>
                <w:highlight w:val="none"/>
                <w:lang w:eastAsia="zh-CN"/>
              </w:rPr>
              <w:t>。</w:t>
            </w:r>
          </w:p>
          <w:p w14:paraId="3C42EB1D">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采用国标通讯协议，BMS管理系统实时动态采集单体电池电压，电池组温度等数据，通过CAN总线、触摸显示屏、数字化软件将SOC数值、电池单体电压、充放电电流、动力电池组总电压、温度等数据输送至多媒体端显示屏上，数据可实时动态显示。</w:t>
            </w:r>
          </w:p>
          <w:p w14:paraId="0D230835">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5.可进行单体电芯的均衡训练</w:t>
            </w:r>
            <w:r>
              <w:rPr>
                <w:rFonts w:hint="eastAsia" w:ascii="宋体" w:hAnsi="宋体" w:cs="宋体"/>
                <w:b w:val="0"/>
                <w:bCs w:val="0"/>
                <w:sz w:val="24"/>
                <w:szCs w:val="24"/>
                <w:highlight w:val="none"/>
                <w:lang w:eastAsia="zh-CN"/>
              </w:rPr>
              <w:t>。</w:t>
            </w:r>
          </w:p>
          <w:p w14:paraId="290E5602">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6.配置国标充电接口和车载充电机模块，可进行充电机的装调，装调后可通过充电桩对系统进行充电操作</w:t>
            </w:r>
            <w:r>
              <w:rPr>
                <w:rFonts w:hint="eastAsia" w:ascii="宋体" w:hAnsi="宋体" w:cs="宋体"/>
                <w:b w:val="0"/>
                <w:bCs w:val="0"/>
                <w:sz w:val="24"/>
                <w:szCs w:val="24"/>
                <w:highlight w:val="none"/>
                <w:lang w:eastAsia="zh-CN"/>
              </w:rPr>
              <w:t>。</w:t>
            </w:r>
          </w:p>
          <w:p w14:paraId="344DA62F">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7.配置充放电高压接触器，可进行高压接触器的安装布线教学训练</w:t>
            </w:r>
            <w:r>
              <w:rPr>
                <w:rFonts w:hint="eastAsia" w:ascii="宋体" w:hAnsi="宋体" w:cs="宋体"/>
                <w:b w:val="0"/>
                <w:bCs w:val="0"/>
                <w:sz w:val="24"/>
                <w:szCs w:val="24"/>
                <w:highlight w:val="none"/>
                <w:lang w:eastAsia="zh-CN"/>
              </w:rPr>
              <w:t>。</w:t>
            </w:r>
          </w:p>
          <w:p w14:paraId="2FDB07AB">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8.配置DC/DC模块可进行DC/DC模块的安装布线教学训练</w:t>
            </w:r>
            <w:r>
              <w:rPr>
                <w:rFonts w:hint="eastAsia" w:ascii="宋体" w:hAnsi="宋体" w:cs="宋体"/>
                <w:b w:val="0"/>
                <w:bCs w:val="0"/>
                <w:sz w:val="24"/>
                <w:szCs w:val="24"/>
                <w:highlight w:val="none"/>
                <w:lang w:eastAsia="zh-CN"/>
              </w:rPr>
              <w:t>。</w:t>
            </w:r>
          </w:p>
          <w:p w14:paraId="0BE7ECC2">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9.配置预充电阻及预充接触器，可以进行预充电路布线的教学训练。</w:t>
            </w:r>
          </w:p>
          <w:p w14:paraId="297F907B">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二、安全措施要求</w:t>
            </w:r>
          </w:p>
          <w:p w14:paraId="2B1E9D13">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1.电气安全防护</w:t>
            </w:r>
          </w:p>
          <w:p w14:paraId="207A232A">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绝缘工作台：应采用符合IEC 61140标准的绝缘材料台面，耐受电压≥1000V，防止高压触电风险。</w:t>
            </w:r>
          </w:p>
          <w:p w14:paraId="66E4B248">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高压安全警示：所有高压部件（如接触器、DC/DC模块）均贴有醒目的黄色高压危险标识，并配有透明防护罩。</w:t>
            </w:r>
          </w:p>
          <w:p w14:paraId="4C3C2BAE">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过流/过压保护：内置高压熔断器（额定电流匹配系统参数）和过压继电器，当电压超过安全阈值（如≥400V）时自动切断电源。</w:t>
            </w:r>
          </w:p>
          <w:p w14:paraId="0DBBBE35">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2.机械与操作安全</w:t>
            </w:r>
          </w:p>
          <w:p w14:paraId="45012BA6">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防误操作设计：</w:t>
            </w:r>
          </w:p>
          <w:p w14:paraId="3D0E2415">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维修开关需使用专用工具拔出，拔出后自动切断高压回路。</w:t>
            </w:r>
          </w:p>
          <w:p w14:paraId="15147FE6">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充电接口配备锁止机构，充电时无法强行断开，避免电弧产生。</w:t>
            </w:r>
          </w:p>
          <w:p w14:paraId="5A5338FD">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结构稳定性：电池模组底座采用螺栓固定，承重≥50kg，防止倾倒；所有接线端子均为防呆设计，避免插反导致短路。</w:t>
            </w:r>
          </w:p>
          <w:p w14:paraId="2D8D6374">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3.■数据与监控安全</w:t>
            </w:r>
          </w:p>
          <w:p w14:paraId="37D75788">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实时故障预警：BMS系统内置故障诊断算法，当检测到过温（如单体电池温度≥60℃）、过充（SOC≥100%）或通讯异常时，立即通过显示屏弹出红色警报并切断充放电回路。</w:t>
            </w:r>
          </w:p>
          <w:p w14:paraId="4D547010">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bCs/>
                <w:sz w:val="24"/>
                <w:szCs w:val="24"/>
                <w:highlight w:val="none"/>
              </w:rPr>
              <w:t>软件权限管理：数字化软件设置三级权限（学生/教师/管理员），学生模式下无法修改关键参数（如均衡电流、充电电压），教师可远程监控所有实训台状态。</w:t>
            </w:r>
          </w:p>
          <w:p w14:paraId="56A067BC">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4.应急处理措施</w:t>
            </w:r>
          </w:p>
          <w:p w14:paraId="7DD06D20">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应急断电装置：实训台侧面配备红色急停按钮，按下后立即切断所有电源（包括高压和低压）。</w:t>
            </w:r>
          </w:p>
          <w:p w14:paraId="438657CC">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消防与防护：每台设备旁配备ABC干粉灭火器和绝缘手套（耐压等级≥1000V），并在实训区域张贴《高压应急处置流程》海报。</w:t>
            </w:r>
          </w:p>
          <w:p w14:paraId="4F04F4A3">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5.环保与长期安全</w:t>
            </w:r>
          </w:p>
          <w:p w14:paraId="2A1AFBAA">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电池安全存储：闲置电池模组需存放在通风干燥的专用柜中，温度控制在10-30℃，避免挤压或短路。</w:t>
            </w:r>
          </w:p>
          <w:p w14:paraId="260D78FC">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定期维护要求：每学期进行一次全面检测，包括绝缘电阻测试（≥10MΩ）、接触器触点检查和软件系统升级，确保设备长期稳定运行。</w:t>
            </w:r>
          </w:p>
          <w:p w14:paraId="083ADA7F">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三、配套触控显示屏要求</w:t>
            </w:r>
          </w:p>
          <w:p w14:paraId="418E4466">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显示屏规格：≥32寸，内存：≥16G；CPU采用不低于酷睿I7十二代；硬盘：不低于500G；千兆网口6个，传输速度1Gbps，其中支持PoE网口不少于4个；PCI总线不少于2个；PCIE总线插槽不少于3个；串口不少于2个；显示终端1个，不小于21.5英寸，支持挂壁；背光类型：LED背光；包含键盘、鼠标</w:t>
            </w:r>
            <w:r>
              <w:rPr>
                <w:rFonts w:hint="eastAsia" w:ascii="宋体" w:hAnsi="宋体" w:cs="宋体"/>
                <w:b w:val="0"/>
                <w:bCs w:val="0"/>
                <w:sz w:val="24"/>
                <w:szCs w:val="24"/>
                <w:highlight w:val="none"/>
                <w:lang w:eastAsia="zh-CN"/>
              </w:rPr>
              <w:t>。</w:t>
            </w:r>
          </w:p>
          <w:p w14:paraId="05D41F0A">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三、产品规格参数要求</w:t>
            </w:r>
          </w:p>
          <w:p w14:paraId="2C001181">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电池包电压：≥DC 72V</w:t>
            </w:r>
            <w:r>
              <w:rPr>
                <w:rFonts w:hint="eastAsia" w:ascii="宋体" w:hAnsi="宋体" w:cs="宋体"/>
                <w:b w:val="0"/>
                <w:bCs w:val="0"/>
                <w:sz w:val="24"/>
                <w:szCs w:val="24"/>
                <w:highlight w:val="none"/>
                <w:lang w:eastAsia="zh-CN"/>
              </w:rPr>
              <w:t>。</w:t>
            </w:r>
          </w:p>
          <w:p w14:paraId="1A21A1E1">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工作电压：DC 12V</w:t>
            </w:r>
            <w:r>
              <w:rPr>
                <w:rFonts w:hint="eastAsia" w:ascii="宋体" w:hAnsi="宋体" w:cs="宋体"/>
                <w:b w:val="0"/>
                <w:bCs w:val="0"/>
                <w:sz w:val="24"/>
                <w:szCs w:val="24"/>
                <w:highlight w:val="none"/>
                <w:lang w:eastAsia="zh-CN"/>
              </w:rPr>
              <w:t>。</w:t>
            </w:r>
          </w:p>
          <w:p w14:paraId="1875F79A">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rPr>
              <w:t>四、■配套“高压安全认知交互软件”及“高压电池交互软件”</w:t>
            </w:r>
          </w:p>
          <w:p w14:paraId="74ECCA6E">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1.产品要求</w:t>
            </w:r>
          </w:p>
          <w:p w14:paraId="19E28B35">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软件需采用unity3D引擎技术C#编程语言进行架构设计使三维结构可视化，可在Windows平台运行。</w:t>
            </w:r>
          </w:p>
          <w:p w14:paraId="64994A56">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2.技术要求</w:t>
            </w:r>
          </w:p>
          <w:p w14:paraId="6E8380D0">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2.1开发工具：Unity 3D。</w:t>
            </w:r>
          </w:p>
          <w:p w14:paraId="2A526694">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2.2运行环境：不低于Windows10版本。</w:t>
            </w:r>
          </w:p>
          <w:p w14:paraId="324D29A2">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2.3可以通过鼠标或触控在场景中进行流畅交互操作。</w:t>
            </w:r>
          </w:p>
          <w:p w14:paraId="3A20BC84">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2.4具备资源异步加载功能，可实现硬件优化和内容的迭代扩展。</w:t>
            </w:r>
          </w:p>
          <w:p w14:paraId="35C93D09">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2.5三维模型要求是参照物理尺寸建模，采用PBR（基于物理的渲染）流程还原全局真实照明。</w:t>
            </w:r>
          </w:p>
          <w:p w14:paraId="690FEDDC">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2.6高压安全与防护模型是用几何相似或物理类比方法建立的，可以实现系统的内部特性，可以满足实训所必需的环境条件。</w:t>
            </w:r>
          </w:p>
          <w:p w14:paraId="69FBC77F">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2.7软件主页布局设有“安全防护装备、安全检测工具”等对应图标学习入口。</w:t>
            </w:r>
          </w:p>
          <w:p w14:paraId="3ABB02A4">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bCs/>
                <w:sz w:val="24"/>
                <w:szCs w:val="24"/>
                <w:highlight w:val="none"/>
              </w:rPr>
              <w:t>3.功能要求：主机配备有动力电池教学管理平台，软件具备资源浏览、实训测试、参数设置等功能。内嵌课程资源，课程资源主要包含课件和微课视频。实训测试显示不同充放电状态下每个单体电池电压、温度、电池包放电电流、绝缘阻值、电池状态、充电信息、继电器状态、容量、电池包放电电压等参数变化，学习新能源汽车充电系统原理以及单体电池充电特性。</w:t>
            </w:r>
          </w:p>
        </w:tc>
        <w:tc>
          <w:tcPr>
            <w:tcW w:w="182" w:type="pct"/>
            <w:tcBorders>
              <w:top w:val="single" w:color="auto" w:sz="4" w:space="0"/>
              <w:left w:val="nil"/>
              <w:bottom w:val="single" w:color="auto" w:sz="4" w:space="0"/>
              <w:right w:val="single" w:color="auto" w:sz="4" w:space="0"/>
            </w:tcBorders>
            <w:noWrap w:val="0"/>
            <w:vAlign w:val="center"/>
          </w:tcPr>
          <w:p w14:paraId="264FCA15">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w:t>
            </w:r>
          </w:p>
        </w:tc>
        <w:tc>
          <w:tcPr>
            <w:tcW w:w="182" w:type="pct"/>
            <w:tcBorders>
              <w:top w:val="single" w:color="auto" w:sz="4" w:space="0"/>
              <w:left w:val="nil"/>
              <w:bottom w:val="single" w:color="auto" w:sz="4" w:space="0"/>
              <w:right w:val="single" w:color="auto" w:sz="4" w:space="0"/>
            </w:tcBorders>
            <w:noWrap w:val="0"/>
            <w:vAlign w:val="center"/>
          </w:tcPr>
          <w:p w14:paraId="77FEF8E5">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p>
        </w:tc>
      </w:tr>
      <w:tr w14:paraId="6BC084AA">
        <w:tblPrEx>
          <w:tblCellMar>
            <w:top w:w="0" w:type="dxa"/>
            <w:left w:w="108" w:type="dxa"/>
            <w:bottom w:w="0" w:type="dxa"/>
            <w:right w:w="108" w:type="dxa"/>
          </w:tblCellMar>
        </w:tblPrEx>
        <w:trPr>
          <w:trHeight w:val="288" w:hRule="atLeast"/>
        </w:trPr>
        <w:tc>
          <w:tcPr>
            <w:tcW w:w="182" w:type="pct"/>
            <w:tcBorders>
              <w:top w:val="single" w:color="auto" w:sz="4" w:space="0"/>
              <w:left w:val="single" w:color="auto" w:sz="4" w:space="0"/>
              <w:bottom w:val="single" w:color="auto" w:sz="4" w:space="0"/>
              <w:right w:val="single" w:color="auto" w:sz="4" w:space="0"/>
            </w:tcBorders>
            <w:noWrap w:val="0"/>
            <w:vAlign w:val="center"/>
          </w:tcPr>
          <w:p w14:paraId="7D01AD55">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w:t>
            </w:r>
          </w:p>
        </w:tc>
        <w:tc>
          <w:tcPr>
            <w:tcW w:w="524" w:type="pct"/>
            <w:tcBorders>
              <w:top w:val="single" w:color="auto" w:sz="4" w:space="0"/>
              <w:left w:val="nil"/>
              <w:bottom w:val="single" w:color="auto" w:sz="4" w:space="0"/>
              <w:right w:val="single" w:color="auto" w:sz="4" w:space="0"/>
            </w:tcBorders>
            <w:noWrap w:val="0"/>
            <w:vAlign w:val="center"/>
          </w:tcPr>
          <w:p w14:paraId="31AEC449">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制冷剂充注机</w:t>
            </w:r>
          </w:p>
        </w:tc>
        <w:tc>
          <w:tcPr>
            <w:tcW w:w="3927" w:type="pct"/>
            <w:tcBorders>
              <w:top w:val="single" w:color="auto" w:sz="4" w:space="0"/>
              <w:left w:val="single" w:color="auto" w:sz="4" w:space="0"/>
              <w:bottom w:val="single" w:color="auto" w:sz="4" w:space="0"/>
              <w:right w:val="single" w:color="auto" w:sz="4" w:space="0"/>
            </w:tcBorders>
            <w:noWrap w:val="0"/>
            <w:vAlign w:val="center"/>
          </w:tcPr>
          <w:p w14:paraId="049306A9">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一、产品功能要求</w:t>
            </w:r>
          </w:p>
          <w:p w14:paraId="3646D4C5">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中文菜单导航式操作简单易懂，手动、自动切换自由。</w:t>
            </w:r>
          </w:p>
          <w:p w14:paraId="718C72FA">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自动检测、诊断、检漏、回收、加注等多种功能。</w:t>
            </w:r>
          </w:p>
          <w:p w14:paraId="4AB0DD4F">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高精度电子秤计量，可实时精确计量回收、加注过程冷媒量。</w:t>
            </w:r>
          </w:p>
          <w:p w14:paraId="05A7CC2C">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可加注PAG/POE冷冻油。</w:t>
            </w:r>
          </w:p>
          <w:p w14:paraId="43912698">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高效过滤器，微晶钢化面板，触摸滑动按键。</w:t>
            </w:r>
          </w:p>
          <w:p w14:paraId="35D32BEC">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加注/回收数据可通过打印机显示。</w:t>
            </w:r>
          </w:p>
          <w:p w14:paraId="33300D11">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充氮加压真空检漏，备小瓶制冷剂充注接口。</w:t>
            </w:r>
          </w:p>
          <w:p w14:paraId="4B55009A">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二、技术参数</w:t>
            </w:r>
          </w:p>
          <w:p w14:paraId="3EEF796B">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电压：AC220V/50Hz</w:t>
            </w:r>
            <w:r>
              <w:rPr>
                <w:rFonts w:hint="eastAsia" w:ascii="宋体" w:hAnsi="宋体" w:cs="宋体"/>
                <w:b w:val="0"/>
                <w:bCs w:val="0"/>
                <w:sz w:val="24"/>
                <w:szCs w:val="24"/>
                <w:highlight w:val="none"/>
                <w:lang w:eastAsia="zh-CN"/>
              </w:rPr>
              <w:t>。</w:t>
            </w:r>
          </w:p>
          <w:p w14:paraId="6CC13A9F">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最大功率：550W</w:t>
            </w:r>
            <w:r>
              <w:rPr>
                <w:rFonts w:hint="eastAsia" w:ascii="宋体" w:hAnsi="宋体" w:cs="宋体"/>
                <w:b w:val="0"/>
                <w:bCs w:val="0"/>
                <w:sz w:val="24"/>
                <w:szCs w:val="24"/>
                <w:highlight w:val="none"/>
                <w:lang w:eastAsia="zh-CN"/>
              </w:rPr>
              <w:t>。</w:t>
            </w:r>
          </w:p>
          <w:p w14:paraId="0FE281BE">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回收速率：≤480g/min</w:t>
            </w:r>
            <w:r>
              <w:rPr>
                <w:rFonts w:hint="eastAsia" w:ascii="宋体" w:hAnsi="宋体" w:cs="宋体"/>
                <w:b w:val="0"/>
                <w:bCs w:val="0"/>
                <w:sz w:val="24"/>
                <w:szCs w:val="24"/>
                <w:highlight w:val="none"/>
                <w:lang w:eastAsia="zh-CN"/>
              </w:rPr>
              <w:t>。</w:t>
            </w:r>
          </w:p>
          <w:p w14:paraId="427E1FD1">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充注速率：≤900g/min</w:t>
            </w:r>
            <w:r>
              <w:rPr>
                <w:rFonts w:hint="eastAsia" w:ascii="宋体" w:hAnsi="宋体" w:cs="宋体"/>
                <w:b w:val="0"/>
                <w:bCs w:val="0"/>
                <w:sz w:val="24"/>
                <w:szCs w:val="24"/>
                <w:highlight w:val="none"/>
                <w:lang w:eastAsia="zh-CN"/>
              </w:rPr>
              <w:t>。</w:t>
            </w:r>
          </w:p>
          <w:p w14:paraId="2F7A09E4">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充注精度：+10g</w:t>
            </w:r>
            <w:r>
              <w:rPr>
                <w:rFonts w:hint="eastAsia" w:ascii="宋体" w:hAnsi="宋体" w:cs="宋体"/>
                <w:b w:val="0"/>
                <w:bCs w:val="0"/>
                <w:sz w:val="24"/>
                <w:szCs w:val="24"/>
                <w:highlight w:val="none"/>
                <w:lang w:eastAsia="zh-CN"/>
              </w:rPr>
              <w:t>。</w:t>
            </w:r>
          </w:p>
          <w:p w14:paraId="624AA8B5">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充注范围：0-12kg</w:t>
            </w:r>
            <w:r>
              <w:rPr>
                <w:rFonts w:hint="eastAsia" w:ascii="宋体" w:hAnsi="宋体" w:cs="宋体"/>
                <w:b w:val="0"/>
                <w:bCs w:val="0"/>
                <w:sz w:val="24"/>
                <w:szCs w:val="24"/>
                <w:highlight w:val="none"/>
                <w:lang w:eastAsia="zh-CN"/>
              </w:rPr>
              <w:t>。</w:t>
            </w:r>
          </w:p>
          <w:p w14:paraId="21EC8BD5">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压缩机：3/8HP</w:t>
            </w:r>
            <w:r>
              <w:rPr>
                <w:rFonts w:hint="eastAsia" w:ascii="宋体" w:hAnsi="宋体" w:cs="宋体"/>
                <w:b w:val="0"/>
                <w:bCs w:val="0"/>
                <w:sz w:val="24"/>
                <w:szCs w:val="24"/>
                <w:highlight w:val="none"/>
                <w:lang w:eastAsia="zh-CN"/>
              </w:rPr>
              <w:t>。</w:t>
            </w:r>
          </w:p>
          <w:p w14:paraId="66FD5099">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真空泵抽率：90L/min</w:t>
            </w:r>
            <w:r>
              <w:rPr>
                <w:rFonts w:hint="eastAsia" w:ascii="宋体" w:hAnsi="宋体" w:cs="宋体"/>
                <w:b w:val="0"/>
                <w:bCs w:val="0"/>
                <w:sz w:val="24"/>
                <w:szCs w:val="24"/>
                <w:highlight w:val="none"/>
                <w:lang w:eastAsia="zh-CN"/>
              </w:rPr>
              <w:t>。</w:t>
            </w:r>
          </w:p>
          <w:p w14:paraId="4839B860">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制冷罐容量：6-12L</w:t>
            </w:r>
            <w:r>
              <w:rPr>
                <w:rFonts w:hint="eastAsia" w:ascii="宋体" w:hAnsi="宋体" w:cs="宋体"/>
                <w:b w:val="0"/>
                <w:bCs w:val="0"/>
                <w:sz w:val="24"/>
                <w:szCs w:val="24"/>
                <w:highlight w:val="none"/>
                <w:lang w:eastAsia="zh-CN"/>
              </w:rPr>
              <w:t>。</w:t>
            </w:r>
          </w:p>
          <w:p w14:paraId="1B9F412B">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冷媒种类：R134a</w:t>
            </w:r>
            <w:r>
              <w:rPr>
                <w:rFonts w:hint="eastAsia" w:ascii="宋体" w:hAnsi="宋体" w:cs="宋体"/>
                <w:b w:val="0"/>
                <w:bCs w:val="0"/>
                <w:sz w:val="24"/>
                <w:szCs w:val="24"/>
                <w:highlight w:val="none"/>
                <w:lang w:eastAsia="zh-CN"/>
              </w:rPr>
              <w:t>。</w:t>
            </w:r>
          </w:p>
        </w:tc>
        <w:tc>
          <w:tcPr>
            <w:tcW w:w="182" w:type="pct"/>
            <w:tcBorders>
              <w:top w:val="single" w:color="auto" w:sz="4" w:space="0"/>
              <w:left w:val="nil"/>
              <w:bottom w:val="single" w:color="auto" w:sz="4" w:space="0"/>
              <w:right w:val="single" w:color="auto" w:sz="4" w:space="0"/>
            </w:tcBorders>
            <w:noWrap w:val="0"/>
            <w:vAlign w:val="center"/>
          </w:tcPr>
          <w:p w14:paraId="7182AF51">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w:t>
            </w:r>
          </w:p>
        </w:tc>
        <w:tc>
          <w:tcPr>
            <w:tcW w:w="182" w:type="pct"/>
            <w:tcBorders>
              <w:top w:val="single" w:color="auto" w:sz="4" w:space="0"/>
              <w:left w:val="nil"/>
              <w:bottom w:val="single" w:color="auto" w:sz="4" w:space="0"/>
              <w:right w:val="single" w:color="auto" w:sz="4" w:space="0"/>
            </w:tcBorders>
            <w:noWrap w:val="0"/>
            <w:vAlign w:val="center"/>
          </w:tcPr>
          <w:p w14:paraId="6E8D1FE3">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p>
        </w:tc>
      </w:tr>
      <w:tr w14:paraId="3230A8A5">
        <w:tblPrEx>
          <w:tblCellMar>
            <w:top w:w="0" w:type="dxa"/>
            <w:left w:w="108" w:type="dxa"/>
            <w:bottom w:w="0" w:type="dxa"/>
            <w:right w:w="108" w:type="dxa"/>
          </w:tblCellMar>
        </w:tblPrEx>
        <w:trPr>
          <w:trHeight w:val="288" w:hRule="atLeast"/>
        </w:trPr>
        <w:tc>
          <w:tcPr>
            <w:tcW w:w="182" w:type="pct"/>
            <w:tcBorders>
              <w:top w:val="single" w:color="auto" w:sz="4" w:space="0"/>
              <w:left w:val="single" w:color="auto" w:sz="4" w:space="0"/>
              <w:bottom w:val="single" w:color="auto" w:sz="4" w:space="0"/>
              <w:right w:val="single" w:color="auto" w:sz="4" w:space="0"/>
            </w:tcBorders>
            <w:noWrap w:val="0"/>
            <w:vAlign w:val="center"/>
          </w:tcPr>
          <w:p w14:paraId="6A62E3C6">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5</w:t>
            </w:r>
          </w:p>
        </w:tc>
        <w:tc>
          <w:tcPr>
            <w:tcW w:w="524" w:type="pct"/>
            <w:tcBorders>
              <w:top w:val="single" w:color="auto" w:sz="4" w:space="0"/>
              <w:left w:val="nil"/>
              <w:bottom w:val="single" w:color="auto" w:sz="4" w:space="0"/>
              <w:right w:val="single" w:color="auto" w:sz="4" w:space="0"/>
            </w:tcBorders>
            <w:noWrap w:val="0"/>
            <w:vAlign w:val="center"/>
          </w:tcPr>
          <w:p w14:paraId="2B47B3DF">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排气分析仪设备</w:t>
            </w:r>
          </w:p>
        </w:tc>
        <w:tc>
          <w:tcPr>
            <w:tcW w:w="3927" w:type="pct"/>
            <w:tcBorders>
              <w:top w:val="single" w:color="auto" w:sz="4" w:space="0"/>
              <w:left w:val="single" w:color="auto" w:sz="4" w:space="0"/>
              <w:bottom w:val="single" w:color="auto" w:sz="4" w:space="0"/>
              <w:right w:val="single" w:color="auto" w:sz="4" w:space="0"/>
            </w:tcBorders>
            <w:noWrap w:val="0"/>
            <w:vAlign w:val="center"/>
          </w:tcPr>
          <w:p w14:paraId="05C578B6">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一、产品功能要求</w:t>
            </w:r>
          </w:p>
          <w:p w14:paraId="58585258">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1.可执行多模式双总速检测汽车排气中的HC、CO、CO2、O2、NO浓度和值</w:t>
            </w:r>
            <w:r>
              <w:rPr>
                <w:rFonts w:hint="eastAsia" w:ascii="宋体" w:hAnsi="宋体" w:cs="宋体"/>
                <w:b w:val="0"/>
                <w:bCs w:val="0"/>
                <w:sz w:val="24"/>
                <w:szCs w:val="24"/>
                <w:highlight w:val="none"/>
                <w:lang w:eastAsia="zh-CN"/>
              </w:rPr>
              <w:t>。</w:t>
            </w:r>
          </w:p>
          <w:p w14:paraId="052DCF32">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2.高亮度大屏幕液晶显示，全中文操作菜单</w:t>
            </w:r>
            <w:r>
              <w:rPr>
                <w:rFonts w:hint="eastAsia" w:ascii="宋体" w:hAnsi="宋体" w:cs="宋体"/>
                <w:b w:val="0"/>
                <w:bCs w:val="0"/>
                <w:sz w:val="24"/>
                <w:szCs w:val="24"/>
                <w:highlight w:val="none"/>
                <w:lang w:eastAsia="zh-CN"/>
              </w:rPr>
              <w:t>。</w:t>
            </w:r>
          </w:p>
          <w:p w14:paraId="6395D133">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3.可进行天然气（CNG）、液化气（LPG）。乙醇等多燃料车辆检测：具备车牌输入、200组数据存储。</w:t>
            </w:r>
          </w:p>
          <w:p w14:paraId="642198C9">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4.标配感应式转速测量钳；标准预热10分钟，具备5分钟速预热应急检测功能。</w:t>
            </w:r>
          </w:p>
          <w:p w14:paraId="5AF8B333">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5.符合国标IS03930和国际0IMLR99I级精度。</w:t>
            </w:r>
          </w:p>
        </w:tc>
        <w:tc>
          <w:tcPr>
            <w:tcW w:w="182" w:type="pct"/>
            <w:tcBorders>
              <w:top w:val="single" w:color="auto" w:sz="4" w:space="0"/>
              <w:left w:val="nil"/>
              <w:bottom w:val="single" w:color="auto" w:sz="4" w:space="0"/>
              <w:right w:val="single" w:color="auto" w:sz="4" w:space="0"/>
            </w:tcBorders>
            <w:noWrap w:val="0"/>
            <w:vAlign w:val="center"/>
          </w:tcPr>
          <w:p w14:paraId="3D8E93AA">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w:t>
            </w:r>
          </w:p>
        </w:tc>
        <w:tc>
          <w:tcPr>
            <w:tcW w:w="182" w:type="pct"/>
            <w:tcBorders>
              <w:top w:val="single" w:color="auto" w:sz="4" w:space="0"/>
              <w:left w:val="nil"/>
              <w:bottom w:val="single" w:color="auto" w:sz="4" w:space="0"/>
              <w:right w:val="single" w:color="auto" w:sz="4" w:space="0"/>
            </w:tcBorders>
            <w:noWrap w:val="0"/>
            <w:vAlign w:val="center"/>
          </w:tcPr>
          <w:p w14:paraId="170754CA">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p>
        </w:tc>
      </w:tr>
      <w:tr w14:paraId="2560004B">
        <w:tblPrEx>
          <w:tblCellMar>
            <w:top w:w="0" w:type="dxa"/>
            <w:left w:w="108" w:type="dxa"/>
            <w:bottom w:w="0" w:type="dxa"/>
            <w:right w:w="108" w:type="dxa"/>
          </w:tblCellMar>
        </w:tblPrEx>
        <w:trPr>
          <w:trHeight w:val="288" w:hRule="atLeast"/>
        </w:trPr>
        <w:tc>
          <w:tcPr>
            <w:tcW w:w="182" w:type="pct"/>
            <w:tcBorders>
              <w:top w:val="single" w:color="auto" w:sz="4" w:space="0"/>
              <w:left w:val="single" w:color="auto" w:sz="4" w:space="0"/>
              <w:bottom w:val="single" w:color="auto" w:sz="4" w:space="0"/>
              <w:right w:val="single" w:color="auto" w:sz="4" w:space="0"/>
            </w:tcBorders>
            <w:noWrap w:val="0"/>
            <w:vAlign w:val="center"/>
          </w:tcPr>
          <w:p w14:paraId="7ACBF4C4">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default" w:ascii="宋体" w:hAnsi="宋体" w:eastAsia="宋体" w:cs="宋体"/>
                <w:b w:val="0"/>
                <w:bCs w:val="0"/>
                <w:sz w:val="24"/>
                <w:szCs w:val="24"/>
                <w:highlight w:val="none"/>
                <w:lang w:val="en-US" w:eastAsia="zh-CN"/>
              </w:rPr>
            </w:pPr>
            <w:bookmarkStart w:id="11" w:name="_GoBack"/>
            <w:r>
              <w:rPr>
                <w:rFonts w:hint="eastAsia" w:ascii="宋体" w:hAnsi="宋体" w:cs="宋体"/>
                <w:b w:val="0"/>
                <w:bCs w:val="0"/>
                <w:sz w:val="24"/>
                <w:szCs w:val="24"/>
                <w:highlight w:val="none"/>
                <w:lang w:val="en-US" w:eastAsia="zh-CN"/>
              </w:rPr>
              <w:t>6</w:t>
            </w:r>
          </w:p>
        </w:tc>
        <w:tc>
          <w:tcPr>
            <w:tcW w:w="524" w:type="pct"/>
            <w:tcBorders>
              <w:top w:val="single" w:color="auto" w:sz="4" w:space="0"/>
              <w:left w:val="nil"/>
              <w:bottom w:val="single" w:color="auto" w:sz="4" w:space="0"/>
              <w:right w:val="single" w:color="auto" w:sz="4" w:space="0"/>
            </w:tcBorders>
            <w:noWrap w:val="0"/>
            <w:vAlign w:val="center"/>
          </w:tcPr>
          <w:p w14:paraId="3F58B5D2">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锂电池均衡仪</w:t>
            </w:r>
          </w:p>
        </w:tc>
        <w:tc>
          <w:tcPr>
            <w:tcW w:w="3927" w:type="pct"/>
            <w:tcBorders>
              <w:top w:val="single" w:color="auto" w:sz="4" w:space="0"/>
              <w:left w:val="single" w:color="auto" w:sz="4" w:space="0"/>
              <w:bottom w:val="single" w:color="auto" w:sz="4" w:space="0"/>
              <w:right w:val="single" w:color="auto" w:sz="4" w:space="0"/>
            </w:tcBorders>
            <w:noWrap w:val="0"/>
            <w:vAlign w:val="center"/>
          </w:tcPr>
          <w:p w14:paraId="1B2E9174">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一、产品功能要求</w:t>
            </w:r>
          </w:p>
          <w:p w14:paraId="7C92E2DD">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1.可自定义设置均衡维护参数，根据预设参数快速开展均衡维护。</w:t>
            </w:r>
          </w:p>
          <w:p w14:paraId="73E620A0">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2.多重保护：对电压及机芯温度信息进行监测，以避免电芯过充、过放</w:t>
            </w:r>
            <w:r>
              <w:rPr>
                <w:rFonts w:hint="eastAsia" w:ascii="宋体" w:hAnsi="宋体" w:cs="宋体"/>
                <w:b w:val="0"/>
                <w:bCs w:val="0"/>
                <w:sz w:val="24"/>
                <w:szCs w:val="24"/>
                <w:highlight w:val="none"/>
                <w:lang w:eastAsia="zh-CN"/>
              </w:rPr>
              <w:t>。</w:t>
            </w:r>
          </w:p>
          <w:p w14:paraId="6D4753F4">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3.不小于7寸显示屏。</w:t>
            </w:r>
          </w:p>
          <w:p w14:paraId="50066ED9">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二、技术参数</w:t>
            </w:r>
          </w:p>
          <w:p w14:paraId="322D640A">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通道数/单元：不低于32</w:t>
            </w:r>
            <w:r>
              <w:rPr>
                <w:rFonts w:hint="eastAsia" w:ascii="宋体" w:hAnsi="宋体" w:cs="宋体"/>
                <w:b w:val="0"/>
                <w:bCs w:val="0"/>
                <w:sz w:val="24"/>
                <w:szCs w:val="24"/>
                <w:highlight w:val="none"/>
                <w:lang w:eastAsia="zh-CN"/>
              </w:rPr>
              <w:t>。</w:t>
            </w:r>
          </w:p>
          <w:p w14:paraId="6E1C41AB">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交流输入：100～240V±15% 50/60Hz。</w:t>
            </w:r>
          </w:p>
          <w:p w14:paraId="1FC7E33E">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适用电池：三元锂、锰酸锂、磷酸铁锂。</w:t>
            </w:r>
          </w:p>
          <w:p w14:paraId="078C475A">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工作电压：1～4.3V。</w:t>
            </w:r>
          </w:p>
          <w:p w14:paraId="637650D3">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均衡电流：2～20A 可调。</w:t>
            </w:r>
          </w:p>
          <w:p w14:paraId="5AA82849">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均衡模式：充电均衡、放电均衡、自动均衡。</w:t>
            </w:r>
          </w:p>
          <w:p w14:paraId="749F3F9E">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散热方式：强制风冷。</w:t>
            </w:r>
          </w:p>
          <w:p w14:paraId="24D69B62">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电压采集精度：±2mV。</w:t>
            </w:r>
          </w:p>
          <w:p w14:paraId="4B5F4305">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电流测量：支持充放电 30A 以内电流测量。</w:t>
            </w:r>
          </w:p>
          <w:p w14:paraId="50EC6F53">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温度保护：可设置机器内部过热保护值。</w:t>
            </w:r>
          </w:p>
          <w:p w14:paraId="6333DBC5">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人机界面：不小于7寸触摸屏。</w:t>
            </w:r>
          </w:p>
          <w:p w14:paraId="5E034C39">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保护项：输入过流、输入过压、输出过流、输出过压、输出短路、连接线掉串、电池欠压、电池过压、电池反接、过温</w:t>
            </w:r>
            <w:r>
              <w:rPr>
                <w:rFonts w:hint="eastAsia" w:ascii="宋体" w:hAnsi="宋体" w:cs="宋体"/>
                <w:b w:val="0"/>
                <w:bCs w:val="0"/>
                <w:sz w:val="24"/>
                <w:szCs w:val="24"/>
                <w:highlight w:val="none"/>
                <w:lang w:eastAsia="zh-CN"/>
              </w:rPr>
              <w:t>。</w:t>
            </w:r>
          </w:p>
        </w:tc>
        <w:tc>
          <w:tcPr>
            <w:tcW w:w="182" w:type="pct"/>
            <w:tcBorders>
              <w:top w:val="single" w:color="auto" w:sz="4" w:space="0"/>
              <w:left w:val="nil"/>
              <w:bottom w:val="single" w:color="auto" w:sz="4" w:space="0"/>
              <w:right w:val="single" w:color="auto" w:sz="4" w:space="0"/>
            </w:tcBorders>
            <w:noWrap w:val="0"/>
            <w:vAlign w:val="center"/>
          </w:tcPr>
          <w:p w14:paraId="369CC4A7">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w:t>
            </w:r>
          </w:p>
        </w:tc>
        <w:tc>
          <w:tcPr>
            <w:tcW w:w="182" w:type="pct"/>
            <w:tcBorders>
              <w:top w:val="single" w:color="auto" w:sz="4" w:space="0"/>
              <w:left w:val="nil"/>
              <w:bottom w:val="single" w:color="auto" w:sz="4" w:space="0"/>
              <w:right w:val="single" w:color="auto" w:sz="4" w:space="0"/>
            </w:tcBorders>
            <w:noWrap w:val="0"/>
            <w:vAlign w:val="center"/>
          </w:tcPr>
          <w:p w14:paraId="2770B3EC">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p>
        </w:tc>
      </w:tr>
      <w:tr w14:paraId="30C7F959">
        <w:tblPrEx>
          <w:tblCellMar>
            <w:top w:w="0" w:type="dxa"/>
            <w:left w:w="108" w:type="dxa"/>
            <w:bottom w:w="0" w:type="dxa"/>
            <w:right w:w="108" w:type="dxa"/>
          </w:tblCellMar>
        </w:tblPrEx>
        <w:trPr>
          <w:trHeight w:val="288" w:hRule="atLeast"/>
        </w:trPr>
        <w:tc>
          <w:tcPr>
            <w:tcW w:w="182" w:type="pct"/>
            <w:tcBorders>
              <w:top w:val="single" w:color="auto" w:sz="4" w:space="0"/>
              <w:left w:val="single" w:color="auto" w:sz="4" w:space="0"/>
              <w:bottom w:val="single" w:color="auto" w:sz="4" w:space="0"/>
              <w:right w:val="single" w:color="auto" w:sz="4" w:space="0"/>
            </w:tcBorders>
            <w:noWrap w:val="0"/>
            <w:vAlign w:val="center"/>
          </w:tcPr>
          <w:p w14:paraId="47F4C7D1">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7</w:t>
            </w:r>
          </w:p>
        </w:tc>
        <w:tc>
          <w:tcPr>
            <w:tcW w:w="524" w:type="pct"/>
            <w:tcBorders>
              <w:top w:val="single" w:color="auto" w:sz="4" w:space="0"/>
              <w:left w:val="nil"/>
              <w:bottom w:val="single" w:color="auto" w:sz="4" w:space="0"/>
              <w:right w:val="single" w:color="auto" w:sz="4" w:space="0"/>
            </w:tcBorders>
            <w:noWrap w:val="0"/>
            <w:vAlign w:val="center"/>
          </w:tcPr>
          <w:p w14:paraId="57C3F7AB">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电池内阻测试仪</w:t>
            </w:r>
          </w:p>
        </w:tc>
        <w:tc>
          <w:tcPr>
            <w:tcW w:w="3927" w:type="pct"/>
            <w:tcBorders>
              <w:top w:val="single" w:color="auto" w:sz="4" w:space="0"/>
              <w:left w:val="single" w:color="auto" w:sz="4" w:space="0"/>
              <w:bottom w:val="single" w:color="auto" w:sz="4" w:space="0"/>
              <w:right w:val="single" w:color="auto" w:sz="4" w:space="0"/>
            </w:tcBorders>
            <w:noWrap w:val="0"/>
            <w:vAlign w:val="center"/>
          </w:tcPr>
          <w:p w14:paraId="52C1E2CB">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一、产品功能要求：</w:t>
            </w:r>
          </w:p>
          <w:p w14:paraId="1D2141E4">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1.内阻测量：0.000m2~3.0002</w:t>
            </w:r>
            <w:r>
              <w:rPr>
                <w:rFonts w:hint="eastAsia" w:ascii="宋体" w:hAnsi="宋体" w:cs="宋体"/>
                <w:b w:val="0"/>
                <w:bCs w:val="0"/>
                <w:sz w:val="24"/>
                <w:szCs w:val="24"/>
                <w:highlight w:val="none"/>
                <w:lang w:eastAsia="zh-CN"/>
              </w:rPr>
              <w:t>（</w:t>
            </w:r>
            <w:r>
              <w:rPr>
                <w:rFonts w:hint="eastAsia" w:ascii="宋体" w:hAnsi="宋体" w:eastAsia="宋体" w:cs="宋体"/>
                <w:b w:val="0"/>
                <w:bCs w:val="0"/>
                <w:sz w:val="24"/>
                <w:szCs w:val="24"/>
                <w:highlight w:val="none"/>
              </w:rPr>
              <w:t>3m2/30m2/300m2/324档量程构成）。</w:t>
            </w:r>
          </w:p>
          <w:p w14:paraId="3D4A331D">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2.电压测量：0.000V~±70.0V</w:t>
            </w:r>
            <w:r>
              <w:rPr>
                <w:rFonts w:hint="eastAsia" w:ascii="宋体" w:hAnsi="宋体" w:cs="宋体"/>
                <w:b w:val="0"/>
                <w:bCs w:val="0"/>
                <w:sz w:val="24"/>
                <w:szCs w:val="24"/>
                <w:highlight w:val="none"/>
                <w:lang w:eastAsia="zh-CN"/>
              </w:rPr>
              <w:t>（</w:t>
            </w:r>
            <w:r>
              <w:rPr>
                <w:rFonts w:hint="eastAsia" w:ascii="宋体" w:hAnsi="宋体" w:eastAsia="宋体" w:cs="宋体"/>
                <w:b w:val="0"/>
                <w:bCs w:val="0"/>
                <w:sz w:val="24"/>
                <w:szCs w:val="24"/>
                <w:highlight w:val="none"/>
              </w:rPr>
              <w:t>7V/70V2档量程构成），分辨率：1mV能回避噪音频率，自动变频范围920Hz～1080HZ</w:t>
            </w:r>
            <w:r>
              <w:rPr>
                <w:rFonts w:hint="eastAsia" w:ascii="宋体" w:hAnsi="宋体" w:cs="宋体"/>
                <w:b w:val="0"/>
                <w:bCs w:val="0"/>
                <w:sz w:val="24"/>
                <w:szCs w:val="24"/>
                <w:highlight w:val="none"/>
                <w:lang w:eastAsia="zh-CN"/>
              </w:rPr>
              <w:t>。</w:t>
            </w:r>
          </w:p>
          <w:p w14:paraId="4C76D97E">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3.具有Type-C接口，存储数据可以上传电脑，保存打印有手动保持与存储、自动保持与存储（可存储不低于5000组）。</w:t>
            </w:r>
          </w:p>
          <w:p w14:paraId="536610DB">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4.支持蓝牙连接手机APP测量判定功能可预设定通过、警告失败判定阈值</w:t>
            </w:r>
            <w:r>
              <w:rPr>
                <w:rFonts w:hint="eastAsia" w:ascii="宋体" w:hAnsi="宋体" w:cs="宋体"/>
                <w:b w:val="0"/>
                <w:bCs w:val="0"/>
                <w:sz w:val="24"/>
                <w:szCs w:val="24"/>
                <w:highlight w:val="none"/>
                <w:lang w:eastAsia="zh-CN"/>
              </w:rPr>
              <w:t>。</w:t>
            </w:r>
          </w:p>
          <w:p w14:paraId="0AD25F95">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5.电源：DC11.1V锂电池 2600mAh</w:t>
            </w:r>
            <w:r>
              <w:rPr>
                <w:rFonts w:hint="eastAsia" w:ascii="宋体" w:hAnsi="宋体" w:cs="宋体"/>
                <w:b w:val="0"/>
                <w:bCs w:val="0"/>
                <w:sz w:val="24"/>
                <w:szCs w:val="24"/>
                <w:highlight w:val="none"/>
                <w:lang w:eastAsia="zh-CN"/>
              </w:rPr>
              <w:t>。</w:t>
            </w:r>
          </w:p>
          <w:p w14:paraId="1E66EC89">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6.语言：中文/英文切换</w:t>
            </w:r>
            <w:r>
              <w:rPr>
                <w:rFonts w:hint="eastAsia" w:ascii="宋体" w:hAnsi="宋体" w:cs="宋体"/>
                <w:b w:val="0"/>
                <w:bCs w:val="0"/>
                <w:sz w:val="24"/>
                <w:szCs w:val="24"/>
                <w:highlight w:val="none"/>
                <w:lang w:eastAsia="zh-CN"/>
              </w:rPr>
              <w:t>。</w:t>
            </w:r>
          </w:p>
          <w:p w14:paraId="3828F70B">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7.功能：电池内阻测量，电池电压测量</w:t>
            </w:r>
            <w:r>
              <w:rPr>
                <w:rFonts w:hint="eastAsia" w:ascii="宋体" w:hAnsi="宋体" w:cs="宋体"/>
                <w:b w:val="0"/>
                <w:bCs w:val="0"/>
                <w:sz w:val="24"/>
                <w:szCs w:val="24"/>
                <w:highlight w:val="none"/>
                <w:lang w:eastAsia="zh-CN"/>
              </w:rPr>
              <w:t>。</w:t>
            </w:r>
          </w:p>
          <w:p w14:paraId="268D3B4A">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8.回避噪音频率：有自动变频范围920Hz～1080HZ</w:t>
            </w:r>
            <w:r>
              <w:rPr>
                <w:rFonts w:hint="eastAsia" w:ascii="宋体" w:hAnsi="宋体" w:cs="宋体"/>
                <w:b w:val="0"/>
                <w:bCs w:val="0"/>
                <w:sz w:val="24"/>
                <w:szCs w:val="24"/>
                <w:highlight w:val="none"/>
                <w:lang w:eastAsia="zh-CN"/>
              </w:rPr>
              <w:t>。</w:t>
            </w:r>
          </w:p>
          <w:p w14:paraId="4F903B9C">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9.精度保证温度湿度：23°C±5°C,75%rh以下</w:t>
            </w:r>
            <w:r>
              <w:rPr>
                <w:rFonts w:hint="eastAsia" w:ascii="宋体" w:hAnsi="宋体" w:cs="宋体"/>
                <w:b w:val="0"/>
                <w:bCs w:val="0"/>
                <w:sz w:val="24"/>
                <w:szCs w:val="24"/>
                <w:highlight w:val="none"/>
                <w:lang w:eastAsia="zh-CN"/>
              </w:rPr>
              <w:t>。</w:t>
            </w:r>
          </w:p>
          <w:p w14:paraId="16A342A4">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10.电 源：DC 11.1V锂电池</w:t>
            </w:r>
            <w:r>
              <w:rPr>
                <w:rFonts w:hint="eastAsia" w:ascii="宋体" w:hAnsi="宋体" w:cs="宋体"/>
                <w:b w:val="0"/>
                <w:bCs w:val="0"/>
                <w:sz w:val="24"/>
                <w:szCs w:val="24"/>
                <w:highlight w:val="none"/>
                <w:lang w:eastAsia="zh-CN"/>
              </w:rPr>
              <w:t>。</w:t>
            </w:r>
          </w:p>
          <w:p w14:paraId="267C8CA8">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11.电阻分辨率：1uΩ</w:t>
            </w:r>
            <w:r>
              <w:rPr>
                <w:rFonts w:hint="eastAsia" w:ascii="宋体" w:hAnsi="宋体" w:cs="宋体"/>
                <w:b w:val="0"/>
                <w:bCs w:val="0"/>
                <w:sz w:val="24"/>
                <w:szCs w:val="24"/>
                <w:highlight w:val="none"/>
                <w:lang w:eastAsia="zh-CN"/>
              </w:rPr>
              <w:t>。</w:t>
            </w:r>
          </w:p>
          <w:p w14:paraId="1765AFBF">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12.电压分辨率：lmV</w:t>
            </w:r>
            <w:r>
              <w:rPr>
                <w:rFonts w:hint="eastAsia" w:ascii="宋体" w:hAnsi="宋体" w:cs="宋体"/>
                <w:b w:val="0"/>
                <w:bCs w:val="0"/>
                <w:sz w:val="24"/>
                <w:szCs w:val="24"/>
                <w:highlight w:val="none"/>
                <w:lang w:eastAsia="zh-CN"/>
              </w:rPr>
              <w:t>。</w:t>
            </w:r>
          </w:p>
          <w:p w14:paraId="76953251">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13.测量范围：内阻测量：0.000mQ~3.000Q（不低于4档量程构成）</w:t>
            </w:r>
            <w:r>
              <w:rPr>
                <w:rFonts w:hint="eastAsia" w:ascii="宋体" w:hAnsi="宋体" w:cs="宋体"/>
                <w:b w:val="0"/>
                <w:bCs w:val="0"/>
                <w:sz w:val="24"/>
                <w:szCs w:val="24"/>
                <w:highlight w:val="none"/>
                <w:lang w:eastAsia="zh-CN"/>
              </w:rPr>
              <w:t>。</w:t>
            </w:r>
          </w:p>
          <w:p w14:paraId="66DE5491">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电压测量：0.000V~±70.0V（不低于2档量程构成）</w:t>
            </w:r>
            <w:r>
              <w:rPr>
                <w:rFonts w:hint="eastAsia" w:ascii="宋体" w:hAnsi="宋体" w:cs="宋体"/>
                <w:b w:val="0"/>
                <w:bCs w:val="0"/>
                <w:sz w:val="24"/>
                <w:szCs w:val="24"/>
                <w:highlight w:val="none"/>
                <w:lang w:eastAsia="zh-CN"/>
              </w:rPr>
              <w:t>。</w:t>
            </w:r>
          </w:p>
          <w:p w14:paraId="7D9AB6B0">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14.最大输入电压：DC 120V</w:t>
            </w:r>
            <w:r>
              <w:rPr>
                <w:rFonts w:hint="eastAsia" w:ascii="宋体" w:hAnsi="宋体" w:cs="宋体"/>
                <w:b w:val="0"/>
                <w:bCs w:val="0"/>
                <w:sz w:val="24"/>
                <w:szCs w:val="24"/>
                <w:highlight w:val="none"/>
                <w:lang w:eastAsia="zh-CN"/>
              </w:rPr>
              <w:t>（</w:t>
            </w:r>
            <w:r>
              <w:rPr>
                <w:rFonts w:hint="eastAsia" w:ascii="宋体" w:hAnsi="宋体" w:eastAsia="宋体" w:cs="宋体"/>
                <w:b w:val="0"/>
                <w:bCs w:val="0"/>
                <w:sz w:val="24"/>
                <w:szCs w:val="24"/>
                <w:highlight w:val="none"/>
              </w:rPr>
              <w:t>+测量端子与－测量端子之间）不可输入交流</w:t>
            </w:r>
            <w:r>
              <w:rPr>
                <w:rFonts w:hint="eastAsia" w:ascii="宋体" w:hAnsi="宋体" w:cs="宋体"/>
                <w:b w:val="0"/>
                <w:bCs w:val="0"/>
                <w:sz w:val="24"/>
                <w:szCs w:val="24"/>
                <w:highlight w:val="none"/>
                <w:lang w:eastAsia="zh-CN"/>
              </w:rPr>
              <w:t>。</w:t>
            </w:r>
          </w:p>
          <w:p w14:paraId="1ACBDCE6">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15.测量电流：2.0mA～200mA（不同量程档位不同测量电流）</w:t>
            </w:r>
            <w:r>
              <w:rPr>
                <w:rFonts w:hint="eastAsia" w:ascii="宋体" w:hAnsi="宋体" w:cs="宋体"/>
                <w:b w:val="0"/>
                <w:bCs w:val="0"/>
                <w:sz w:val="24"/>
                <w:szCs w:val="24"/>
                <w:highlight w:val="none"/>
                <w:lang w:eastAsia="zh-CN"/>
              </w:rPr>
              <w:t>。</w:t>
            </w:r>
          </w:p>
          <w:p w14:paraId="3447D860">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16显示更新频率：</w:t>
            </w:r>
            <w:r>
              <w:rPr>
                <w:rFonts w:hint="eastAsia" w:ascii="宋体" w:hAnsi="宋体" w:cs="宋体"/>
                <w:b w:val="0"/>
                <w:bCs w:val="0"/>
                <w:sz w:val="24"/>
                <w:szCs w:val="24"/>
                <w:highlight w:val="none"/>
                <w:lang w:val="en-US" w:eastAsia="zh-CN"/>
              </w:rPr>
              <w:t>≥</w:t>
            </w:r>
            <w:r>
              <w:rPr>
                <w:rFonts w:hint="eastAsia" w:ascii="宋体" w:hAnsi="宋体" w:eastAsia="宋体" w:cs="宋体"/>
                <w:b w:val="0"/>
                <w:bCs w:val="0"/>
                <w:sz w:val="24"/>
                <w:szCs w:val="24"/>
                <w:highlight w:val="none"/>
              </w:rPr>
              <w:t>5次/每秒</w:t>
            </w:r>
            <w:r>
              <w:rPr>
                <w:rFonts w:hint="eastAsia" w:ascii="宋体" w:hAnsi="宋体" w:cs="宋体"/>
                <w:b w:val="0"/>
                <w:bCs w:val="0"/>
                <w:sz w:val="24"/>
                <w:szCs w:val="24"/>
                <w:highlight w:val="none"/>
                <w:lang w:eastAsia="zh-CN"/>
              </w:rPr>
              <w:t>。</w:t>
            </w:r>
          </w:p>
          <w:p w14:paraId="009D91B3">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17.测量时间：约2秒</w:t>
            </w:r>
            <w:r>
              <w:rPr>
                <w:rFonts w:hint="eastAsia" w:ascii="宋体" w:hAnsi="宋体" w:cs="宋体"/>
                <w:b w:val="0"/>
                <w:bCs w:val="0"/>
                <w:sz w:val="24"/>
                <w:szCs w:val="24"/>
                <w:highlight w:val="none"/>
                <w:lang w:eastAsia="zh-CN"/>
              </w:rPr>
              <w:t>。</w:t>
            </w:r>
          </w:p>
          <w:p w14:paraId="144D1DAC">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18.LCD尺寸：≥73.4mmx48.9mm/3.5″80*320分辨率16位真彩屏）</w:t>
            </w:r>
            <w:r>
              <w:rPr>
                <w:rFonts w:hint="eastAsia" w:ascii="宋体" w:hAnsi="宋体" w:cs="宋体"/>
                <w:b w:val="0"/>
                <w:bCs w:val="0"/>
                <w:sz w:val="24"/>
                <w:szCs w:val="24"/>
                <w:highlight w:val="none"/>
                <w:lang w:eastAsia="zh-CN"/>
              </w:rPr>
              <w:t>。</w:t>
            </w:r>
          </w:p>
          <w:p w14:paraId="4B912E64">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19.接口：具有TYPE-C接口，存储数据可以上传电脑,保存打印</w:t>
            </w:r>
            <w:r>
              <w:rPr>
                <w:rFonts w:hint="eastAsia" w:ascii="宋体" w:hAnsi="宋体" w:cs="宋体"/>
                <w:b w:val="0"/>
                <w:bCs w:val="0"/>
                <w:sz w:val="24"/>
                <w:szCs w:val="24"/>
                <w:highlight w:val="none"/>
                <w:lang w:eastAsia="zh-CN"/>
              </w:rPr>
              <w:t>。</w:t>
            </w:r>
          </w:p>
          <w:p w14:paraId="6DC613E4">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20.语言设置：中文</w:t>
            </w:r>
            <w:r>
              <w:rPr>
                <w:rFonts w:hint="eastAsia" w:ascii="宋体" w:hAnsi="宋体" w:cs="宋体"/>
                <w:b w:val="0"/>
                <w:bCs w:val="0"/>
                <w:sz w:val="24"/>
                <w:szCs w:val="24"/>
                <w:highlight w:val="none"/>
                <w:lang w:eastAsia="zh-CN"/>
              </w:rPr>
              <w:t>。</w:t>
            </w:r>
          </w:p>
          <w:p w14:paraId="3D6C9E94">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21.保持和存储功能：有手动保持与存储、自动保持与存储功能</w:t>
            </w:r>
            <w:r>
              <w:rPr>
                <w:rFonts w:hint="eastAsia" w:ascii="宋体" w:hAnsi="宋体" w:cs="宋体"/>
                <w:b w:val="0"/>
                <w:bCs w:val="0"/>
                <w:sz w:val="24"/>
                <w:szCs w:val="24"/>
                <w:highlight w:val="none"/>
                <w:lang w:eastAsia="zh-CN"/>
              </w:rPr>
              <w:t>。</w:t>
            </w:r>
          </w:p>
          <w:p w14:paraId="417F8156">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22.测量判定功能：可预设定通过、警告、失败判定阈值</w:t>
            </w:r>
            <w:r>
              <w:rPr>
                <w:rFonts w:hint="eastAsia" w:ascii="宋体" w:hAnsi="宋体" w:cs="宋体"/>
                <w:b w:val="0"/>
                <w:bCs w:val="0"/>
                <w:sz w:val="24"/>
                <w:szCs w:val="24"/>
                <w:highlight w:val="none"/>
                <w:lang w:eastAsia="zh-CN"/>
              </w:rPr>
              <w:t>。</w:t>
            </w:r>
          </w:p>
          <w:p w14:paraId="2CB1E72B">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23.电池电压：电池电量5格显示，电池电压低时提醒及时充电</w:t>
            </w:r>
            <w:r>
              <w:rPr>
                <w:rFonts w:hint="eastAsia" w:ascii="宋体" w:hAnsi="宋体" w:cs="宋体"/>
                <w:b w:val="0"/>
                <w:bCs w:val="0"/>
                <w:sz w:val="24"/>
                <w:szCs w:val="24"/>
                <w:highlight w:val="none"/>
                <w:lang w:eastAsia="zh-CN"/>
              </w:rPr>
              <w:t>。</w:t>
            </w:r>
          </w:p>
          <w:p w14:paraId="4D408FE2">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24.自动关机：开机无操作，约15分钟后自动关机（可在设置中关闭）</w:t>
            </w:r>
            <w:r>
              <w:rPr>
                <w:rFonts w:hint="eastAsia" w:ascii="宋体" w:hAnsi="宋体" w:cs="宋体"/>
                <w:b w:val="0"/>
                <w:bCs w:val="0"/>
                <w:sz w:val="24"/>
                <w:szCs w:val="24"/>
                <w:highlight w:val="none"/>
                <w:lang w:eastAsia="zh-CN"/>
              </w:rPr>
              <w:t>。</w:t>
            </w:r>
          </w:p>
          <w:p w14:paraId="423FF41F">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25.功 耗：150mA MIN/250mA MAX</w:t>
            </w:r>
            <w:r>
              <w:rPr>
                <w:rFonts w:hint="eastAsia" w:ascii="宋体" w:hAnsi="宋体" w:cs="宋体"/>
                <w:b w:val="0"/>
                <w:bCs w:val="0"/>
                <w:sz w:val="24"/>
                <w:szCs w:val="24"/>
                <w:highlight w:val="none"/>
                <w:lang w:eastAsia="zh-CN"/>
              </w:rPr>
              <w:t>。</w:t>
            </w:r>
          </w:p>
          <w:p w14:paraId="62CFFFE1">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26.电 源：DC3.7V（锂电池容量2000mAh）</w:t>
            </w:r>
            <w:r>
              <w:rPr>
                <w:rFonts w:hint="eastAsia" w:ascii="宋体" w:hAnsi="宋体" w:cs="宋体"/>
                <w:b w:val="0"/>
                <w:bCs w:val="0"/>
                <w:sz w:val="24"/>
                <w:szCs w:val="24"/>
                <w:highlight w:val="none"/>
                <w:lang w:eastAsia="zh-CN"/>
              </w:rPr>
              <w:t>。</w:t>
            </w:r>
          </w:p>
          <w:p w14:paraId="285A20A5">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27.工作温湿度：-10°C~50°C</w:t>
            </w:r>
            <w:r>
              <w:rPr>
                <w:rFonts w:hint="eastAsia" w:ascii="宋体" w:hAnsi="宋体" w:cs="宋体"/>
                <w:b w:val="0"/>
                <w:bCs w:val="0"/>
                <w:sz w:val="24"/>
                <w:szCs w:val="24"/>
                <w:highlight w:val="none"/>
                <w:lang w:eastAsia="zh-CN"/>
              </w:rPr>
              <w:t>；</w:t>
            </w:r>
            <w:r>
              <w:rPr>
                <w:rFonts w:hint="eastAsia" w:ascii="宋体" w:hAnsi="宋体" w:eastAsia="宋体" w:cs="宋体"/>
                <w:b w:val="0"/>
                <w:bCs w:val="0"/>
                <w:sz w:val="24"/>
                <w:szCs w:val="24"/>
                <w:highlight w:val="none"/>
              </w:rPr>
              <w:t>80%RH以下</w:t>
            </w:r>
            <w:r>
              <w:rPr>
                <w:rFonts w:hint="eastAsia" w:ascii="宋体" w:hAnsi="宋体" w:cs="宋体"/>
                <w:b w:val="0"/>
                <w:bCs w:val="0"/>
                <w:sz w:val="24"/>
                <w:szCs w:val="24"/>
                <w:highlight w:val="none"/>
                <w:lang w:eastAsia="zh-CN"/>
              </w:rPr>
              <w:t>。</w:t>
            </w:r>
          </w:p>
          <w:p w14:paraId="3C52E293">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28.存放温湿度：-20°C~60°C</w:t>
            </w:r>
            <w:r>
              <w:rPr>
                <w:rFonts w:hint="eastAsia" w:ascii="宋体" w:hAnsi="宋体" w:cs="宋体"/>
                <w:b w:val="0"/>
                <w:bCs w:val="0"/>
                <w:sz w:val="24"/>
                <w:szCs w:val="24"/>
                <w:highlight w:val="none"/>
                <w:lang w:eastAsia="zh-CN"/>
              </w:rPr>
              <w:t>；</w:t>
            </w:r>
            <w:r>
              <w:rPr>
                <w:rFonts w:hint="eastAsia" w:ascii="宋体" w:hAnsi="宋体" w:eastAsia="宋体" w:cs="宋体"/>
                <w:b w:val="0"/>
                <w:bCs w:val="0"/>
                <w:sz w:val="24"/>
                <w:szCs w:val="24"/>
                <w:highlight w:val="none"/>
              </w:rPr>
              <w:t>70%RH以下</w:t>
            </w:r>
            <w:r>
              <w:rPr>
                <w:rFonts w:hint="eastAsia" w:ascii="宋体" w:hAnsi="宋体" w:cs="宋体"/>
                <w:b w:val="0"/>
                <w:bCs w:val="0"/>
                <w:sz w:val="24"/>
                <w:szCs w:val="24"/>
                <w:highlight w:val="none"/>
                <w:lang w:eastAsia="zh-CN"/>
              </w:rPr>
              <w:t>。</w:t>
            </w:r>
          </w:p>
          <w:p w14:paraId="2C5231B3">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29.绝缘电阻：20MQ以上（电路与外壳之间500V）</w:t>
            </w:r>
            <w:r>
              <w:rPr>
                <w:rFonts w:hint="eastAsia" w:ascii="宋体" w:hAnsi="宋体" w:cs="宋体"/>
                <w:b w:val="0"/>
                <w:bCs w:val="0"/>
                <w:sz w:val="24"/>
                <w:szCs w:val="24"/>
                <w:highlight w:val="none"/>
                <w:lang w:eastAsia="zh-CN"/>
              </w:rPr>
              <w:t>。</w:t>
            </w:r>
          </w:p>
          <w:p w14:paraId="4D3464AD">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30.耐 压：AC 3700V/RMS（电路与外壳之间）</w:t>
            </w:r>
            <w:r>
              <w:rPr>
                <w:rFonts w:hint="eastAsia" w:ascii="宋体" w:hAnsi="宋体" w:cs="宋体"/>
                <w:b w:val="0"/>
                <w:bCs w:val="0"/>
                <w:sz w:val="24"/>
                <w:szCs w:val="24"/>
                <w:highlight w:val="none"/>
                <w:lang w:eastAsia="zh-CN"/>
              </w:rPr>
              <w:t>。</w:t>
            </w:r>
          </w:p>
          <w:p w14:paraId="22CC31B1">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31.适合安规：IEC 61010</w:t>
            </w:r>
            <w:r>
              <w:rPr>
                <w:rFonts w:hint="eastAsia" w:ascii="宋体" w:hAnsi="宋体" w:cs="宋体"/>
                <w:b w:val="0"/>
                <w:bCs w:val="0"/>
                <w:sz w:val="24"/>
                <w:szCs w:val="24"/>
                <w:highlight w:val="none"/>
                <w:lang w:eastAsia="zh-CN"/>
              </w:rPr>
              <w:t>。</w:t>
            </w:r>
          </w:p>
        </w:tc>
        <w:tc>
          <w:tcPr>
            <w:tcW w:w="182" w:type="pct"/>
            <w:tcBorders>
              <w:top w:val="single" w:color="auto" w:sz="4" w:space="0"/>
              <w:left w:val="nil"/>
              <w:bottom w:val="single" w:color="auto" w:sz="4" w:space="0"/>
              <w:right w:val="single" w:color="auto" w:sz="4" w:space="0"/>
            </w:tcBorders>
            <w:noWrap w:val="0"/>
            <w:vAlign w:val="center"/>
          </w:tcPr>
          <w:p w14:paraId="217E46BA">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w:t>
            </w:r>
          </w:p>
        </w:tc>
        <w:tc>
          <w:tcPr>
            <w:tcW w:w="182" w:type="pct"/>
            <w:tcBorders>
              <w:top w:val="single" w:color="auto" w:sz="4" w:space="0"/>
              <w:left w:val="nil"/>
              <w:bottom w:val="single" w:color="auto" w:sz="4" w:space="0"/>
              <w:right w:val="single" w:color="auto" w:sz="4" w:space="0"/>
            </w:tcBorders>
            <w:noWrap w:val="0"/>
            <w:vAlign w:val="center"/>
          </w:tcPr>
          <w:p w14:paraId="5F324A20">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p>
        </w:tc>
      </w:tr>
      <w:tr w14:paraId="09817E0E">
        <w:tblPrEx>
          <w:tblCellMar>
            <w:top w:w="0" w:type="dxa"/>
            <w:left w:w="108" w:type="dxa"/>
            <w:bottom w:w="0" w:type="dxa"/>
            <w:right w:w="108" w:type="dxa"/>
          </w:tblCellMar>
        </w:tblPrEx>
        <w:trPr>
          <w:trHeight w:val="288" w:hRule="atLeast"/>
        </w:trPr>
        <w:tc>
          <w:tcPr>
            <w:tcW w:w="182" w:type="pct"/>
            <w:tcBorders>
              <w:top w:val="single" w:color="auto" w:sz="4" w:space="0"/>
              <w:left w:val="single" w:color="auto" w:sz="4" w:space="0"/>
              <w:bottom w:val="single" w:color="auto" w:sz="4" w:space="0"/>
              <w:right w:val="single" w:color="auto" w:sz="4" w:space="0"/>
            </w:tcBorders>
            <w:noWrap w:val="0"/>
            <w:vAlign w:val="center"/>
          </w:tcPr>
          <w:p w14:paraId="10285495">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8</w:t>
            </w:r>
          </w:p>
        </w:tc>
        <w:tc>
          <w:tcPr>
            <w:tcW w:w="524" w:type="pct"/>
            <w:tcBorders>
              <w:top w:val="single" w:color="auto" w:sz="4" w:space="0"/>
              <w:left w:val="nil"/>
              <w:bottom w:val="single" w:color="auto" w:sz="4" w:space="0"/>
              <w:right w:val="single" w:color="auto" w:sz="4" w:space="0"/>
            </w:tcBorders>
            <w:noWrap w:val="0"/>
            <w:vAlign w:val="center"/>
          </w:tcPr>
          <w:p w14:paraId="4DAB83FC">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新能源汽车诊断仪</w:t>
            </w:r>
          </w:p>
        </w:tc>
        <w:tc>
          <w:tcPr>
            <w:tcW w:w="3927" w:type="pct"/>
            <w:tcBorders>
              <w:top w:val="single" w:color="auto" w:sz="4" w:space="0"/>
              <w:left w:val="single" w:color="auto" w:sz="4" w:space="0"/>
              <w:bottom w:val="single" w:color="auto" w:sz="4" w:space="0"/>
              <w:right w:val="single" w:color="auto" w:sz="4" w:space="0"/>
            </w:tcBorders>
            <w:noWrap w:val="0"/>
            <w:vAlign w:val="center"/>
          </w:tcPr>
          <w:p w14:paraId="670F5677">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一、产品功能要求</w:t>
            </w:r>
          </w:p>
          <w:p w14:paraId="51B24EED">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1.支持电池包诊断，电池包动态分析，故障码读取与清除；实时数据流分析；自动诊断；特殊功能匹配；远程诊断与报告生成；车型覆盖协议兼容等。</w:t>
            </w:r>
          </w:p>
          <w:p w14:paraId="41822ACD">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2.搭配配套诊断盒，可实现本地诊断和远程诊断的双诊断模式。</w:t>
            </w:r>
          </w:p>
          <w:p w14:paraId="4AAED1F3">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3.支持扩展模块：功能具备新能源示波万用表，具备新能源检测电流钳，ADAS.胎压诊断等扩展模块。</w:t>
            </w:r>
          </w:p>
          <w:p w14:paraId="067959A5">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w:t>
            </w:r>
            <w:r>
              <w:rPr>
                <w:rFonts w:hint="eastAsia" w:ascii="宋体" w:hAnsi="宋体" w:cs="宋体"/>
                <w:b w:val="0"/>
                <w:bCs w:val="0"/>
                <w:sz w:val="24"/>
                <w:szCs w:val="24"/>
                <w:highlight w:val="none"/>
                <w:lang w:val="en-US" w:eastAsia="zh-CN"/>
              </w:rPr>
              <w:t>不低于</w:t>
            </w:r>
            <w:r>
              <w:rPr>
                <w:rFonts w:hint="eastAsia" w:ascii="宋体" w:hAnsi="宋体" w:eastAsia="宋体" w:cs="宋体"/>
                <w:b w:val="0"/>
                <w:bCs w:val="0"/>
                <w:sz w:val="24"/>
                <w:szCs w:val="24"/>
                <w:highlight w:val="none"/>
              </w:rPr>
              <w:t>安卓10.0系统，屏幕尺寸不低于10.1英寸，内存不低于4GB+64GB大存储。</w:t>
            </w:r>
          </w:p>
          <w:p w14:paraId="24F27A2B">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5.大功率电池不低于6300mAh 7.6V，续航能力大幅提升。</w:t>
            </w:r>
          </w:p>
          <w:p w14:paraId="46D0C8B5">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6.覆盖85%以上市面新能源车型。</w:t>
            </w:r>
          </w:p>
          <w:p w14:paraId="38983119">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二、主机参数</w:t>
            </w:r>
          </w:p>
          <w:p w14:paraId="668316FE">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处理器：不低于4核2.0 GHz</w:t>
            </w:r>
            <w:r>
              <w:rPr>
                <w:rFonts w:hint="eastAsia" w:ascii="宋体" w:hAnsi="宋体" w:cs="宋体"/>
                <w:b w:val="0"/>
                <w:bCs w:val="0"/>
                <w:sz w:val="24"/>
                <w:szCs w:val="24"/>
                <w:highlight w:val="none"/>
                <w:lang w:eastAsia="zh-CN"/>
              </w:rPr>
              <w:t>。</w:t>
            </w:r>
          </w:p>
          <w:p w14:paraId="31DDCEAE">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操作系统：不低于安卓10.0</w:t>
            </w:r>
            <w:r>
              <w:rPr>
                <w:rFonts w:hint="eastAsia" w:ascii="宋体" w:hAnsi="宋体" w:cs="宋体"/>
                <w:b w:val="0"/>
                <w:bCs w:val="0"/>
                <w:sz w:val="24"/>
                <w:szCs w:val="24"/>
                <w:highlight w:val="none"/>
                <w:lang w:eastAsia="zh-CN"/>
              </w:rPr>
              <w:t>。</w:t>
            </w:r>
          </w:p>
          <w:p w14:paraId="75DBFAD2">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内存：不低于4GB</w:t>
            </w:r>
            <w:r>
              <w:rPr>
                <w:rFonts w:hint="eastAsia" w:ascii="宋体" w:hAnsi="宋体" w:cs="宋体"/>
                <w:b w:val="0"/>
                <w:bCs w:val="0"/>
                <w:sz w:val="24"/>
                <w:szCs w:val="24"/>
                <w:highlight w:val="none"/>
                <w:lang w:eastAsia="zh-CN"/>
              </w:rPr>
              <w:t>。</w:t>
            </w:r>
          </w:p>
          <w:p w14:paraId="2622808D">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存储：不低于64GB</w:t>
            </w:r>
            <w:r>
              <w:rPr>
                <w:rFonts w:hint="eastAsia" w:ascii="宋体" w:hAnsi="宋体" w:cs="宋体"/>
                <w:b w:val="0"/>
                <w:bCs w:val="0"/>
                <w:sz w:val="24"/>
                <w:szCs w:val="24"/>
                <w:highlight w:val="none"/>
                <w:lang w:eastAsia="zh-CN"/>
              </w:rPr>
              <w:t>。</w:t>
            </w:r>
          </w:p>
          <w:p w14:paraId="07B0F7ED">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电池：不低于6300mAh.7.6V</w:t>
            </w:r>
            <w:r>
              <w:rPr>
                <w:rFonts w:hint="eastAsia" w:ascii="宋体" w:hAnsi="宋体" w:cs="宋体"/>
                <w:b w:val="0"/>
                <w:bCs w:val="0"/>
                <w:sz w:val="24"/>
                <w:szCs w:val="24"/>
                <w:highlight w:val="none"/>
                <w:lang w:eastAsia="zh-CN"/>
              </w:rPr>
              <w:t>。</w:t>
            </w:r>
          </w:p>
          <w:p w14:paraId="733C325A">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显示屏：不低于10.1英寸</w:t>
            </w:r>
            <w:r>
              <w:rPr>
                <w:rFonts w:hint="eastAsia" w:ascii="宋体" w:hAnsi="宋体" w:cs="宋体"/>
                <w:b w:val="0"/>
                <w:bCs w:val="0"/>
                <w:sz w:val="24"/>
                <w:szCs w:val="24"/>
                <w:highlight w:val="none"/>
                <w:lang w:eastAsia="zh-CN"/>
              </w:rPr>
              <w:t>。</w:t>
            </w:r>
          </w:p>
          <w:p w14:paraId="7B96FD4E">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分辨率：不低于1280x800</w:t>
            </w:r>
            <w:r>
              <w:rPr>
                <w:rFonts w:hint="eastAsia" w:ascii="宋体" w:hAnsi="宋体" w:cs="宋体"/>
                <w:b w:val="0"/>
                <w:bCs w:val="0"/>
                <w:sz w:val="24"/>
                <w:szCs w:val="24"/>
                <w:highlight w:val="none"/>
                <w:lang w:eastAsia="zh-CN"/>
              </w:rPr>
              <w:t>。</w:t>
            </w:r>
          </w:p>
          <w:p w14:paraId="168C26D3">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摄像头：不低于后置800万像素</w:t>
            </w:r>
            <w:r>
              <w:rPr>
                <w:rFonts w:hint="eastAsia" w:ascii="宋体" w:hAnsi="宋体" w:cs="宋体"/>
                <w:b w:val="0"/>
                <w:bCs w:val="0"/>
                <w:sz w:val="24"/>
                <w:szCs w:val="24"/>
                <w:highlight w:val="none"/>
                <w:lang w:eastAsia="zh-CN"/>
              </w:rPr>
              <w:t>。</w:t>
            </w:r>
          </w:p>
          <w:p w14:paraId="3F323BFF">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WIFI：2.4GHZ/5GHZ（双频支持4G）</w:t>
            </w:r>
            <w:r>
              <w:rPr>
                <w:rFonts w:hint="eastAsia" w:ascii="宋体" w:hAnsi="宋体" w:cs="宋体"/>
                <w:b w:val="0"/>
                <w:bCs w:val="0"/>
                <w:sz w:val="24"/>
                <w:szCs w:val="24"/>
                <w:highlight w:val="none"/>
                <w:lang w:eastAsia="zh-CN"/>
              </w:rPr>
              <w:t>。</w:t>
            </w:r>
          </w:p>
          <w:p w14:paraId="15B0537E">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工作温度：-10-50℃</w:t>
            </w:r>
            <w:r>
              <w:rPr>
                <w:rFonts w:hint="eastAsia" w:ascii="宋体" w:hAnsi="宋体" w:cs="宋体"/>
                <w:b w:val="0"/>
                <w:bCs w:val="0"/>
                <w:sz w:val="24"/>
                <w:szCs w:val="24"/>
                <w:highlight w:val="none"/>
                <w:lang w:eastAsia="zh-CN"/>
              </w:rPr>
              <w:t>。</w:t>
            </w:r>
          </w:p>
          <w:p w14:paraId="4A95117D">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三、诊断头参数</w:t>
            </w:r>
          </w:p>
          <w:p w14:paraId="1E3BD54A">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显示屏：不低于3.97寸TFT屏</w:t>
            </w:r>
            <w:r>
              <w:rPr>
                <w:rFonts w:hint="eastAsia" w:ascii="宋体" w:hAnsi="宋体" w:cs="宋体"/>
                <w:b w:val="0"/>
                <w:bCs w:val="0"/>
                <w:sz w:val="24"/>
                <w:szCs w:val="24"/>
                <w:highlight w:val="none"/>
                <w:lang w:eastAsia="zh-CN"/>
              </w:rPr>
              <w:t>。</w:t>
            </w:r>
          </w:p>
          <w:p w14:paraId="65E81D44">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分辨率：不低于320x480</w:t>
            </w:r>
            <w:r>
              <w:rPr>
                <w:rFonts w:hint="eastAsia" w:ascii="宋体" w:hAnsi="宋体" w:cs="宋体"/>
                <w:b w:val="0"/>
                <w:bCs w:val="0"/>
                <w:sz w:val="24"/>
                <w:szCs w:val="24"/>
                <w:highlight w:val="none"/>
                <w:lang w:eastAsia="zh-CN"/>
              </w:rPr>
              <w:t>。</w:t>
            </w:r>
          </w:p>
          <w:p w14:paraId="4A629421">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内存：不低于256M</w:t>
            </w:r>
            <w:r>
              <w:rPr>
                <w:rFonts w:hint="eastAsia" w:ascii="宋体" w:hAnsi="宋体" w:cs="宋体"/>
                <w:b w:val="0"/>
                <w:bCs w:val="0"/>
                <w:sz w:val="24"/>
                <w:szCs w:val="24"/>
                <w:highlight w:val="none"/>
                <w:lang w:eastAsia="zh-CN"/>
              </w:rPr>
              <w:t>。</w:t>
            </w:r>
          </w:p>
          <w:p w14:paraId="0263304D">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存储：不低于8GB</w:t>
            </w:r>
            <w:r>
              <w:rPr>
                <w:rFonts w:hint="eastAsia" w:ascii="宋体" w:hAnsi="宋体" w:cs="宋体"/>
                <w:b w:val="0"/>
                <w:bCs w:val="0"/>
                <w:sz w:val="24"/>
                <w:szCs w:val="24"/>
                <w:highlight w:val="none"/>
                <w:lang w:eastAsia="zh-CN"/>
              </w:rPr>
              <w:t>。</w:t>
            </w:r>
          </w:p>
          <w:p w14:paraId="6080D611">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工作电压：符合DC9-36V</w:t>
            </w:r>
            <w:r>
              <w:rPr>
                <w:rFonts w:hint="eastAsia" w:ascii="宋体" w:hAnsi="宋体" w:cs="宋体"/>
                <w:b w:val="0"/>
                <w:bCs w:val="0"/>
                <w:sz w:val="24"/>
                <w:szCs w:val="24"/>
                <w:highlight w:val="none"/>
                <w:lang w:eastAsia="zh-CN"/>
              </w:rPr>
              <w:t>。</w:t>
            </w:r>
          </w:p>
          <w:p w14:paraId="0FE175F9">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功耗：&lt;6W</w:t>
            </w:r>
            <w:r>
              <w:rPr>
                <w:rFonts w:hint="eastAsia" w:ascii="宋体" w:hAnsi="宋体" w:cs="宋体"/>
                <w:b w:val="0"/>
                <w:bCs w:val="0"/>
                <w:sz w:val="24"/>
                <w:szCs w:val="24"/>
                <w:highlight w:val="none"/>
                <w:lang w:eastAsia="zh-CN"/>
              </w:rPr>
              <w:t>。</w:t>
            </w:r>
          </w:p>
          <w:p w14:paraId="6AEA20AA">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本地诊断模式：蓝牙/USB有线</w:t>
            </w:r>
            <w:r>
              <w:rPr>
                <w:rFonts w:hint="eastAsia" w:ascii="宋体" w:hAnsi="宋体" w:cs="宋体"/>
                <w:b w:val="0"/>
                <w:bCs w:val="0"/>
                <w:sz w:val="24"/>
                <w:szCs w:val="24"/>
                <w:highlight w:val="none"/>
                <w:lang w:eastAsia="zh-CN"/>
              </w:rPr>
              <w:t>。</w:t>
            </w:r>
          </w:p>
          <w:p w14:paraId="7C315CE9">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远程诊断模式：以太网</w:t>
            </w:r>
            <w:r>
              <w:rPr>
                <w:rFonts w:hint="eastAsia" w:ascii="宋体" w:hAnsi="宋体" w:cs="宋体"/>
                <w:b w:val="0"/>
                <w:bCs w:val="0"/>
                <w:sz w:val="24"/>
                <w:szCs w:val="24"/>
                <w:highlight w:val="none"/>
                <w:lang w:eastAsia="zh-CN"/>
              </w:rPr>
              <w:t>。</w:t>
            </w:r>
          </w:p>
          <w:p w14:paraId="59D55C7B">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工作温度：-10-50℃</w:t>
            </w:r>
            <w:r>
              <w:rPr>
                <w:rFonts w:hint="eastAsia" w:ascii="宋体" w:hAnsi="宋体" w:cs="宋体"/>
                <w:b w:val="0"/>
                <w:bCs w:val="0"/>
                <w:sz w:val="24"/>
                <w:szCs w:val="24"/>
                <w:highlight w:val="none"/>
                <w:lang w:eastAsia="zh-CN"/>
              </w:rPr>
              <w:t>。</w:t>
            </w:r>
          </w:p>
        </w:tc>
        <w:tc>
          <w:tcPr>
            <w:tcW w:w="182" w:type="pct"/>
            <w:tcBorders>
              <w:top w:val="single" w:color="auto" w:sz="4" w:space="0"/>
              <w:left w:val="nil"/>
              <w:bottom w:val="single" w:color="auto" w:sz="4" w:space="0"/>
              <w:right w:val="single" w:color="auto" w:sz="4" w:space="0"/>
            </w:tcBorders>
            <w:noWrap w:val="0"/>
            <w:vAlign w:val="center"/>
          </w:tcPr>
          <w:p w14:paraId="426F598A">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w:t>
            </w:r>
          </w:p>
        </w:tc>
        <w:tc>
          <w:tcPr>
            <w:tcW w:w="182" w:type="pct"/>
            <w:tcBorders>
              <w:top w:val="single" w:color="auto" w:sz="4" w:space="0"/>
              <w:left w:val="nil"/>
              <w:bottom w:val="single" w:color="auto" w:sz="4" w:space="0"/>
              <w:right w:val="single" w:color="auto" w:sz="4" w:space="0"/>
            </w:tcBorders>
            <w:noWrap w:val="0"/>
            <w:vAlign w:val="center"/>
          </w:tcPr>
          <w:p w14:paraId="33229CD9">
            <w:pPr>
              <w:keepNext w:val="0"/>
              <w:keepLines w:val="0"/>
              <w:pageBreakBefore w:val="0"/>
              <w:widowControl/>
              <w:kinsoku/>
              <w:wordWrap/>
              <w:overflowPunct/>
              <w:topLinePunct w:val="0"/>
              <w:autoSpaceDE/>
              <w:autoSpaceDN/>
              <w:bidi w:val="0"/>
              <w:adjustRightInd w:val="0"/>
              <w:snapToGrid w:val="0"/>
              <w:spacing w:line="360" w:lineRule="auto"/>
              <w:jc w:val="both"/>
              <w:textAlignment w:val="baseline"/>
              <w:rPr>
                <w:rFonts w:hint="eastAsia" w:ascii="宋体" w:hAnsi="宋体" w:eastAsia="宋体" w:cs="宋体"/>
                <w:b w:val="0"/>
                <w:bCs w:val="0"/>
                <w:sz w:val="24"/>
                <w:szCs w:val="24"/>
                <w:highlight w:val="none"/>
              </w:rPr>
            </w:pPr>
          </w:p>
        </w:tc>
      </w:tr>
      <w:bookmarkEnd w:id="11"/>
    </w:tbl>
    <w:p w14:paraId="3895B23D">
      <w:pPr>
        <w:snapToGrid w:val="0"/>
        <w:spacing w:line="360" w:lineRule="auto"/>
        <w:ind w:firstLine="480" w:firstLineChars="200"/>
        <w:rPr>
          <w:rFonts w:hint="eastAsia" w:ascii="宋体" w:hAnsi="宋体" w:eastAsia="宋体" w:cs="宋体"/>
          <w:sz w:val="24"/>
          <w:szCs w:val="24"/>
          <w:highlight w:val="green"/>
          <w:lang w:val="en-US" w:eastAsia="zh-CN"/>
        </w:rPr>
        <w:sectPr>
          <w:headerReference r:id="rId7" w:type="default"/>
          <w:pgSz w:w="16838" w:h="11905" w:orient="landscape"/>
          <w:pgMar w:top="1559" w:right="2041" w:bottom="1559" w:left="1701" w:header="1134" w:footer="992" w:gutter="0"/>
          <w:pgNumType w:fmt="numberInDash"/>
          <w:cols w:space="720" w:num="1"/>
          <w:docGrid w:type="lines" w:linePitch="313" w:charSpace="0"/>
        </w:sectPr>
      </w:pPr>
    </w:p>
    <w:p w14:paraId="07FB66AA">
      <w:pPr>
        <w:snapToGrid w:val="0"/>
        <w:spacing w:line="360" w:lineRule="auto"/>
        <w:ind w:firstLine="422" w:firstLineChars="175"/>
        <w:rPr>
          <w:rFonts w:hint="eastAsia" w:ascii="宋体" w:eastAsia="宋体" w:cs="宋体"/>
          <w:b/>
          <w:sz w:val="24"/>
          <w:szCs w:val="24"/>
          <w:lang w:eastAsia="zh-CN"/>
        </w:rPr>
      </w:pPr>
      <w:r>
        <w:rPr>
          <w:rFonts w:hint="eastAsia" w:ascii="宋体" w:cs="宋体"/>
          <w:b/>
          <w:sz w:val="24"/>
          <w:szCs w:val="24"/>
        </w:rPr>
        <w:t>附件</w:t>
      </w:r>
      <w:r>
        <w:rPr>
          <w:rFonts w:hint="eastAsia" w:ascii="宋体" w:cs="宋体"/>
          <w:b/>
          <w:sz w:val="24"/>
          <w:szCs w:val="24"/>
          <w:lang w:val="en-US" w:eastAsia="zh-CN"/>
        </w:rPr>
        <w:t>5</w:t>
      </w:r>
    </w:p>
    <w:p w14:paraId="475A33F0">
      <w:pPr>
        <w:snapToGrid w:val="0"/>
        <w:spacing w:line="360" w:lineRule="auto"/>
        <w:jc w:val="center"/>
        <w:rPr>
          <w:rFonts w:hint="eastAsia" w:ascii="宋体" w:cs="宋体"/>
          <w:b/>
          <w:sz w:val="36"/>
          <w:szCs w:val="36"/>
        </w:rPr>
      </w:pPr>
      <w:r>
        <w:rPr>
          <w:rFonts w:hint="eastAsia" w:ascii="宋体" w:cs="宋体"/>
          <w:b/>
          <w:sz w:val="36"/>
          <w:szCs w:val="36"/>
        </w:rPr>
        <w:t>项目需求书（第三包）</w:t>
      </w:r>
    </w:p>
    <w:p w14:paraId="7CE49880">
      <w:pPr>
        <w:snapToGrid w:val="0"/>
        <w:spacing w:line="360" w:lineRule="auto"/>
        <w:jc w:val="center"/>
        <w:rPr>
          <w:rFonts w:hint="eastAsia" w:ascii="宋体" w:eastAsia="宋体" w:cs="宋体"/>
          <w:b/>
          <w:sz w:val="24"/>
          <w:szCs w:val="24"/>
          <w:lang w:eastAsia="zh-CN"/>
        </w:rPr>
      </w:pPr>
      <w:r>
        <w:rPr>
          <w:rFonts w:hint="eastAsia" w:ascii="宋体" w:cs="宋体"/>
          <w:b/>
          <w:sz w:val="24"/>
          <w:szCs w:val="24"/>
          <w:lang w:eastAsia="zh-CN"/>
        </w:rPr>
        <w:t>《工业机器人系统操作员S、工业视觉系统运维员S采购》</w:t>
      </w:r>
    </w:p>
    <w:p w14:paraId="1CF87539">
      <w:pPr>
        <w:pStyle w:val="7"/>
        <w:widowControl/>
        <w:numPr>
          <w:ilvl w:val="0"/>
          <w:numId w:val="0"/>
        </w:numPr>
        <w:snapToGrid w:val="0"/>
        <w:spacing w:line="360" w:lineRule="auto"/>
        <w:ind w:left="559" w:leftChars="0" w:hanging="559" w:hangingChars="233"/>
        <w:jc w:val="left"/>
        <w:rPr>
          <w:rFonts w:hint="eastAsia" w:ascii="宋体" w:hAnsi="宋体" w:cs="宋体"/>
          <w:sz w:val="24"/>
          <w:szCs w:val="24"/>
        </w:rPr>
      </w:pPr>
      <w:r>
        <w:rPr>
          <w:rFonts w:hint="default" w:ascii="宋体" w:hAnsi="宋体" w:eastAsia="宋体" w:cs="宋体"/>
          <w:kern w:val="2"/>
          <w:sz w:val="24"/>
          <w:szCs w:val="24"/>
          <w:lang w:val="en-US" w:eastAsia="zh-CN" w:bidi="ar-SA"/>
        </w:rPr>
        <w:t>一、</w:t>
      </w:r>
      <w:r>
        <w:rPr>
          <w:rFonts w:hint="eastAsia" w:ascii="宋体"/>
          <w:b/>
          <w:kern w:val="0"/>
          <w:sz w:val="24"/>
          <w:szCs w:val="24"/>
        </w:rPr>
        <w:t>项目名称</w:t>
      </w:r>
    </w:p>
    <w:p w14:paraId="66A5D34E">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天津港保税区职业技能公共实训中心国家级高技能人才培训基地建设及职业工种实训设备采购项目。</w:t>
      </w:r>
    </w:p>
    <w:p w14:paraId="2F184C5F">
      <w:pPr>
        <w:pStyle w:val="7"/>
        <w:widowControl/>
        <w:numPr>
          <w:ilvl w:val="0"/>
          <w:numId w:val="0"/>
        </w:numPr>
        <w:snapToGrid w:val="0"/>
        <w:spacing w:line="360" w:lineRule="auto"/>
        <w:ind w:left="559" w:leftChars="0" w:hanging="559" w:hangingChars="233"/>
        <w:jc w:val="left"/>
        <w:rPr>
          <w:rFonts w:hint="eastAsia" w:ascii="宋体" w:hAnsi="宋体" w:cs="宋体"/>
          <w:sz w:val="24"/>
          <w:szCs w:val="24"/>
        </w:rPr>
      </w:pPr>
      <w:r>
        <w:rPr>
          <w:rFonts w:hint="default" w:ascii="宋体" w:hAnsi="宋体" w:eastAsia="宋体" w:cs="宋体"/>
          <w:kern w:val="2"/>
          <w:sz w:val="24"/>
          <w:szCs w:val="24"/>
          <w:lang w:val="en-US" w:eastAsia="zh-CN" w:bidi="ar-SA"/>
        </w:rPr>
        <w:t>二、</w:t>
      </w:r>
      <w:r>
        <w:rPr>
          <w:rFonts w:hint="eastAsia" w:ascii="宋体"/>
          <w:b/>
          <w:kern w:val="0"/>
          <w:sz w:val="24"/>
          <w:szCs w:val="24"/>
        </w:rPr>
        <w:t>项目预算</w:t>
      </w:r>
    </w:p>
    <w:p w14:paraId="1443E3D1">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lang w:eastAsia="zh-CN"/>
        </w:rPr>
        <w:t>244.6000</w:t>
      </w:r>
      <w:r>
        <w:rPr>
          <w:rFonts w:hint="eastAsia" w:ascii="宋体" w:hAnsi="宋体" w:cs="宋体"/>
          <w:sz w:val="24"/>
          <w:szCs w:val="24"/>
        </w:rPr>
        <w:t>万元。</w:t>
      </w:r>
    </w:p>
    <w:p w14:paraId="4C4CA156">
      <w:pPr>
        <w:pStyle w:val="7"/>
        <w:widowControl/>
        <w:numPr>
          <w:ilvl w:val="0"/>
          <w:numId w:val="0"/>
        </w:numPr>
        <w:snapToGrid w:val="0"/>
        <w:spacing w:line="360" w:lineRule="auto"/>
        <w:ind w:left="561" w:leftChars="0" w:hanging="561" w:hangingChars="233"/>
        <w:jc w:val="left"/>
        <w:rPr>
          <w:rFonts w:ascii="宋体"/>
          <w:b/>
          <w:kern w:val="0"/>
          <w:sz w:val="24"/>
          <w:szCs w:val="24"/>
        </w:rPr>
      </w:pPr>
      <w:r>
        <w:rPr>
          <w:rFonts w:hint="default" w:ascii="宋体" w:hAnsi="Times New Roman" w:eastAsia="宋体" w:cs="Times New Roman"/>
          <w:b/>
          <w:kern w:val="0"/>
          <w:sz w:val="24"/>
          <w:szCs w:val="24"/>
          <w:lang w:val="en-US" w:eastAsia="zh-CN" w:bidi="ar-SA"/>
        </w:rPr>
        <w:t>三、</w:t>
      </w:r>
      <w:r>
        <w:rPr>
          <w:rFonts w:hint="eastAsia" w:ascii="宋体"/>
          <w:b/>
          <w:kern w:val="0"/>
          <w:sz w:val="24"/>
          <w:szCs w:val="24"/>
        </w:rPr>
        <w:t>资格要求</w:t>
      </w:r>
    </w:p>
    <w:p w14:paraId="2D0366EF">
      <w:pPr>
        <w:pStyle w:val="7"/>
        <w:widowControl/>
        <w:snapToGrid w:val="0"/>
        <w:spacing w:line="360" w:lineRule="auto"/>
        <w:ind w:firstLine="400" w:firstLineChars="0"/>
        <w:jc w:val="left"/>
        <w:rPr>
          <w:rFonts w:hint="eastAsia" w:ascii="宋体" w:hAnsi="宋体" w:cs="宋体"/>
          <w:sz w:val="24"/>
          <w:szCs w:val="24"/>
        </w:rPr>
      </w:pPr>
      <w:r>
        <w:rPr>
          <w:rFonts w:ascii="宋体" w:hAnsi="宋体" w:cs="宋体"/>
          <w:sz w:val="24"/>
          <w:szCs w:val="24"/>
        </w:rPr>
        <w:t>1</w:t>
      </w:r>
      <w:r>
        <w:rPr>
          <w:rFonts w:hint="eastAsia" w:ascii="宋体" w:hAnsi="宋体" w:cs="宋体"/>
          <w:sz w:val="24"/>
          <w:szCs w:val="24"/>
        </w:rPr>
        <w:t>.具有独立承担民事责任能力，提供相关证件；（有效期内的营业执照或事业单位法人证书或民办非企业单位登记证书或社会团体法人登记证书或基金会法人登记证书或自然人的身份证明）</w:t>
      </w:r>
    </w:p>
    <w:p w14:paraId="74E420C8">
      <w:pPr>
        <w:pStyle w:val="7"/>
        <w:widowControl/>
        <w:snapToGrid w:val="0"/>
        <w:spacing w:line="360" w:lineRule="auto"/>
        <w:ind w:firstLine="400" w:firstLineChars="0"/>
        <w:jc w:val="left"/>
        <w:rPr>
          <w:rFonts w:hint="eastAsia" w:ascii="宋体" w:hAnsi="宋体" w:cs="宋体"/>
          <w:sz w:val="24"/>
          <w:szCs w:val="24"/>
        </w:rPr>
      </w:pPr>
      <w:r>
        <w:rPr>
          <w:rFonts w:hint="eastAsia" w:ascii="宋体" w:hAnsi="宋体" w:cs="宋体"/>
          <w:sz w:val="24"/>
          <w:szCs w:val="24"/>
        </w:rPr>
        <w:t>2.</w:t>
      </w:r>
      <w:r>
        <w:rPr>
          <w:rFonts w:hint="eastAsia" w:ascii="宋体" w:hAnsi="宋体" w:cs="宋体"/>
          <w:sz w:val="24"/>
          <w:szCs w:val="24"/>
          <w:lang w:val="zh-CN"/>
        </w:rPr>
        <w:t>有依法缴纳税收和社会保障资金的良好记录，</w:t>
      </w:r>
      <w:r>
        <w:rPr>
          <w:rFonts w:hint="eastAsia" w:ascii="宋体" w:hAnsi="宋体" w:cs="宋体"/>
          <w:sz w:val="24"/>
          <w:szCs w:val="24"/>
        </w:rPr>
        <w:t>须提供</w:t>
      </w:r>
      <w:r>
        <w:rPr>
          <w:rFonts w:hint="eastAsia" w:ascii="宋体" w:hAnsi="宋体" w:cs="宋体"/>
          <w:sz w:val="24"/>
          <w:szCs w:val="24"/>
          <w:lang w:eastAsia="zh-CN"/>
        </w:rPr>
        <w:t>2026年</w:t>
      </w:r>
      <w:r>
        <w:rPr>
          <w:rFonts w:hint="eastAsia" w:ascii="宋体" w:hAnsi="宋体" w:cs="宋体"/>
          <w:sz w:val="24"/>
          <w:szCs w:val="24"/>
        </w:rPr>
        <w:t>至少1个月的依法纳税和缴纳社会保险费的相关证明材料；（纳税零申报投标人应当按照以下任意一种方式提供相应证明文件：1）税务大厅零申报报表且加盖受理章；2）网络申报截图复印件加盖公章。依法免缴的，应提供依法免缴的相关证明文件；未到缴税时间的新注册的公司应提供未拖欠税款及社会保险的相关证明材料）</w:t>
      </w:r>
    </w:p>
    <w:p w14:paraId="53AA5432">
      <w:pPr>
        <w:pStyle w:val="7"/>
        <w:widowControl/>
        <w:snapToGrid w:val="0"/>
        <w:spacing w:line="360" w:lineRule="auto"/>
        <w:ind w:firstLine="400" w:firstLineChars="0"/>
        <w:jc w:val="left"/>
        <w:rPr>
          <w:rFonts w:hint="eastAsia" w:ascii="宋体" w:hAnsi="宋体" w:cs="宋体"/>
          <w:sz w:val="24"/>
          <w:szCs w:val="24"/>
        </w:rPr>
      </w:pPr>
      <w:r>
        <w:rPr>
          <w:rFonts w:hint="eastAsia" w:ascii="宋体" w:hAnsi="宋体" w:cs="宋体"/>
          <w:sz w:val="24"/>
          <w:szCs w:val="24"/>
        </w:rPr>
        <w:t>3.具有良好的商业信誉和健全的财务会计制度，须提供</w:t>
      </w:r>
      <w:r>
        <w:rPr>
          <w:rFonts w:hint="eastAsia" w:ascii="宋体" w:hAnsi="宋体" w:cs="宋体"/>
          <w:sz w:val="24"/>
          <w:szCs w:val="24"/>
          <w:lang w:eastAsia="zh-CN"/>
        </w:rPr>
        <w:t>2025年度</w:t>
      </w:r>
      <w:r>
        <w:rPr>
          <w:rFonts w:hint="eastAsia" w:ascii="宋体" w:hAnsi="宋体" w:cs="宋体"/>
          <w:sz w:val="24"/>
          <w:szCs w:val="24"/>
        </w:rPr>
        <w:t>经第三方会计师事务所审计的企业财务报告或开标及投标截止时间前的6个月内银行出具的资信证明；</w:t>
      </w:r>
    </w:p>
    <w:p w14:paraId="4A7F9C2C">
      <w:pPr>
        <w:pStyle w:val="7"/>
        <w:widowControl/>
        <w:snapToGrid w:val="0"/>
        <w:spacing w:line="360" w:lineRule="auto"/>
        <w:ind w:firstLine="400" w:firstLineChars="0"/>
        <w:jc w:val="left"/>
        <w:rPr>
          <w:rFonts w:hint="eastAsia" w:ascii="宋体" w:hAnsi="宋体" w:cs="宋体"/>
          <w:sz w:val="24"/>
          <w:szCs w:val="24"/>
        </w:rPr>
      </w:pPr>
      <w:r>
        <w:rPr>
          <w:rFonts w:hint="eastAsia" w:ascii="宋体" w:hAnsi="宋体" w:cs="宋体"/>
          <w:sz w:val="24"/>
          <w:szCs w:val="24"/>
        </w:rPr>
        <w:t>4.投标截止日前三年参加政府采购活动，在经营活动中没有重大违法记录。提供书面声明函；（截至开标日成立不足3年的投标人可提供自成立以来无重大违法记录的书面声明）</w:t>
      </w:r>
    </w:p>
    <w:p w14:paraId="757529AB">
      <w:pPr>
        <w:pStyle w:val="7"/>
        <w:widowControl/>
        <w:snapToGrid w:val="0"/>
        <w:spacing w:line="360" w:lineRule="auto"/>
        <w:ind w:firstLine="400" w:firstLineChars="0"/>
        <w:jc w:val="left"/>
        <w:rPr>
          <w:rFonts w:hint="eastAsia" w:ascii="宋体" w:hAnsi="宋体" w:cs="宋体"/>
          <w:sz w:val="24"/>
          <w:szCs w:val="24"/>
        </w:rPr>
      </w:pPr>
      <w:r>
        <w:rPr>
          <w:rFonts w:hint="eastAsia" w:ascii="宋体" w:hAnsi="宋体" w:cs="宋体"/>
          <w:sz w:val="24"/>
          <w:szCs w:val="24"/>
        </w:rPr>
        <w:t>5.本项目不接受联合体投标。</w:t>
      </w:r>
    </w:p>
    <w:p w14:paraId="620D9BB4">
      <w:pPr>
        <w:pStyle w:val="7"/>
        <w:widowControl/>
        <w:numPr>
          <w:ilvl w:val="0"/>
          <w:numId w:val="0"/>
        </w:numPr>
        <w:snapToGrid w:val="0"/>
        <w:spacing w:line="360" w:lineRule="auto"/>
        <w:ind w:left="561" w:leftChars="0" w:hanging="561" w:hangingChars="233"/>
        <w:jc w:val="left"/>
        <w:rPr>
          <w:rFonts w:ascii="宋体"/>
          <w:b/>
          <w:kern w:val="0"/>
          <w:sz w:val="24"/>
          <w:szCs w:val="24"/>
        </w:rPr>
      </w:pPr>
      <w:r>
        <w:rPr>
          <w:rFonts w:hint="default" w:ascii="宋体" w:hAnsi="Times New Roman" w:eastAsia="宋体" w:cs="Times New Roman"/>
          <w:b/>
          <w:kern w:val="0"/>
          <w:sz w:val="24"/>
          <w:szCs w:val="24"/>
          <w:lang w:val="en-US" w:eastAsia="zh-CN" w:bidi="ar-SA"/>
        </w:rPr>
        <w:t>四、</w:t>
      </w:r>
      <w:r>
        <w:rPr>
          <w:rFonts w:hint="eastAsia" w:ascii="宋体"/>
          <w:b/>
          <w:kern w:val="0"/>
          <w:sz w:val="24"/>
          <w:szCs w:val="24"/>
        </w:rPr>
        <w:t>采购标的需落实政府采购政策需满足的要求</w:t>
      </w:r>
    </w:p>
    <w:p w14:paraId="39A56128">
      <w:pPr>
        <w:widowControl/>
        <w:snapToGrid w:val="0"/>
        <w:spacing w:line="360" w:lineRule="auto"/>
        <w:ind w:firstLine="400"/>
        <w:jc w:val="left"/>
        <w:rPr>
          <w:rFonts w:hint="eastAsia" w:ascii="宋体" w:hAnsi="宋体" w:cs="宋体"/>
          <w:kern w:val="0"/>
          <w:sz w:val="24"/>
          <w:szCs w:val="24"/>
        </w:rPr>
      </w:pPr>
      <w:r>
        <w:rPr>
          <w:rFonts w:ascii="宋体" w:hAnsi="宋体" w:cs="宋体"/>
          <w:kern w:val="0"/>
          <w:sz w:val="24"/>
          <w:szCs w:val="24"/>
        </w:rPr>
        <w:t>1</w:t>
      </w:r>
      <w:r>
        <w:rPr>
          <w:rFonts w:hint="eastAsia" w:ascii="宋体" w:hAnsi="宋体" w:cs="宋体"/>
          <w:kern w:val="0"/>
          <w:sz w:val="24"/>
          <w:szCs w:val="24"/>
        </w:rPr>
        <w:t>.根据《财政部工业和信息化部关于印发&lt;政府采购促进中小企业发展管理办法&gt;的通知》（财库[2020]46号）、《财政部关于进一步加大政府采购支持中小企业力度的通</w:t>
      </w:r>
      <w:r>
        <w:rPr>
          <w:rFonts w:hint="eastAsia" w:ascii="宋体" w:hAnsi="宋体" w:cs="宋体"/>
          <w:kern w:val="0"/>
          <w:sz w:val="24"/>
          <w:szCs w:val="24"/>
          <w:lang w:eastAsia="zh-CN"/>
        </w:rPr>
        <w:t>知》（财</w:t>
      </w:r>
      <w:r>
        <w:rPr>
          <w:rFonts w:hint="eastAsia" w:ascii="宋体" w:hAnsi="宋体" w:cs="宋体"/>
          <w:kern w:val="0"/>
          <w:sz w:val="24"/>
          <w:szCs w:val="24"/>
        </w:rPr>
        <w:t>库[2022]19号）规定，本项目对小型和微型企业产品的价格给予20%的扣除。供应商提供的货物由小型或微型企业制造，即货物由小型或微型企业生产且使用该小型或微型企业商号或者注册商标，可享受小微企业评审优惠政策。供应商应当如实填写《中小企业声明函》，标明企业规模。供应商提供的货物既有中小企业制造货物，也有大型企业制造货物的，不予进行价格扣除。</w:t>
      </w:r>
    </w:p>
    <w:p w14:paraId="383FC4EC">
      <w:pPr>
        <w:widowControl/>
        <w:snapToGrid w:val="0"/>
        <w:spacing w:line="360" w:lineRule="auto"/>
        <w:ind w:firstLine="400"/>
        <w:jc w:val="left"/>
        <w:rPr>
          <w:rFonts w:hint="eastAsia" w:ascii="宋体" w:hAnsi="宋体" w:cs="宋体"/>
          <w:kern w:val="0"/>
          <w:sz w:val="24"/>
          <w:szCs w:val="24"/>
        </w:rPr>
      </w:pPr>
      <w:r>
        <w:rPr>
          <w:rFonts w:ascii="宋体" w:hAnsi="宋体" w:cs="宋体"/>
          <w:kern w:val="0"/>
          <w:sz w:val="24"/>
          <w:szCs w:val="24"/>
        </w:rPr>
        <w:t>2</w:t>
      </w:r>
      <w:r>
        <w:rPr>
          <w:rFonts w:hint="eastAsia" w:ascii="宋体" w:hAnsi="宋体" w:cs="宋体"/>
          <w:kern w:val="0"/>
          <w:sz w:val="24"/>
          <w:szCs w:val="24"/>
        </w:rPr>
        <w:t>.根据财政部、司法部发布的《关于政府采购支持监狱企业发展有关问题的通知》（财库〔2014〕68号）规定，对监狱企业视同小型、微型企业，享受评审中价格扣除等政府采购促进中小企业发展的政府采购政策，对其报价给予20%的扣除。</w:t>
      </w:r>
    </w:p>
    <w:p w14:paraId="3466004E">
      <w:pPr>
        <w:widowControl/>
        <w:snapToGrid w:val="0"/>
        <w:spacing w:line="360" w:lineRule="auto"/>
        <w:ind w:firstLine="400"/>
        <w:jc w:val="left"/>
        <w:rPr>
          <w:rFonts w:hint="eastAsia" w:ascii="宋体" w:hAnsi="宋体" w:cs="宋体"/>
          <w:kern w:val="0"/>
          <w:sz w:val="24"/>
          <w:szCs w:val="24"/>
        </w:rPr>
      </w:pPr>
      <w:r>
        <w:rPr>
          <w:rFonts w:ascii="宋体" w:hAnsi="宋体" w:cs="宋体"/>
          <w:kern w:val="0"/>
          <w:sz w:val="24"/>
          <w:szCs w:val="24"/>
        </w:rPr>
        <w:t>3</w:t>
      </w:r>
      <w:r>
        <w:rPr>
          <w:rFonts w:hint="eastAsia" w:ascii="宋体" w:hAnsi="宋体" w:cs="宋体"/>
          <w:kern w:val="0"/>
          <w:sz w:val="24"/>
          <w:szCs w:val="24"/>
        </w:rPr>
        <w:t>.根据财政部、民政部、中国残疾人联合会联合发布的《关于促进残疾人就业政府采购政策的通知》（财库〔2017〕141号）规定，对残疾人福利单位同小型、微型企业，享受评审中价格扣除等政府采购促进中小企业发展的政府采购政策。即残疾人福利性单位提供本单位制造的货物，或者提供其他残疾人福利性单位制造的货物（不包括使用非残疾人福利性单位注册商标的货物）对其报价给予20%的扣除。</w:t>
      </w:r>
    </w:p>
    <w:p w14:paraId="25D02CA5">
      <w:pPr>
        <w:widowControl/>
        <w:snapToGri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注：中小微企业应当提供《中小企业声明函》，监狱企业应当提供由省级以上监狱管理局、戒毒管理局（含新疆生产建设兵团）出具的属于监狱企业的证明文件，残疾人企业应当提供《残疾人福利性单位声明函》，并对声明的真实性负责，否则均不予认定。以上政策不重复享受。</w:t>
      </w:r>
    </w:p>
    <w:p w14:paraId="6386E145">
      <w:pPr>
        <w:widowControl/>
        <w:snapToGrid w:val="0"/>
        <w:spacing w:line="360" w:lineRule="auto"/>
        <w:ind w:firstLine="400"/>
        <w:jc w:val="left"/>
        <w:rPr>
          <w:rFonts w:hint="eastAsia" w:ascii="宋体" w:hAnsi="宋体" w:cs="宋体"/>
          <w:kern w:val="0"/>
          <w:sz w:val="24"/>
          <w:szCs w:val="24"/>
        </w:rPr>
      </w:pPr>
      <w:r>
        <w:rPr>
          <w:rFonts w:ascii="宋体" w:hAnsi="宋体" w:cs="宋体"/>
          <w:kern w:val="0"/>
          <w:sz w:val="24"/>
          <w:szCs w:val="24"/>
        </w:rPr>
        <w:t>4</w:t>
      </w:r>
      <w:r>
        <w:rPr>
          <w:rFonts w:hint="eastAsia" w:ascii="宋体" w:hAnsi="宋体" w:cs="宋体"/>
          <w:kern w:val="0"/>
          <w:sz w:val="24"/>
          <w:szCs w:val="24"/>
        </w:rPr>
        <w:t>.根据《国务院办公厅关于在政府采购中实施本国产品标准及相关政策的通知》（国办发﹝2025﹞34号）规定，政府采购活动中既有本国产品又有非本国产品参与竞争的，依法对本国产品给予价格评审优惠，对本国产品的报价给予20%的价格扣除，用扣除后的价格参与评审。即投标人提供的产品既有本国产品和非本国产品的，应当按照规定出具《关于符合本国产品标准的声明函》，并说明各项本国产品成本明细以及占全部产品成本的比例，投标人为该项采购项目或者采购包提供的符合产品标准的产品成本之和占该投标人提供的全部产品成本之和的比例达到80%以上时，对该投标人提供的全部产品的总报价给予20%的价格扣除，用扣除后的价格参与评审。</w:t>
      </w:r>
    </w:p>
    <w:p w14:paraId="6B525067">
      <w:pPr>
        <w:widowControl/>
        <w:snapToGrid w:val="0"/>
        <w:spacing w:line="360" w:lineRule="auto"/>
        <w:ind w:firstLine="400"/>
        <w:jc w:val="left"/>
        <w:rPr>
          <w:rFonts w:hint="eastAsia" w:ascii="宋体" w:hAnsi="宋体" w:cs="宋体"/>
          <w:kern w:val="0"/>
          <w:sz w:val="24"/>
          <w:szCs w:val="24"/>
        </w:rPr>
      </w:pPr>
      <w:r>
        <w:rPr>
          <w:rFonts w:ascii="宋体" w:hAnsi="宋体" w:cs="宋体"/>
          <w:kern w:val="0"/>
          <w:sz w:val="24"/>
          <w:szCs w:val="24"/>
        </w:rPr>
        <w:t>5</w:t>
      </w:r>
      <w:r>
        <w:rPr>
          <w:rFonts w:hint="eastAsia" w:ascii="宋体" w:hAnsi="宋体" w:cs="宋体"/>
          <w:kern w:val="0"/>
          <w:sz w:val="24"/>
          <w:szCs w:val="24"/>
        </w:rPr>
        <w:t>.涉及商品包装或快递包装的，按照《财政部办公厅、生态环境部办公厅、国家邮政局办公室关于印发&lt;商品包装政府采购需求标准（试行）&gt;、&lt;快递包装政府采购需求标准（试行）&gt;的通知》（财办库〔2020〕123号）、《绿色数据中心政府采购需求标准（试行）》（财库〔2023〕7号）规定执行。</w:t>
      </w:r>
    </w:p>
    <w:p w14:paraId="0E77E7F8">
      <w:pPr>
        <w:widowControl/>
        <w:snapToGrid w:val="0"/>
        <w:spacing w:line="360" w:lineRule="auto"/>
        <w:ind w:firstLine="400"/>
        <w:jc w:val="left"/>
        <w:rPr>
          <w:rFonts w:hint="eastAsia" w:ascii="宋体" w:hAnsi="宋体" w:cs="宋体"/>
          <w:kern w:val="0"/>
          <w:sz w:val="24"/>
          <w:szCs w:val="24"/>
        </w:rPr>
      </w:pPr>
      <w:r>
        <w:rPr>
          <w:rFonts w:ascii="宋体" w:hAnsi="宋体" w:cs="宋体"/>
          <w:kern w:val="0"/>
          <w:sz w:val="24"/>
          <w:szCs w:val="24"/>
        </w:rPr>
        <w:t>6</w:t>
      </w:r>
      <w:r>
        <w:rPr>
          <w:rFonts w:hint="eastAsia" w:ascii="宋体" w:hAnsi="宋体" w:cs="宋体"/>
          <w:kern w:val="0"/>
          <w:sz w:val="24"/>
          <w:szCs w:val="24"/>
        </w:rPr>
        <w:t>.按照《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文件要求，对政府采购节能、环境标志品目清单内的产品实施优先采购和强制采购的评标方法。</w:t>
      </w:r>
    </w:p>
    <w:p w14:paraId="60C5FC19">
      <w:pPr>
        <w:pStyle w:val="7"/>
        <w:widowControl/>
        <w:numPr>
          <w:ilvl w:val="0"/>
          <w:numId w:val="0"/>
        </w:numPr>
        <w:snapToGrid w:val="0"/>
        <w:spacing w:line="360" w:lineRule="auto"/>
        <w:ind w:left="561" w:leftChars="0" w:hanging="561" w:hangingChars="233"/>
        <w:jc w:val="left"/>
        <w:rPr>
          <w:rFonts w:ascii="宋体"/>
          <w:b/>
          <w:kern w:val="0"/>
          <w:sz w:val="24"/>
          <w:szCs w:val="24"/>
        </w:rPr>
      </w:pPr>
      <w:r>
        <w:rPr>
          <w:rFonts w:hint="default" w:ascii="宋体" w:hAnsi="Times New Roman" w:eastAsia="宋体" w:cs="Times New Roman"/>
          <w:b/>
          <w:kern w:val="0"/>
          <w:sz w:val="24"/>
          <w:szCs w:val="24"/>
          <w:lang w:val="en-US" w:eastAsia="zh-CN" w:bidi="ar-SA"/>
        </w:rPr>
        <w:t>五、</w:t>
      </w:r>
      <w:r>
        <w:rPr>
          <w:rFonts w:hint="eastAsia" w:ascii="宋体"/>
          <w:b/>
          <w:kern w:val="0"/>
          <w:sz w:val="24"/>
          <w:szCs w:val="24"/>
        </w:rPr>
        <w:t>采购标的任务及需实现的目标</w:t>
      </w:r>
    </w:p>
    <w:tbl>
      <w:tblPr>
        <w:tblStyle w:val="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1"/>
        <w:gridCol w:w="4128"/>
        <w:gridCol w:w="801"/>
        <w:gridCol w:w="801"/>
        <w:gridCol w:w="2467"/>
      </w:tblGrid>
      <w:tr w14:paraId="00206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45" w:type="pct"/>
            <w:vAlign w:val="center"/>
          </w:tcPr>
          <w:p w14:paraId="10899193">
            <w:pPr>
              <w:snapToGrid w:val="0"/>
              <w:spacing w:line="360" w:lineRule="auto"/>
              <w:rPr>
                <w:rFonts w:hint="eastAsia" w:ascii="宋体" w:hAnsi="宋体" w:cs="宋体"/>
                <w:bCs/>
                <w:sz w:val="24"/>
                <w:szCs w:val="24"/>
              </w:rPr>
            </w:pPr>
            <w:r>
              <w:rPr>
                <w:rFonts w:hint="eastAsia" w:ascii="宋体" w:hAnsi="宋体" w:cs="宋体"/>
                <w:bCs/>
                <w:sz w:val="24"/>
                <w:szCs w:val="24"/>
              </w:rPr>
              <w:t>序号</w:t>
            </w:r>
          </w:p>
        </w:tc>
        <w:tc>
          <w:tcPr>
            <w:tcW w:w="2292" w:type="pct"/>
            <w:vAlign w:val="center"/>
          </w:tcPr>
          <w:p w14:paraId="40456B0B">
            <w:pPr>
              <w:snapToGrid w:val="0"/>
              <w:spacing w:line="360" w:lineRule="auto"/>
              <w:rPr>
                <w:rFonts w:hint="eastAsia" w:ascii="宋体" w:hAnsi="宋体" w:cs="宋体"/>
                <w:bCs/>
                <w:sz w:val="24"/>
                <w:szCs w:val="24"/>
              </w:rPr>
            </w:pPr>
            <w:r>
              <w:rPr>
                <w:rFonts w:hint="eastAsia" w:ascii="宋体" w:hAnsi="宋体" w:cs="宋体"/>
                <w:bCs/>
                <w:sz w:val="24"/>
                <w:szCs w:val="24"/>
              </w:rPr>
              <w:t>设备名称</w:t>
            </w:r>
          </w:p>
        </w:tc>
        <w:tc>
          <w:tcPr>
            <w:tcW w:w="445" w:type="pct"/>
            <w:vAlign w:val="center"/>
          </w:tcPr>
          <w:p w14:paraId="3A1CF57E">
            <w:pPr>
              <w:snapToGrid w:val="0"/>
              <w:spacing w:line="360" w:lineRule="auto"/>
              <w:rPr>
                <w:rFonts w:hint="eastAsia" w:ascii="宋体" w:hAnsi="宋体" w:cs="宋体"/>
                <w:bCs/>
                <w:sz w:val="24"/>
                <w:szCs w:val="24"/>
              </w:rPr>
            </w:pPr>
            <w:r>
              <w:rPr>
                <w:rFonts w:hint="eastAsia" w:ascii="宋体" w:hAnsi="宋体" w:cs="宋体"/>
                <w:bCs/>
                <w:sz w:val="24"/>
                <w:szCs w:val="24"/>
              </w:rPr>
              <w:t>数量</w:t>
            </w:r>
          </w:p>
        </w:tc>
        <w:tc>
          <w:tcPr>
            <w:tcW w:w="445" w:type="pct"/>
            <w:vAlign w:val="center"/>
          </w:tcPr>
          <w:p w14:paraId="61D4C7F1">
            <w:pPr>
              <w:snapToGrid w:val="0"/>
              <w:spacing w:line="360" w:lineRule="auto"/>
              <w:rPr>
                <w:rFonts w:hint="eastAsia" w:ascii="宋体" w:hAnsi="宋体" w:cs="宋体"/>
                <w:bCs/>
                <w:sz w:val="24"/>
                <w:szCs w:val="24"/>
              </w:rPr>
            </w:pPr>
            <w:r>
              <w:rPr>
                <w:rFonts w:hint="eastAsia" w:ascii="宋体" w:hAnsi="宋体" w:cs="宋体"/>
                <w:bCs/>
                <w:sz w:val="24"/>
                <w:szCs w:val="24"/>
              </w:rPr>
              <w:t>单位</w:t>
            </w:r>
          </w:p>
        </w:tc>
        <w:tc>
          <w:tcPr>
            <w:tcW w:w="1369" w:type="pct"/>
            <w:vAlign w:val="center"/>
          </w:tcPr>
          <w:p w14:paraId="4FB0CED8">
            <w:pPr>
              <w:snapToGrid w:val="0"/>
              <w:spacing w:line="360" w:lineRule="auto"/>
              <w:rPr>
                <w:rFonts w:hint="eastAsia" w:ascii="宋体" w:hAnsi="宋体" w:cs="宋体"/>
                <w:bCs/>
                <w:sz w:val="24"/>
                <w:szCs w:val="24"/>
              </w:rPr>
            </w:pPr>
            <w:r>
              <w:rPr>
                <w:rFonts w:hint="eastAsia" w:ascii="宋体" w:hAnsi="宋体" w:cs="宋体"/>
                <w:bCs/>
                <w:sz w:val="24"/>
                <w:szCs w:val="24"/>
              </w:rPr>
              <w:t>单价控制价（元）</w:t>
            </w:r>
          </w:p>
        </w:tc>
      </w:tr>
      <w:tr w14:paraId="5D4A8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45" w:type="pct"/>
            <w:vAlign w:val="center"/>
          </w:tcPr>
          <w:p w14:paraId="1964042A">
            <w:pPr>
              <w:snapToGrid w:val="0"/>
              <w:spacing w:line="360" w:lineRule="auto"/>
              <w:rPr>
                <w:rFonts w:hint="eastAsia" w:ascii="宋体" w:hAnsi="宋体" w:cs="宋体"/>
                <w:bCs/>
                <w:sz w:val="24"/>
                <w:szCs w:val="24"/>
              </w:rPr>
            </w:pPr>
            <w:r>
              <w:rPr>
                <w:rFonts w:hint="eastAsia" w:ascii="宋体" w:hAnsi="宋体" w:cs="宋体"/>
                <w:bCs/>
                <w:sz w:val="24"/>
                <w:szCs w:val="24"/>
              </w:rPr>
              <w:t>1</w:t>
            </w:r>
          </w:p>
        </w:tc>
        <w:tc>
          <w:tcPr>
            <w:tcW w:w="2292" w:type="pct"/>
            <w:vAlign w:val="center"/>
          </w:tcPr>
          <w:p w14:paraId="39232F34">
            <w:pPr>
              <w:snapToGrid w:val="0"/>
              <w:spacing w:line="360" w:lineRule="auto"/>
              <w:rPr>
                <w:rFonts w:hint="eastAsia" w:ascii="宋体" w:hAnsi="宋体" w:cs="宋体"/>
                <w:bCs/>
                <w:sz w:val="24"/>
                <w:szCs w:val="24"/>
              </w:rPr>
            </w:pPr>
            <w:r>
              <w:rPr>
                <w:rFonts w:hint="eastAsia" w:ascii="宋体" w:hAnsi="宋体" w:cs="宋体"/>
                <w:bCs/>
                <w:sz w:val="24"/>
                <w:szCs w:val="24"/>
              </w:rPr>
              <w:t>工业机器人数控加工实训设备</w:t>
            </w:r>
          </w:p>
        </w:tc>
        <w:tc>
          <w:tcPr>
            <w:tcW w:w="445" w:type="pct"/>
            <w:vAlign w:val="center"/>
          </w:tcPr>
          <w:p w14:paraId="3825AEBF">
            <w:pPr>
              <w:snapToGrid w:val="0"/>
              <w:spacing w:line="360" w:lineRule="auto"/>
              <w:rPr>
                <w:rFonts w:hint="eastAsia" w:ascii="宋体" w:hAnsi="宋体" w:cs="宋体"/>
                <w:bCs/>
                <w:sz w:val="24"/>
                <w:szCs w:val="24"/>
              </w:rPr>
            </w:pPr>
            <w:r>
              <w:rPr>
                <w:rFonts w:hint="eastAsia" w:ascii="宋体" w:hAnsi="宋体" w:cs="宋体"/>
                <w:bCs/>
                <w:sz w:val="24"/>
                <w:szCs w:val="24"/>
              </w:rPr>
              <w:t>1</w:t>
            </w:r>
          </w:p>
        </w:tc>
        <w:tc>
          <w:tcPr>
            <w:tcW w:w="445" w:type="pct"/>
            <w:vAlign w:val="center"/>
          </w:tcPr>
          <w:p w14:paraId="528B846A">
            <w:pPr>
              <w:snapToGrid w:val="0"/>
              <w:spacing w:line="360" w:lineRule="auto"/>
              <w:rPr>
                <w:rFonts w:hint="eastAsia" w:ascii="宋体" w:hAnsi="宋体" w:cs="宋体"/>
                <w:bCs/>
                <w:sz w:val="24"/>
                <w:szCs w:val="24"/>
              </w:rPr>
            </w:pPr>
            <w:r>
              <w:rPr>
                <w:rFonts w:hint="eastAsia" w:ascii="宋体" w:hAnsi="宋体" w:cs="宋体"/>
                <w:bCs/>
                <w:sz w:val="24"/>
                <w:szCs w:val="24"/>
              </w:rPr>
              <w:t>套</w:t>
            </w:r>
          </w:p>
        </w:tc>
        <w:tc>
          <w:tcPr>
            <w:tcW w:w="2467" w:type="dxa"/>
            <w:vAlign w:val="center"/>
          </w:tcPr>
          <w:p w14:paraId="7FF31C61">
            <w:pPr>
              <w:keepNext w:val="0"/>
              <w:keepLines w:val="0"/>
              <w:widowControl/>
              <w:suppressLineNumbers w:val="0"/>
              <w:snapToGrid w:val="0"/>
              <w:spacing w:line="360" w:lineRule="auto"/>
              <w:jc w:val="left"/>
              <w:textAlignment w:val="auto"/>
              <w:rPr>
                <w:rFonts w:hint="eastAsia" w:ascii="宋体" w:hAnsi="宋体" w:cs="宋体"/>
                <w:bCs/>
                <w:sz w:val="24"/>
                <w:szCs w:val="24"/>
              </w:rPr>
            </w:pPr>
            <w:r>
              <w:rPr>
                <w:rFonts w:hint="eastAsia" w:ascii="宋体" w:hAnsi="宋体" w:eastAsia="宋体" w:cs="宋体"/>
                <w:bCs/>
                <w:i w:val="0"/>
                <w:iCs w:val="0"/>
                <w:kern w:val="2"/>
                <w:sz w:val="24"/>
                <w:szCs w:val="24"/>
                <w:u w:val="none"/>
                <w:lang w:val="en-US" w:eastAsia="zh-CN" w:bidi="ar"/>
              </w:rPr>
              <w:t>220000</w:t>
            </w:r>
          </w:p>
        </w:tc>
      </w:tr>
      <w:tr w14:paraId="7A621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45" w:type="pct"/>
            <w:vAlign w:val="center"/>
          </w:tcPr>
          <w:p w14:paraId="69553198">
            <w:pPr>
              <w:snapToGrid w:val="0"/>
              <w:spacing w:line="360" w:lineRule="auto"/>
              <w:rPr>
                <w:rFonts w:hint="eastAsia" w:ascii="宋体" w:hAnsi="宋体" w:cs="宋体"/>
                <w:bCs/>
                <w:sz w:val="24"/>
                <w:szCs w:val="24"/>
              </w:rPr>
            </w:pPr>
            <w:r>
              <w:rPr>
                <w:rFonts w:hint="eastAsia" w:ascii="宋体" w:hAnsi="宋体" w:cs="宋体"/>
                <w:bCs/>
                <w:sz w:val="24"/>
                <w:szCs w:val="24"/>
              </w:rPr>
              <w:t>2</w:t>
            </w:r>
          </w:p>
        </w:tc>
        <w:tc>
          <w:tcPr>
            <w:tcW w:w="2292" w:type="pct"/>
            <w:vAlign w:val="center"/>
          </w:tcPr>
          <w:p w14:paraId="4253179C">
            <w:pPr>
              <w:snapToGrid w:val="0"/>
              <w:spacing w:line="360" w:lineRule="auto"/>
              <w:rPr>
                <w:rFonts w:hint="eastAsia" w:ascii="宋体" w:hAnsi="宋体" w:cs="宋体"/>
                <w:bCs/>
                <w:sz w:val="24"/>
                <w:szCs w:val="24"/>
              </w:rPr>
            </w:pPr>
            <w:r>
              <w:rPr>
                <w:rFonts w:hint="eastAsia" w:ascii="宋体" w:hAnsi="宋体" w:cs="宋体"/>
                <w:bCs/>
                <w:sz w:val="24"/>
                <w:szCs w:val="24"/>
              </w:rPr>
              <w:t>协作机器人免编程焊接实训设备</w:t>
            </w:r>
          </w:p>
        </w:tc>
        <w:tc>
          <w:tcPr>
            <w:tcW w:w="445" w:type="pct"/>
            <w:vAlign w:val="center"/>
          </w:tcPr>
          <w:p w14:paraId="1F0B685B">
            <w:pPr>
              <w:snapToGrid w:val="0"/>
              <w:spacing w:line="360" w:lineRule="auto"/>
              <w:rPr>
                <w:rFonts w:hint="eastAsia" w:ascii="宋体" w:hAnsi="宋体" w:cs="宋体"/>
                <w:bCs/>
                <w:sz w:val="24"/>
                <w:szCs w:val="24"/>
              </w:rPr>
            </w:pPr>
            <w:r>
              <w:rPr>
                <w:rFonts w:hint="eastAsia" w:ascii="宋体" w:hAnsi="宋体" w:cs="宋体"/>
                <w:bCs/>
                <w:sz w:val="24"/>
                <w:szCs w:val="24"/>
              </w:rPr>
              <w:t>1</w:t>
            </w:r>
          </w:p>
        </w:tc>
        <w:tc>
          <w:tcPr>
            <w:tcW w:w="445" w:type="pct"/>
            <w:vAlign w:val="center"/>
          </w:tcPr>
          <w:p w14:paraId="5063BAB5">
            <w:pPr>
              <w:snapToGrid w:val="0"/>
              <w:spacing w:line="360" w:lineRule="auto"/>
              <w:rPr>
                <w:rFonts w:hint="eastAsia" w:ascii="宋体" w:hAnsi="宋体" w:cs="宋体"/>
                <w:bCs/>
                <w:sz w:val="24"/>
                <w:szCs w:val="24"/>
              </w:rPr>
            </w:pPr>
            <w:r>
              <w:rPr>
                <w:rFonts w:hint="eastAsia" w:ascii="宋体" w:hAnsi="宋体" w:cs="宋体"/>
                <w:bCs/>
                <w:sz w:val="24"/>
                <w:szCs w:val="24"/>
              </w:rPr>
              <w:t>套</w:t>
            </w:r>
          </w:p>
        </w:tc>
        <w:tc>
          <w:tcPr>
            <w:tcW w:w="2467" w:type="dxa"/>
            <w:vAlign w:val="center"/>
          </w:tcPr>
          <w:p w14:paraId="09AA70ED">
            <w:pPr>
              <w:keepNext w:val="0"/>
              <w:keepLines w:val="0"/>
              <w:widowControl/>
              <w:suppressLineNumbers w:val="0"/>
              <w:snapToGrid w:val="0"/>
              <w:spacing w:line="360" w:lineRule="auto"/>
              <w:jc w:val="left"/>
              <w:textAlignment w:val="auto"/>
              <w:rPr>
                <w:rFonts w:hint="eastAsia" w:ascii="宋体" w:hAnsi="宋体" w:cs="宋体"/>
                <w:bCs/>
                <w:sz w:val="24"/>
                <w:szCs w:val="24"/>
              </w:rPr>
            </w:pPr>
            <w:r>
              <w:rPr>
                <w:rFonts w:hint="eastAsia" w:ascii="宋体" w:hAnsi="宋体" w:eastAsia="宋体" w:cs="宋体"/>
                <w:bCs/>
                <w:i w:val="0"/>
                <w:iCs w:val="0"/>
                <w:kern w:val="2"/>
                <w:sz w:val="24"/>
                <w:szCs w:val="24"/>
                <w:u w:val="none"/>
                <w:lang w:val="en-US" w:eastAsia="zh-CN" w:bidi="ar"/>
              </w:rPr>
              <w:t>265000</w:t>
            </w:r>
          </w:p>
        </w:tc>
      </w:tr>
      <w:tr w14:paraId="71B5B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45" w:type="pct"/>
            <w:vAlign w:val="center"/>
          </w:tcPr>
          <w:p w14:paraId="36F812DD">
            <w:pPr>
              <w:snapToGrid w:val="0"/>
              <w:spacing w:line="360" w:lineRule="auto"/>
              <w:rPr>
                <w:rFonts w:hint="eastAsia" w:ascii="宋体" w:hAnsi="宋体" w:cs="宋体"/>
                <w:bCs/>
                <w:sz w:val="24"/>
                <w:szCs w:val="24"/>
              </w:rPr>
            </w:pPr>
            <w:r>
              <w:rPr>
                <w:rFonts w:hint="eastAsia" w:ascii="宋体" w:hAnsi="宋体" w:cs="宋体"/>
                <w:bCs/>
                <w:sz w:val="24"/>
                <w:szCs w:val="24"/>
              </w:rPr>
              <w:t>3</w:t>
            </w:r>
          </w:p>
        </w:tc>
        <w:tc>
          <w:tcPr>
            <w:tcW w:w="2292" w:type="pct"/>
            <w:vAlign w:val="center"/>
          </w:tcPr>
          <w:p w14:paraId="59835108">
            <w:pPr>
              <w:snapToGrid w:val="0"/>
              <w:spacing w:line="360" w:lineRule="auto"/>
              <w:rPr>
                <w:rFonts w:hint="eastAsia" w:ascii="宋体" w:hAnsi="宋体" w:cs="宋体"/>
                <w:bCs/>
                <w:sz w:val="24"/>
                <w:szCs w:val="24"/>
              </w:rPr>
            </w:pPr>
            <w:r>
              <w:rPr>
                <w:rFonts w:hint="eastAsia" w:ascii="宋体" w:hAnsi="宋体" w:cs="宋体"/>
                <w:bCs/>
                <w:sz w:val="24"/>
                <w:szCs w:val="24"/>
              </w:rPr>
              <w:t>自动化恒力打磨实训装备</w:t>
            </w:r>
          </w:p>
        </w:tc>
        <w:tc>
          <w:tcPr>
            <w:tcW w:w="445" w:type="pct"/>
            <w:vAlign w:val="center"/>
          </w:tcPr>
          <w:p w14:paraId="28F6A058">
            <w:pPr>
              <w:snapToGrid w:val="0"/>
              <w:spacing w:line="360" w:lineRule="auto"/>
              <w:rPr>
                <w:rFonts w:hint="eastAsia" w:ascii="宋体" w:hAnsi="宋体" w:cs="宋体"/>
                <w:bCs/>
                <w:sz w:val="24"/>
                <w:szCs w:val="24"/>
              </w:rPr>
            </w:pPr>
            <w:r>
              <w:rPr>
                <w:rFonts w:hint="eastAsia" w:ascii="宋体" w:hAnsi="宋体" w:cs="宋体"/>
                <w:bCs/>
                <w:sz w:val="24"/>
                <w:szCs w:val="24"/>
              </w:rPr>
              <w:t>2</w:t>
            </w:r>
          </w:p>
        </w:tc>
        <w:tc>
          <w:tcPr>
            <w:tcW w:w="445" w:type="pct"/>
            <w:vAlign w:val="center"/>
          </w:tcPr>
          <w:p w14:paraId="61CFF616">
            <w:pPr>
              <w:snapToGrid w:val="0"/>
              <w:spacing w:line="360" w:lineRule="auto"/>
              <w:rPr>
                <w:rFonts w:hint="eastAsia" w:ascii="宋体" w:hAnsi="宋体" w:cs="宋体"/>
                <w:bCs/>
                <w:sz w:val="24"/>
                <w:szCs w:val="24"/>
              </w:rPr>
            </w:pPr>
            <w:r>
              <w:rPr>
                <w:rFonts w:hint="eastAsia" w:ascii="宋体" w:hAnsi="宋体" w:cs="宋体"/>
                <w:bCs/>
                <w:sz w:val="24"/>
                <w:szCs w:val="24"/>
              </w:rPr>
              <w:t>套</w:t>
            </w:r>
          </w:p>
        </w:tc>
        <w:tc>
          <w:tcPr>
            <w:tcW w:w="2467" w:type="dxa"/>
            <w:vAlign w:val="center"/>
          </w:tcPr>
          <w:p w14:paraId="409C96C8">
            <w:pPr>
              <w:keepNext w:val="0"/>
              <w:keepLines w:val="0"/>
              <w:widowControl/>
              <w:suppressLineNumbers w:val="0"/>
              <w:snapToGrid w:val="0"/>
              <w:spacing w:line="360" w:lineRule="auto"/>
              <w:jc w:val="left"/>
              <w:textAlignment w:val="auto"/>
              <w:rPr>
                <w:rFonts w:hint="eastAsia" w:ascii="宋体" w:hAnsi="宋体" w:cs="宋体"/>
                <w:bCs/>
                <w:sz w:val="24"/>
                <w:szCs w:val="24"/>
              </w:rPr>
            </w:pPr>
            <w:r>
              <w:rPr>
                <w:rFonts w:hint="eastAsia" w:ascii="宋体" w:hAnsi="宋体" w:eastAsia="宋体" w:cs="宋体"/>
                <w:bCs/>
                <w:i w:val="0"/>
                <w:iCs w:val="0"/>
                <w:kern w:val="2"/>
                <w:sz w:val="24"/>
                <w:szCs w:val="24"/>
                <w:u w:val="none"/>
                <w:lang w:val="en-US" w:eastAsia="zh-CN" w:bidi="ar"/>
              </w:rPr>
              <w:t>280500</w:t>
            </w:r>
          </w:p>
        </w:tc>
      </w:tr>
      <w:tr w14:paraId="630D2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45" w:type="pct"/>
            <w:vAlign w:val="center"/>
          </w:tcPr>
          <w:p w14:paraId="44FDC793">
            <w:pPr>
              <w:snapToGrid w:val="0"/>
              <w:spacing w:line="360" w:lineRule="auto"/>
              <w:rPr>
                <w:rFonts w:hint="eastAsia" w:ascii="宋体" w:hAnsi="宋体" w:cs="宋体"/>
                <w:bCs/>
                <w:sz w:val="24"/>
                <w:szCs w:val="24"/>
              </w:rPr>
            </w:pPr>
            <w:r>
              <w:rPr>
                <w:rFonts w:hint="eastAsia" w:ascii="宋体" w:hAnsi="宋体" w:cs="宋体"/>
                <w:bCs/>
                <w:sz w:val="24"/>
                <w:szCs w:val="24"/>
              </w:rPr>
              <w:t>4</w:t>
            </w:r>
          </w:p>
        </w:tc>
        <w:tc>
          <w:tcPr>
            <w:tcW w:w="2292" w:type="pct"/>
            <w:vAlign w:val="center"/>
          </w:tcPr>
          <w:p w14:paraId="38931EE6">
            <w:pPr>
              <w:snapToGrid w:val="0"/>
              <w:spacing w:line="360" w:lineRule="auto"/>
              <w:rPr>
                <w:rFonts w:hint="eastAsia" w:ascii="宋体" w:hAnsi="宋体" w:cs="宋体"/>
                <w:bCs/>
                <w:sz w:val="24"/>
                <w:szCs w:val="24"/>
              </w:rPr>
            </w:pPr>
            <w:r>
              <w:rPr>
                <w:rFonts w:hint="eastAsia" w:ascii="宋体" w:hAnsi="宋体" w:cs="宋体"/>
                <w:bCs/>
                <w:sz w:val="24"/>
                <w:szCs w:val="24"/>
              </w:rPr>
              <w:t>机器视觉基础实训台</w:t>
            </w:r>
          </w:p>
        </w:tc>
        <w:tc>
          <w:tcPr>
            <w:tcW w:w="445" w:type="pct"/>
            <w:vAlign w:val="center"/>
          </w:tcPr>
          <w:p w14:paraId="641107C2">
            <w:pPr>
              <w:snapToGrid w:val="0"/>
              <w:spacing w:line="360" w:lineRule="auto"/>
              <w:rPr>
                <w:rFonts w:hint="eastAsia" w:ascii="宋体" w:hAnsi="宋体" w:cs="宋体"/>
                <w:bCs/>
                <w:sz w:val="24"/>
                <w:szCs w:val="24"/>
              </w:rPr>
            </w:pPr>
            <w:r>
              <w:rPr>
                <w:rFonts w:hint="eastAsia" w:ascii="宋体" w:hAnsi="宋体" w:cs="宋体"/>
                <w:bCs/>
                <w:sz w:val="24"/>
                <w:szCs w:val="24"/>
              </w:rPr>
              <w:t>4</w:t>
            </w:r>
          </w:p>
        </w:tc>
        <w:tc>
          <w:tcPr>
            <w:tcW w:w="445" w:type="pct"/>
            <w:vAlign w:val="center"/>
          </w:tcPr>
          <w:p w14:paraId="59A26B29">
            <w:pPr>
              <w:snapToGrid w:val="0"/>
              <w:spacing w:line="360" w:lineRule="auto"/>
              <w:rPr>
                <w:rFonts w:hint="eastAsia" w:ascii="宋体" w:hAnsi="宋体" w:cs="宋体"/>
                <w:bCs/>
                <w:sz w:val="24"/>
                <w:szCs w:val="24"/>
              </w:rPr>
            </w:pPr>
            <w:r>
              <w:rPr>
                <w:rFonts w:hint="eastAsia" w:ascii="宋体" w:hAnsi="宋体" w:cs="宋体"/>
                <w:bCs/>
                <w:sz w:val="24"/>
                <w:szCs w:val="24"/>
              </w:rPr>
              <w:t>套</w:t>
            </w:r>
          </w:p>
        </w:tc>
        <w:tc>
          <w:tcPr>
            <w:tcW w:w="2467" w:type="dxa"/>
            <w:vAlign w:val="center"/>
          </w:tcPr>
          <w:p w14:paraId="1C635843">
            <w:pPr>
              <w:keepNext w:val="0"/>
              <w:keepLines w:val="0"/>
              <w:widowControl/>
              <w:suppressLineNumbers w:val="0"/>
              <w:snapToGrid w:val="0"/>
              <w:spacing w:line="360" w:lineRule="auto"/>
              <w:jc w:val="left"/>
              <w:textAlignment w:val="auto"/>
              <w:rPr>
                <w:rFonts w:hint="eastAsia" w:ascii="宋体" w:hAnsi="宋体" w:cs="宋体"/>
                <w:bCs/>
                <w:sz w:val="24"/>
                <w:szCs w:val="24"/>
              </w:rPr>
            </w:pPr>
            <w:r>
              <w:rPr>
                <w:rFonts w:hint="eastAsia" w:ascii="宋体" w:hAnsi="宋体" w:eastAsia="宋体" w:cs="宋体"/>
                <w:bCs/>
                <w:i w:val="0"/>
                <w:iCs w:val="0"/>
                <w:kern w:val="2"/>
                <w:sz w:val="24"/>
                <w:szCs w:val="24"/>
                <w:u w:val="none"/>
                <w:lang w:val="en-US" w:eastAsia="zh-CN" w:bidi="ar"/>
              </w:rPr>
              <w:t>36000</w:t>
            </w:r>
          </w:p>
        </w:tc>
      </w:tr>
      <w:tr w14:paraId="6C6DD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45" w:type="pct"/>
            <w:vAlign w:val="center"/>
          </w:tcPr>
          <w:p w14:paraId="68935A87">
            <w:pPr>
              <w:snapToGrid w:val="0"/>
              <w:spacing w:line="360" w:lineRule="auto"/>
              <w:rPr>
                <w:rFonts w:hint="eastAsia" w:ascii="宋体" w:hAnsi="宋体" w:cs="宋体"/>
                <w:bCs/>
                <w:sz w:val="24"/>
                <w:szCs w:val="24"/>
              </w:rPr>
            </w:pPr>
            <w:r>
              <w:rPr>
                <w:rFonts w:hint="eastAsia" w:ascii="宋体" w:hAnsi="宋体" w:cs="宋体"/>
                <w:bCs/>
                <w:sz w:val="24"/>
                <w:szCs w:val="24"/>
              </w:rPr>
              <w:t>5</w:t>
            </w:r>
          </w:p>
        </w:tc>
        <w:tc>
          <w:tcPr>
            <w:tcW w:w="2292" w:type="pct"/>
            <w:vAlign w:val="center"/>
          </w:tcPr>
          <w:p w14:paraId="508514B9">
            <w:pPr>
              <w:snapToGrid w:val="0"/>
              <w:spacing w:line="360" w:lineRule="auto"/>
              <w:rPr>
                <w:rFonts w:hint="eastAsia" w:ascii="宋体" w:hAnsi="宋体" w:cs="宋体"/>
                <w:bCs/>
                <w:sz w:val="24"/>
                <w:szCs w:val="24"/>
              </w:rPr>
            </w:pPr>
            <w:r>
              <w:rPr>
                <w:rFonts w:hint="eastAsia" w:ascii="宋体" w:hAnsi="宋体" w:cs="宋体"/>
                <w:bCs/>
                <w:sz w:val="24"/>
                <w:szCs w:val="24"/>
              </w:rPr>
              <w:t>机器视觉实训扩展套件</w:t>
            </w:r>
          </w:p>
        </w:tc>
        <w:tc>
          <w:tcPr>
            <w:tcW w:w="445" w:type="pct"/>
            <w:vAlign w:val="center"/>
          </w:tcPr>
          <w:p w14:paraId="1100E2B5">
            <w:pPr>
              <w:snapToGrid w:val="0"/>
              <w:spacing w:line="360" w:lineRule="auto"/>
              <w:rPr>
                <w:rFonts w:hint="eastAsia" w:ascii="宋体" w:hAnsi="宋体" w:cs="宋体"/>
                <w:bCs/>
                <w:sz w:val="24"/>
                <w:szCs w:val="24"/>
              </w:rPr>
            </w:pPr>
            <w:r>
              <w:rPr>
                <w:rFonts w:hint="eastAsia" w:ascii="宋体" w:hAnsi="宋体" w:cs="宋体"/>
                <w:bCs/>
                <w:sz w:val="24"/>
                <w:szCs w:val="24"/>
              </w:rPr>
              <w:t>1</w:t>
            </w:r>
          </w:p>
        </w:tc>
        <w:tc>
          <w:tcPr>
            <w:tcW w:w="445" w:type="pct"/>
            <w:vAlign w:val="center"/>
          </w:tcPr>
          <w:p w14:paraId="4A2D8DF0">
            <w:pPr>
              <w:snapToGrid w:val="0"/>
              <w:spacing w:line="360" w:lineRule="auto"/>
              <w:rPr>
                <w:rFonts w:hint="eastAsia" w:ascii="宋体" w:hAnsi="宋体" w:cs="宋体"/>
                <w:bCs/>
                <w:sz w:val="24"/>
                <w:szCs w:val="24"/>
              </w:rPr>
            </w:pPr>
            <w:r>
              <w:rPr>
                <w:rFonts w:hint="eastAsia" w:ascii="宋体" w:hAnsi="宋体" w:cs="宋体"/>
                <w:bCs/>
                <w:sz w:val="24"/>
                <w:szCs w:val="24"/>
              </w:rPr>
              <w:t>套</w:t>
            </w:r>
          </w:p>
        </w:tc>
        <w:tc>
          <w:tcPr>
            <w:tcW w:w="2467" w:type="dxa"/>
            <w:vAlign w:val="center"/>
          </w:tcPr>
          <w:p w14:paraId="268162A4">
            <w:pPr>
              <w:keepNext w:val="0"/>
              <w:keepLines w:val="0"/>
              <w:widowControl/>
              <w:suppressLineNumbers w:val="0"/>
              <w:snapToGrid w:val="0"/>
              <w:spacing w:line="360" w:lineRule="auto"/>
              <w:jc w:val="left"/>
              <w:textAlignment w:val="auto"/>
              <w:rPr>
                <w:rFonts w:hint="eastAsia" w:ascii="宋体" w:hAnsi="宋体" w:cs="宋体"/>
                <w:bCs/>
                <w:sz w:val="24"/>
                <w:szCs w:val="24"/>
              </w:rPr>
            </w:pPr>
            <w:r>
              <w:rPr>
                <w:rFonts w:hint="eastAsia" w:ascii="宋体" w:hAnsi="宋体" w:eastAsia="宋体" w:cs="宋体"/>
                <w:bCs/>
                <w:i w:val="0"/>
                <w:iCs w:val="0"/>
                <w:kern w:val="2"/>
                <w:sz w:val="24"/>
                <w:szCs w:val="24"/>
                <w:u w:val="none"/>
                <w:lang w:val="en-US" w:eastAsia="zh-CN" w:bidi="ar"/>
              </w:rPr>
              <w:t>20000</w:t>
            </w:r>
          </w:p>
        </w:tc>
      </w:tr>
      <w:tr w14:paraId="2DD91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45" w:type="pct"/>
            <w:vAlign w:val="center"/>
          </w:tcPr>
          <w:p w14:paraId="6B4466B3">
            <w:pPr>
              <w:snapToGrid w:val="0"/>
              <w:spacing w:line="360" w:lineRule="auto"/>
              <w:rPr>
                <w:rFonts w:hint="eastAsia" w:ascii="宋体" w:hAnsi="宋体" w:cs="宋体"/>
                <w:bCs/>
                <w:sz w:val="24"/>
                <w:szCs w:val="24"/>
              </w:rPr>
            </w:pPr>
            <w:r>
              <w:rPr>
                <w:rFonts w:hint="eastAsia" w:ascii="宋体" w:hAnsi="宋体" w:cs="宋体"/>
                <w:bCs/>
                <w:sz w:val="24"/>
                <w:szCs w:val="24"/>
              </w:rPr>
              <w:t>6</w:t>
            </w:r>
          </w:p>
        </w:tc>
        <w:tc>
          <w:tcPr>
            <w:tcW w:w="2292" w:type="pct"/>
            <w:vAlign w:val="center"/>
          </w:tcPr>
          <w:p w14:paraId="45B84F07">
            <w:pPr>
              <w:snapToGrid w:val="0"/>
              <w:spacing w:line="360" w:lineRule="auto"/>
              <w:rPr>
                <w:rFonts w:hint="eastAsia" w:ascii="宋体" w:hAnsi="宋体" w:cs="宋体"/>
                <w:bCs/>
                <w:sz w:val="24"/>
                <w:szCs w:val="24"/>
              </w:rPr>
            </w:pPr>
            <w:r>
              <w:rPr>
                <w:rFonts w:hint="eastAsia" w:ascii="宋体" w:hAnsi="宋体" w:cs="宋体"/>
                <w:bCs/>
                <w:sz w:val="24"/>
                <w:szCs w:val="24"/>
              </w:rPr>
              <w:t>机器视觉创新实训平台</w:t>
            </w:r>
          </w:p>
        </w:tc>
        <w:tc>
          <w:tcPr>
            <w:tcW w:w="445" w:type="pct"/>
            <w:vAlign w:val="center"/>
          </w:tcPr>
          <w:p w14:paraId="7CFF67B4">
            <w:pPr>
              <w:snapToGrid w:val="0"/>
              <w:spacing w:line="360" w:lineRule="auto"/>
              <w:rPr>
                <w:rFonts w:hint="eastAsia" w:ascii="宋体" w:hAnsi="宋体" w:cs="宋体"/>
                <w:bCs/>
                <w:sz w:val="24"/>
                <w:szCs w:val="24"/>
              </w:rPr>
            </w:pPr>
            <w:r>
              <w:rPr>
                <w:rFonts w:hint="eastAsia" w:ascii="宋体" w:hAnsi="宋体" w:cs="宋体"/>
                <w:bCs/>
                <w:sz w:val="24"/>
                <w:szCs w:val="24"/>
              </w:rPr>
              <w:t>6</w:t>
            </w:r>
          </w:p>
        </w:tc>
        <w:tc>
          <w:tcPr>
            <w:tcW w:w="445" w:type="pct"/>
            <w:vAlign w:val="center"/>
          </w:tcPr>
          <w:p w14:paraId="66316C62">
            <w:pPr>
              <w:snapToGrid w:val="0"/>
              <w:spacing w:line="360" w:lineRule="auto"/>
              <w:rPr>
                <w:rFonts w:hint="eastAsia" w:ascii="宋体" w:hAnsi="宋体" w:cs="宋体"/>
                <w:bCs/>
                <w:sz w:val="24"/>
                <w:szCs w:val="24"/>
              </w:rPr>
            </w:pPr>
            <w:r>
              <w:rPr>
                <w:rFonts w:hint="eastAsia" w:ascii="宋体" w:hAnsi="宋体" w:cs="宋体"/>
                <w:bCs/>
                <w:sz w:val="24"/>
                <w:szCs w:val="24"/>
              </w:rPr>
              <w:t>套</w:t>
            </w:r>
          </w:p>
        </w:tc>
        <w:tc>
          <w:tcPr>
            <w:tcW w:w="2467" w:type="dxa"/>
            <w:vAlign w:val="center"/>
          </w:tcPr>
          <w:p w14:paraId="5E05793D">
            <w:pPr>
              <w:keepNext w:val="0"/>
              <w:keepLines w:val="0"/>
              <w:widowControl/>
              <w:suppressLineNumbers w:val="0"/>
              <w:snapToGrid w:val="0"/>
              <w:spacing w:line="360" w:lineRule="auto"/>
              <w:jc w:val="left"/>
              <w:textAlignment w:val="auto"/>
              <w:rPr>
                <w:rFonts w:hint="eastAsia" w:ascii="宋体" w:hAnsi="宋体" w:cs="宋体"/>
                <w:bCs/>
                <w:sz w:val="24"/>
                <w:szCs w:val="24"/>
              </w:rPr>
            </w:pPr>
            <w:r>
              <w:rPr>
                <w:rFonts w:hint="eastAsia" w:ascii="宋体" w:hAnsi="宋体" w:eastAsia="宋体" w:cs="宋体"/>
                <w:bCs/>
                <w:i w:val="0"/>
                <w:iCs w:val="0"/>
                <w:kern w:val="2"/>
                <w:sz w:val="24"/>
                <w:szCs w:val="24"/>
                <w:u w:val="none"/>
                <w:lang w:val="en-US" w:eastAsia="zh-CN" w:bidi="ar"/>
              </w:rPr>
              <w:t>100000</w:t>
            </w:r>
          </w:p>
        </w:tc>
      </w:tr>
      <w:tr w14:paraId="2D090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45" w:type="pct"/>
            <w:vAlign w:val="center"/>
          </w:tcPr>
          <w:p w14:paraId="37861781">
            <w:pPr>
              <w:snapToGrid w:val="0"/>
              <w:spacing w:line="360" w:lineRule="auto"/>
              <w:rPr>
                <w:rFonts w:hint="eastAsia" w:ascii="宋体" w:hAnsi="宋体" w:cs="宋体"/>
                <w:bCs/>
                <w:sz w:val="24"/>
                <w:szCs w:val="24"/>
              </w:rPr>
            </w:pPr>
            <w:r>
              <w:rPr>
                <w:rFonts w:hint="eastAsia" w:ascii="宋体" w:hAnsi="宋体" w:cs="宋体"/>
                <w:bCs/>
                <w:sz w:val="24"/>
                <w:szCs w:val="24"/>
              </w:rPr>
              <w:t>7</w:t>
            </w:r>
          </w:p>
        </w:tc>
        <w:tc>
          <w:tcPr>
            <w:tcW w:w="2292" w:type="pct"/>
            <w:vAlign w:val="center"/>
          </w:tcPr>
          <w:p w14:paraId="3E14FB10">
            <w:pPr>
              <w:snapToGrid w:val="0"/>
              <w:spacing w:line="360" w:lineRule="auto"/>
              <w:rPr>
                <w:rFonts w:hint="eastAsia" w:ascii="宋体" w:hAnsi="宋体" w:cs="宋体"/>
                <w:bCs/>
                <w:sz w:val="24"/>
                <w:szCs w:val="24"/>
              </w:rPr>
            </w:pPr>
            <w:r>
              <w:rPr>
                <w:rFonts w:hint="eastAsia" w:ascii="宋体" w:hAnsi="宋体" w:cs="宋体"/>
                <w:bCs/>
                <w:sz w:val="24"/>
                <w:szCs w:val="24"/>
              </w:rPr>
              <w:t>机器视觉及电气综合实训平台</w:t>
            </w:r>
          </w:p>
        </w:tc>
        <w:tc>
          <w:tcPr>
            <w:tcW w:w="445" w:type="pct"/>
            <w:vAlign w:val="center"/>
          </w:tcPr>
          <w:p w14:paraId="74ED31F5">
            <w:pPr>
              <w:snapToGrid w:val="0"/>
              <w:spacing w:line="360" w:lineRule="auto"/>
              <w:rPr>
                <w:rFonts w:hint="eastAsia" w:ascii="宋体" w:hAnsi="宋体" w:cs="宋体"/>
                <w:bCs/>
                <w:sz w:val="24"/>
                <w:szCs w:val="24"/>
              </w:rPr>
            </w:pPr>
            <w:r>
              <w:rPr>
                <w:rFonts w:hint="eastAsia" w:ascii="宋体" w:hAnsi="宋体" w:cs="宋体"/>
                <w:bCs/>
                <w:sz w:val="24"/>
                <w:szCs w:val="24"/>
              </w:rPr>
              <w:t>1</w:t>
            </w:r>
          </w:p>
        </w:tc>
        <w:tc>
          <w:tcPr>
            <w:tcW w:w="445" w:type="pct"/>
            <w:vAlign w:val="center"/>
          </w:tcPr>
          <w:p w14:paraId="093A6278">
            <w:pPr>
              <w:snapToGrid w:val="0"/>
              <w:spacing w:line="360" w:lineRule="auto"/>
              <w:rPr>
                <w:rFonts w:hint="eastAsia" w:ascii="宋体" w:hAnsi="宋体" w:cs="宋体"/>
                <w:bCs/>
                <w:sz w:val="24"/>
                <w:szCs w:val="24"/>
              </w:rPr>
            </w:pPr>
            <w:r>
              <w:rPr>
                <w:rFonts w:hint="eastAsia" w:ascii="宋体" w:hAnsi="宋体" w:cs="宋体"/>
                <w:bCs/>
                <w:sz w:val="24"/>
                <w:szCs w:val="24"/>
              </w:rPr>
              <w:t>套</w:t>
            </w:r>
          </w:p>
        </w:tc>
        <w:tc>
          <w:tcPr>
            <w:tcW w:w="2467" w:type="dxa"/>
            <w:vAlign w:val="center"/>
          </w:tcPr>
          <w:p w14:paraId="69F0383F">
            <w:pPr>
              <w:keepNext w:val="0"/>
              <w:keepLines w:val="0"/>
              <w:widowControl/>
              <w:suppressLineNumbers w:val="0"/>
              <w:snapToGrid w:val="0"/>
              <w:spacing w:line="360" w:lineRule="auto"/>
              <w:jc w:val="left"/>
              <w:textAlignment w:val="auto"/>
              <w:rPr>
                <w:rFonts w:hint="eastAsia" w:ascii="宋体" w:hAnsi="宋体" w:cs="宋体"/>
                <w:bCs/>
                <w:sz w:val="24"/>
                <w:szCs w:val="24"/>
              </w:rPr>
            </w:pPr>
            <w:r>
              <w:rPr>
                <w:rFonts w:hint="eastAsia" w:ascii="宋体" w:hAnsi="宋体" w:eastAsia="宋体" w:cs="宋体"/>
                <w:bCs/>
                <w:i w:val="0"/>
                <w:iCs w:val="0"/>
                <w:kern w:val="2"/>
                <w:sz w:val="24"/>
                <w:szCs w:val="24"/>
                <w:u w:val="none"/>
                <w:lang w:val="en-US" w:eastAsia="zh-CN" w:bidi="ar"/>
              </w:rPr>
              <w:t>268000</w:t>
            </w:r>
          </w:p>
        </w:tc>
      </w:tr>
      <w:tr w14:paraId="7D1C0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45" w:type="pct"/>
            <w:vAlign w:val="center"/>
          </w:tcPr>
          <w:p w14:paraId="3A341A05">
            <w:pPr>
              <w:snapToGrid w:val="0"/>
              <w:spacing w:line="360" w:lineRule="auto"/>
              <w:rPr>
                <w:rFonts w:hint="eastAsia" w:ascii="宋体" w:hAnsi="宋体" w:cs="宋体"/>
                <w:bCs/>
                <w:sz w:val="24"/>
                <w:szCs w:val="24"/>
              </w:rPr>
            </w:pPr>
            <w:r>
              <w:rPr>
                <w:rFonts w:hint="eastAsia" w:ascii="宋体" w:hAnsi="宋体" w:cs="宋体"/>
                <w:bCs/>
                <w:sz w:val="24"/>
                <w:szCs w:val="24"/>
              </w:rPr>
              <w:t>8</w:t>
            </w:r>
          </w:p>
        </w:tc>
        <w:tc>
          <w:tcPr>
            <w:tcW w:w="2292" w:type="pct"/>
            <w:vAlign w:val="center"/>
          </w:tcPr>
          <w:p w14:paraId="64111135">
            <w:pPr>
              <w:snapToGrid w:val="0"/>
              <w:spacing w:line="360" w:lineRule="auto"/>
              <w:rPr>
                <w:rFonts w:hint="eastAsia" w:ascii="宋体" w:hAnsi="宋体" w:cs="宋体"/>
                <w:bCs/>
                <w:sz w:val="24"/>
                <w:szCs w:val="24"/>
              </w:rPr>
            </w:pPr>
            <w:r>
              <w:rPr>
                <w:rFonts w:hint="eastAsia" w:ascii="宋体" w:hAnsi="宋体" w:cs="宋体"/>
                <w:bCs/>
                <w:sz w:val="24"/>
                <w:szCs w:val="24"/>
              </w:rPr>
              <w:t>机器视觉智能综合实训平台</w:t>
            </w:r>
          </w:p>
        </w:tc>
        <w:tc>
          <w:tcPr>
            <w:tcW w:w="445" w:type="pct"/>
            <w:vAlign w:val="center"/>
          </w:tcPr>
          <w:p w14:paraId="090FCF52">
            <w:pPr>
              <w:snapToGrid w:val="0"/>
              <w:spacing w:line="360" w:lineRule="auto"/>
              <w:rPr>
                <w:rFonts w:hint="eastAsia" w:ascii="宋体" w:hAnsi="宋体" w:cs="宋体"/>
                <w:bCs/>
                <w:sz w:val="24"/>
                <w:szCs w:val="24"/>
              </w:rPr>
            </w:pPr>
            <w:r>
              <w:rPr>
                <w:rFonts w:hint="eastAsia" w:ascii="宋体" w:hAnsi="宋体" w:cs="宋体"/>
                <w:bCs/>
                <w:sz w:val="24"/>
                <w:szCs w:val="24"/>
              </w:rPr>
              <w:t>1</w:t>
            </w:r>
          </w:p>
        </w:tc>
        <w:tc>
          <w:tcPr>
            <w:tcW w:w="445" w:type="pct"/>
            <w:vAlign w:val="center"/>
          </w:tcPr>
          <w:p w14:paraId="5BBA970E">
            <w:pPr>
              <w:snapToGrid w:val="0"/>
              <w:spacing w:line="360" w:lineRule="auto"/>
              <w:rPr>
                <w:rFonts w:hint="eastAsia" w:ascii="宋体" w:hAnsi="宋体" w:cs="宋体"/>
                <w:bCs/>
                <w:sz w:val="24"/>
                <w:szCs w:val="24"/>
              </w:rPr>
            </w:pPr>
            <w:r>
              <w:rPr>
                <w:rFonts w:hint="eastAsia" w:ascii="宋体" w:hAnsi="宋体" w:cs="宋体"/>
                <w:bCs/>
                <w:sz w:val="24"/>
                <w:szCs w:val="24"/>
              </w:rPr>
              <w:t>套</w:t>
            </w:r>
          </w:p>
        </w:tc>
        <w:tc>
          <w:tcPr>
            <w:tcW w:w="2467" w:type="dxa"/>
            <w:vAlign w:val="center"/>
          </w:tcPr>
          <w:p w14:paraId="0A23BC61">
            <w:pPr>
              <w:keepNext w:val="0"/>
              <w:keepLines w:val="0"/>
              <w:widowControl/>
              <w:suppressLineNumbers w:val="0"/>
              <w:snapToGrid w:val="0"/>
              <w:spacing w:line="360" w:lineRule="auto"/>
              <w:jc w:val="left"/>
              <w:textAlignment w:val="auto"/>
              <w:rPr>
                <w:rFonts w:hint="eastAsia" w:ascii="宋体" w:hAnsi="宋体" w:cs="宋体"/>
                <w:bCs/>
                <w:sz w:val="24"/>
                <w:szCs w:val="24"/>
              </w:rPr>
            </w:pPr>
            <w:r>
              <w:rPr>
                <w:rFonts w:hint="eastAsia" w:ascii="宋体" w:hAnsi="宋体" w:eastAsia="宋体" w:cs="宋体"/>
                <w:bCs/>
                <w:i w:val="0"/>
                <w:iCs w:val="0"/>
                <w:kern w:val="2"/>
                <w:sz w:val="24"/>
                <w:szCs w:val="24"/>
                <w:u w:val="none"/>
                <w:lang w:val="en-US" w:eastAsia="zh-CN" w:bidi="ar"/>
              </w:rPr>
              <w:t>368000</w:t>
            </w:r>
          </w:p>
        </w:tc>
      </w:tr>
    </w:tbl>
    <w:p w14:paraId="10FAC51E">
      <w:pPr>
        <w:pStyle w:val="7"/>
        <w:widowControl/>
        <w:numPr>
          <w:ilvl w:val="0"/>
          <w:numId w:val="0"/>
        </w:numPr>
        <w:snapToGrid w:val="0"/>
        <w:spacing w:line="360" w:lineRule="auto"/>
        <w:ind w:left="561" w:leftChars="0" w:hanging="561" w:hangingChars="233"/>
        <w:jc w:val="left"/>
        <w:rPr>
          <w:rFonts w:ascii="宋体"/>
          <w:b/>
          <w:kern w:val="0"/>
          <w:sz w:val="24"/>
          <w:szCs w:val="24"/>
        </w:rPr>
      </w:pPr>
      <w:r>
        <w:rPr>
          <w:rFonts w:hint="default" w:ascii="宋体" w:hAnsi="Times New Roman" w:eastAsia="宋体" w:cs="Times New Roman"/>
          <w:b/>
          <w:kern w:val="0"/>
          <w:sz w:val="24"/>
          <w:szCs w:val="24"/>
          <w:lang w:val="en-US" w:eastAsia="zh-CN" w:bidi="ar-SA"/>
        </w:rPr>
        <w:t>六、</w:t>
      </w:r>
      <w:r>
        <w:rPr>
          <w:rFonts w:hint="eastAsia" w:ascii="宋体"/>
          <w:b/>
          <w:kern w:val="0"/>
          <w:sz w:val="24"/>
          <w:szCs w:val="24"/>
        </w:rPr>
        <w:t>采购标的需满足的服务、售后、质量、包装及运输等技术要求</w:t>
      </w:r>
    </w:p>
    <w:p w14:paraId="6D0AC88B">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1.设备运输及安装</w:t>
      </w:r>
    </w:p>
    <w:p w14:paraId="55208F5D">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投标人须严格依据采购人指定的交货地点、时间以及接收联系人信息，安全、完整地将设备运输至指定场所。在规划运输路线时，需充分考虑交通状况、天气因素等可能影响运输安全和时效的情况，提前制定应对预案，确保设备按时、安全送达。</w:t>
      </w:r>
    </w:p>
    <w:p w14:paraId="0573CAC8">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运输过程中必须采取全面且有效的防震、防潮、防损等保护措施。针对不同设备的特性，定制专门的包装方案，如对于精密仪器采用防震泡沫、防潮袋等进行多层包装；对于大型设备，使用专业的固定装置防止其在运输过程中晃动。确保设备及配件无损坏、缺失。若发生运输损坏，投标人需在 24 小时内响应，立即启动免费更换流程，并在 3 个工作日内将新设备送达指定地点。</w:t>
      </w:r>
    </w:p>
    <w:p w14:paraId="3EAC8B8E">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运输车辆及人员须符合国家道路运输安全规范，车辆应具备相应的运输资质证书，驾驶员需持有效的驾驶证和从业资格证。投标人需提供运输过程追踪信息，包括但不限于物流单号、实时定位等，方便采购人随时了解设备运输状态。同时，建立运输信息沟通机制，定期向采购人汇报运输进展情况。</w:t>
      </w:r>
    </w:p>
    <w:p w14:paraId="3C70C3F1">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投标人需派遣具备资质的技术人员完成设备安装、调试及初步验收。安装前须与采购人确认现场环境符合设备运行条件（如电力、空间、网络等），并提交书面环境确认报告。安装过程须严格遵循设备说明书及行业安全规范，确保安装质量符合国家标准及采购人技术要求。</w:t>
      </w:r>
    </w:p>
    <w:p w14:paraId="580991AB">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2.设备集成及调试</w:t>
      </w:r>
    </w:p>
    <w:p w14:paraId="327E3028">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系统兼容性：若设备需要与其他系统进行集成，投标人需确保设备与现有系统的兼容性。在集成前，对现有系统的接口进行详细分析，制定合理的集成方案。集成过程中，应遵循相关标准和规范，确保集成后的系统能够稳定、高效地运行，实现数据的准确传输和共享。</w:t>
      </w:r>
    </w:p>
    <w:p w14:paraId="1EA21611">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集成测试：完成设备集成后，需进行全面的集成测试。测试内容包括功能测试、性能测试、兼容性测试等，确保设备与系统的各项功能正常实现，性能指标满足要求，且与其他系统之间无冲突。测试过程中，应详细记录测试数据和结果，对发现的问题及时进行整改，直至集成系统通过验收。</w:t>
      </w:r>
    </w:p>
    <w:p w14:paraId="15F2F38C">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投标人需制定详细的设备调试方案，明确调试步骤、方法和标准。调试方案应根据设备的特点和采购人的使用需求进行制定，确保调试工作能够全面、有效地检验设备的性能和功能。调试过程中技术人员应按照调试方案逐步进行操作，对设备的各项参数进行调整和优化。在调试过程中，应密切关注设备的运行状态，及时发现并解决出现的问题。设备调试完成后，投标人需组织采购人进行初步验收。初步验收应按照合同约定的验收标准和流程进行，验收内容包括设备的外观、性能、功能等方面。验收过程中，投标人应提供详细的调试报告和测试数据，对设备的运行情况进行说明。若初步验收不合格，投标人应在规定的时间内完成整改，直至通过验收。</w:t>
      </w:r>
    </w:p>
    <w:p w14:paraId="5F526597">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3.设备培训</w:t>
      </w:r>
    </w:p>
    <w:p w14:paraId="3F3BD33A">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投标人应派至少两名专业技术人员对采购人指定人员进行培训，培训人员应具备丰富的设备操作和维护经验，能够熟练讲解设备的原理、操作方法和常见故障排除技巧，并提交培训记录及操作手册。培训时间应根据采购人的实际需求进行合理安排，可分阶段进行，确保采购人指定人员有足够的时间学习和实践。直至采购人指定人员能熟练独立工作，同时能完成一般常见故障的维修工作为止，时长不少于7个工作日，培训人员3～5人，一切费用由投标人承担。</w:t>
      </w:r>
    </w:p>
    <w:p w14:paraId="041BE858">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培训内容应包括设备的操作使用、日常维护保养、常见故障诊断与排除等方面。直至采购人的教师或技术人员能熟练独立工作，同时能完成一般常见故障的维修工作为止。在培训结束后，投标人需对学员进行考核，考核方式可采用理论考试和实际操作考核相结合的方式。考核合格后，颁发培训合格证书。若学员考核不合格，投标人应免费提供再次培训的机会，直至学员通过考核。一切培训费用由投标人承担。</w:t>
      </w:r>
    </w:p>
    <w:p w14:paraId="22ADDE00">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4.维修保养</w:t>
      </w:r>
    </w:p>
    <w:p w14:paraId="72E2E423">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（1）所有设备保修期为两年（自验收合格之日起），生产厂家提供终身维修,并提供整机的维修资料。</w:t>
      </w:r>
    </w:p>
    <w:p w14:paraId="1A5FA533">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（2）若提供的货物出现问题，投标人</w:t>
      </w:r>
      <w:r>
        <w:rPr>
          <w:rFonts w:hint="eastAsia" w:ascii="宋体" w:hAnsi="宋体" w:cs="宋体"/>
          <w:sz w:val="24"/>
          <w:szCs w:val="24"/>
          <w:lang w:eastAsia="zh-CN"/>
        </w:rPr>
        <w:t>需在1小时内响应</w:t>
      </w:r>
      <w:r>
        <w:rPr>
          <w:rFonts w:hint="eastAsia" w:ascii="宋体" w:hAnsi="宋体" w:cs="宋体"/>
          <w:sz w:val="24"/>
          <w:szCs w:val="24"/>
        </w:rPr>
        <w:t>，4小时到达现场并处理，4小时内修复，4小时内无法恢复的，质保期内投标人必须2个工作日内免费完成更换全新设备，并提供7×24小时售后服务。</w:t>
      </w:r>
    </w:p>
    <w:p w14:paraId="25BC533F">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（3）在保修期限内，同一商品、同一质量问题连续两次维修仍无法正常使用，供应厂商必须予以更换同品牌、同型号新机器。</w:t>
      </w:r>
    </w:p>
    <w:p w14:paraId="559287F4">
      <w:pPr>
        <w:snapToGrid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rPr>
        <w:t>（4）投标人根据招标文件要求提供详细的</w:t>
      </w:r>
      <w:r>
        <w:rPr>
          <w:rFonts w:hint="eastAsia" w:ascii="宋体" w:hAnsi="宋体" w:cs="宋体"/>
          <w:sz w:val="24"/>
          <w:szCs w:val="24"/>
          <w:highlight w:val="none"/>
        </w:rPr>
        <w:t>售后服务方案，包含：①产品售后维修更换方案；②售后服务人员配置；③产品维护响应计划；④应急处理方案。</w:t>
      </w:r>
    </w:p>
    <w:p w14:paraId="50DB967D">
      <w:pPr>
        <w:snapToGrid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5.★投标人中标后须具备构建培训体系</w:t>
      </w:r>
    </w:p>
    <w:p w14:paraId="34E5F482">
      <w:pPr>
        <w:snapToGrid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（1）工业机器人系统操作员S</w:t>
      </w:r>
    </w:p>
    <w:p w14:paraId="62DD34FE">
      <w:pPr>
        <w:snapToGrid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1）首期履约建设目标（自合同签订之日起三个月内完成）</w:t>
      </w:r>
    </w:p>
    <w:p w14:paraId="0CF3527B">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highlight w:val="none"/>
        </w:rPr>
        <w:t>教材课程开发;需随设备提供全套成熟、完整的教学资源包，与企业共同开发培训课程，制定培训课程标准，构建与培养高技能人才需求相适应</w:t>
      </w:r>
      <w:r>
        <w:rPr>
          <w:rFonts w:hint="eastAsia" w:ascii="宋体" w:hAnsi="宋体" w:cs="宋体"/>
          <w:b/>
          <w:bCs/>
          <w:sz w:val="24"/>
          <w:szCs w:val="24"/>
        </w:rPr>
        <w:t>的培训课程体系，至少应包含《工业机器人调试项目实战》等1门课程的教学PPT、实训指导书、设备操作手册及常见故障排查指南，培训课程应以工作任务为导向，以提升职业能力为核心，体现专业学习和工作实践紧密结合的“工学一体、学做合一”的特征。</w:t>
      </w:r>
    </w:p>
    <w:p w14:paraId="08BD22A8">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师资队伍建设：根据国高基地的建设情况配备具有高级工以上职业资格的工业机器人系统操作员S专业教师4名；推荐企业技师、骨干专业技术人员成为采购人的兼职教师，保障采购人的师生比例达到1:16-1:20。</w:t>
      </w:r>
    </w:p>
    <w:p w14:paraId="589A014E">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师资培养：须与采购人一同完成师资能力提升等相关工作，涵盖师资培训、技能强化等方面，确保师资水平有效提升，并提供师资能力提升培养方案。投标人应为与采购人合作的院校提供师资培训不少于50人，组织采购人教师到企业培训，年培训不少于20人次；须承担培训教学质量评价工作，涵盖过程性考核与终结性考核，需确保全面、准确完成这两项考核任务，以评估培训教学质量。</w:t>
      </w:r>
    </w:p>
    <w:p w14:paraId="4EF5006D">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设备管理要求：实现工业机器人数控加工实训设备、协作机器人免编程焊接实训设备、自动化恒力打磨实训装备搭建。按照采购人要求及时提供设施设备台账，设施设备管理制度等相关设备管理材料，确保培训设备先进程度与企业级生产设备匹配，培训设备工位、先进程度与特色专业相匹配，能够充分满足培训高技能人才需求。</w:t>
      </w:r>
    </w:p>
    <w:p w14:paraId="510EE552">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职业技能等级认定：投标人应与采购人共同完善理论及实操实训室标准化建设，应完成中级工题库的设计开发工作，同时组织不少于1000人开展中级工培训；两年服务期内，如采购人成功申报工业机器人系统操作员S工种职业技能等级认定资质，投标人应配合采购人完成6人以上考评员申报工作。</w:t>
      </w:r>
    </w:p>
    <w:p w14:paraId="19E28E74">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院校合作：应具备高校资源引荐能力，确保采购人能与不少于5所高校建立深度合作关系并签订合作协议。开展多方面产教融合、短期培训、技能评定、实习实操等培训项目的学员不少于1500人。</w:t>
      </w:r>
    </w:p>
    <w:p w14:paraId="5F34B8D1">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企业合作：应具备企业资源引荐能力，确保采购人与不少于5家中大型企业签订合作协议，结合区域重点产业规划，重点与区内企业开展“订单式”培训。同时，需与采购人和合作企业共同制定高技能人才培训方案、培训课程标准，开发培训课程不少于1套并将教材装订成册，并建立契合高技能人才培养需求的培训教材开发机制。</w:t>
      </w:r>
    </w:p>
    <w:p w14:paraId="7BB98F35">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新型学徒制培训：投标人应为企业新型学徒制提供技术支持，与采购人一同组织开展企业新型学徒制培训年完成不少于100人。需在项目执行过程中完成对企业及学员的满意度调查，确保服务质量与反馈收集。</w:t>
      </w:r>
    </w:p>
    <w:p w14:paraId="2A92DED0">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创新性成果：须形成1套具有创新性的职业技能培训实施方案，技术培训分为理论课程、实操课程和竞赛课程。理论课程主要进行硬件培训，实操课程主要进行编程培训，竞赛课程主要进行加工工艺培训。承担创新性成果材料收集工作，确保所收集材料完整、准确且能充分体现创新性。</w:t>
      </w:r>
    </w:p>
    <w:p w14:paraId="72150E02">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高技能人才培养成果：应具备校企资源引荐及培训学员招生宣传能力，确保采购人能够完成1500人以上的职业技能培训，且培养高技能人才450人以上，按照采购人要求汇总学员花名册、身份证复印件、</w:t>
      </w:r>
      <w:r>
        <w:rPr>
          <w:rFonts w:hint="eastAsia" w:ascii="宋体" w:hAnsi="宋体" w:cs="宋体"/>
          <w:b/>
          <w:bCs/>
          <w:sz w:val="24"/>
          <w:szCs w:val="24"/>
          <w:lang w:eastAsia="zh-CN"/>
        </w:rPr>
        <w:t>高技能人才等级证书等相关材料</w:t>
      </w:r>
      <w:r>
        <w:rPr>
          <w:rFonts w:hint="eastAsia" w:ascii="宋体" w:hAnsi="宋体" w:cs="宋体"/>
          <w:b/>
          <w:bCs/>
          <w:sz w:val="24"/>
          <w:szCs w:val="24"/>
        </w:rPr>
        <w:t>；为参训在校生推荐就业并实现成功就业150人，应提供相关材料。</w:t>
      </w:r>
    </w:p>
    <w:p w14:paraId="7C36B103">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技术培训经验：为实训设备定制化开发培训教材，设置核心培训知识点，并将工业机器人数控加工实训设备、协作机器人免编程焊接实训设备、自动化恒力打磨实训装备作为实操培训的主要培训测试设备。</w:t>
      </w:r>
    </w:p>
    <w:p w14:paraId="72094FEF">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培训质量要求：投标人提供的相应设备及专业讲师培训，参加培训后学员评价满意率需达90%以上。使用相应设备参加培训后用人单位评价满意率达90%以上。</w:t>
      </w:r>
    </w:p>
    <w:p w14:paraId="47334295">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总结报告：按照采购人要求提供工业机器人系统操作员S专业各年度建设情况报告，包含设备使用率、使用效果、培训规模、培训成效、创新成果等各项建设内容，确保基地顺利通过验收。</w:t>
      </w:r>
    </w:p>
    <w:p w14:paraId="7055B2C0">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2）第二阶段建设目标（</w:t>
      </w:r>
      <w:r>
        <w:rPr>
          <w:rFonts w:hint="eastAsia" w:ascii="宋体" w:hAnsi="宋体" w:cs="宋体"/>
          <w:b/>
          <w:bCs/>
          <w:sz w:val="24"/>
          <w:szCs w:val="24"/>
          <w:lang w:eastAsia="zh-CN"/>
        </w:rPr>
        <w:t>2027年8月15日</w:t>
      </w:r>
      <w:r>
        <w:rPr>
          <w:rFonts w:hint="eastAsia" w:ascii="宋体" w:hAnsi="宋体" w:cs="宋体"/>
          <w:b/>
          <w:bCs/>
          <w:sz w:val="24"/>
          <w:szCs w:val="24"/>
        </w:rPr>
        <w:t>前完成）</w:t>
      </w:r>
    </w:p>
    <w:p w14:paraId="51E51527">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教材课程开发;需做好培训实施过程监督记录（含教研记录、培训听课记录、评教记录、学员座谈会、专家评价记录、督导记录等）；需随设备提供全套成熟、完整的教学资源包，与企业共同开发培训课程，制定培训课程标准，完成《工业机器人调试项目实战》课程开发，并对已有课程的教学PPT、实训指导书、设备操作手册及常见故障排查指南进行优化，培训课程应以工作任务为导向，以提升职业能力为核心，体现专业学习和工作实践紧密结合的“工学一体、学做合一”的特征。</w:t>
      </w:r>
    </w:p>
    <w:p w14:paraId="307A475E">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师资队伍建设：根据国高基地的建设情况继续增加具有高级工以上职业资格的工业机器人系统操作员S专业教师2名；推荐企业技师、骨干专业技术人员成为采购人的兼职教师，保障采购人的师生比例达到1:16-1:20。</w:t>
      </w:r>
    </w:p>
    <w:p w14:paraId="5C3454D0">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师资培养：须与采购人一同完成师资能力提升相关工作，涵盖师资提升方案、师资培训、技能强化等方面，并提供师资能力提升培养方案。应为与采购人合作的院校提供师资培训不少于150人。组织采购人的师资到企业培训，年培训不少于50人次；须承担培训教学质量评价工作，涵盖过程性考核与终结性考核，需确保全面、准确完成这两项考核任务，以评估培训教学质量。</w:t>
      </w:r>
    </w:p>
    <w:p w14:paraId="710B8604">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设备管理要求：增加工业机器人数控自动化加工实训设备、协作机器人免编程焊接实训设备、自动化恒力打磨实训装备，完成自动化运维实训设备搭建。按照采购人要求及时提供设施设备台账，设施设备管理制度等相关设备管理材料，确保培训设备先进程度与企业级生产设备匹配，培训设备工位、先进程度与特色专业相匹配，能够充分满足培训高技能人才需求。</w:t>
      </w:r>
    </w:p>
    <w:p w14:paraId="28CA4DCB">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职业技能等级认定：投标人应与采购人进一步完善理论及实操实训室标准化建设，应完成高级工题库的设计开发工作，同时组织开展不少于1500人进行中级工培训，不少于500人进行高级工培训；如首年采购人成功申报工业机器人系统操作员S工种职业技能等级认定资质，当年度投标人应配合采购人完成6人以上考评员申报工作。</w:t>
      </w:r>
    </w:p>
    <w:p w14:paraId="2CFC9B2E">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院校合作：应具备高校资源引荐能力，确保采购人能与不少于10所高校建立深度合作关系并签订合作协议。开展多方面产教融合、短期培训、技能评定、实习实训等培训项目的学员不少于2500人。</w:t>
      </w:r>
    </w:p>
    <w:p w14:paraId="16A88B1C">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企业合作：应具备企业资源引荐能力，确保采购人与不少于10家中大型企业签订合作协议，结合区域重点产业规划，重点与区内企业开展“订单式”培训。同时，需与采购人和合作企业共同制定高技能人才培训方案、培训课程标准，开发培训课程不少于1套并将教材装订成册，并建立契合高技能人才培养需求的培训教材开发机制。</w:t>
      </w:r>
    </w:p>
    <w:p w14:paraId="5982C7B2">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新型学徒制培训：投标人应为企业新型学徒制提供技术支持，与采购人一同组织开展企业新型学徒制培训年完成不少于200人。需在项目执行过程中完成对企业及学员的满意度调查，确保服务质量与反馈收集。</w:t>
      </w:r>
    </w:p>
    <w:p w14:paraId="6671569C">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师资培养：须与采购人一同完成师资能力提升相关工作，涵盖师资提升方案、师资培训、技能强化等方面，并提供师资能力提升培养方案。应为与采购人合作的院校提供师资培训不少于150人。组织采购人的师资到企业培训，年培训不少于50人次；须承担培训教学质量评价工作，涵盖过程性考核与终结性考核，需确保全面、准确完成这两项考核任务，以评估培训教学质量。</w:t>
      </w:r>
    </w:p>
    <w:p w14:paraId="545B90AD">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创新性成果：须形成另1套具有创新性的职业技能培训实施方案，根据参训人员的培训需求进行设备调整，对培训人员进行职业发展跟踪服务。承担创新性成果材料收集工作，确保所收集材料完整、准确且能充分体现创新性。</w:t>
      </w:r>
    </w:p>
    <w:p w14:paraId="5375AAAE">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高技能人才培养成果：应具备校企资源引荐及培训学员招生宣传能力，确保采购人能够完成1500人以上的职业技能培训，且实现培养高技能人才450人以上，按照采购人要求汇总学员花名册、身份证复印件、</w:t>
      </w:r>
      <w:r>
        <w:rPr>
          <w:rFonts w:hint="eastAsia" w:ascii="宋体" w:hAnsi="宋体" w:cs="宋体"/>
          <w:b/>
          <w:bCs/>
          <w:sz w:val="24"/>
          <w:szCs w:val="24"/>
          <w:lang w:eastAsia="zh-CN"/>
        </w:rPr>
        <w:t>高技能人才等级证书等相关材料</w:t>
      </w:r>
      <w:r>
        <w:rPr>
          <w:rFonts w:hint="eastAsia" w:ascii="宋体" w:hAnsi="宋体" w:cs="宋体"/>
          <w:b/>
          <w:bCs/>
          <w:sz w:val="24"/>
          <w:szCs w:val="24"/>
        </w:rPr>
        <w:t>；为参训在校生推荐就业并实现成功就业150人，应提供相关材料。</w:t>
      </w:r>
    </w:p>
    <w:p w14:paraId="2C6EC949">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技术培训经验：以项目制培训为主要着手点，对不同层次的人员进行分层次培训和定制化培训，不断提升培训深度，让技术培训阶段化、可持续化。</w:t>
      </w:r>
    </w:p>
    <w:p w14:paraId="1F6422D9">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培训质量要求：投标人提供的相应设备及专业讲师培训，参加培训后学员评价满意率需达90%以上。使用相应设备参加培训后用人单位评价满意率达90%以上。</w:t>
      </w:r>
    </w:p>
    <w:p w14:paraId="69E87785">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总结报告：按照采购人要求提供工业机器人系统操作员S专业各年度建设情况报告，包含设备使用率、使用效果、培训规模、培训成效、创新成果等各项建设内容，确保基地顺利通过验收。</w:t>
      </w:r>
    </w:p>
    <w:p w14:paraId="38D1FAFA">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3）第三阶段建设目标（至合同服务期结束）</w:t>
      </w:r>
    </w:p>
    <w:p w14:paraId="62B9B0C6">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投标人须严格遵循前两年的服务标准与要求，持续为采购人提供专业、高效的支持服务，确保基地建设的稳定运行。保障基地当年度完成高技能人才培训不少于400人，且培养高级工及以上人才不低于培训人数的80%，应按照采购人要求汇总学员花名册、身份证复印件、</w:t>
      </w:r>
      <w:r>
        <w:rPr>
          <w:rFonts w:hint="eastAsia" w:ascii="宋体" w:hAnsi="宋体" w:cs="宋体"/>
          <w:b/>
          <w:bCs/>
          <w:sz w:val="24"/>
          <w:szCs w:val="24"/>
          <w:lang w:eastAsia="zh-CN"/>
        </w:rPr>
        <w:t>高技能人才等级证书等相关材料</w:t>
      </w:r>
      <w:r>
        <w:rPr>
          <w:rFonts w:hint="eastAsia" w:ascii="宋体" w:hAnsi="宋体" w:cs="宋体"/>
          <w:b/>
          <w:bCs/>
          <w:sz w:val="24"/>
          <w:szCs w:val="24"/>
        </w:rPr>
        <w:t>。</w:t>
      </w:r>
    </w:p>
    <w:p w14:paraId="19501CA7">
      <w:pPr>
        <w:snapToGrid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rPr>
        <w:t>（2）工业视觉系统运维</w:t>
      </w:r>
      <w:r>
        <w:rPr>
          <w:rFonts w:hint="eastAsia" w:ascii="宋体" w:hAnsi="宋体" w:cs="宋体"/>
          <w:b/>
          <w:bCs/>
          <w:sz w:val="24"/>
          <w:szCs w:val="24"/>
          <w:highlight w:val="none"/>
        </w:rPr>
        <w:t>员S</w:t>
      </w:r>
    </w:p>
    <w:p w14:paraId="374EFD97">
      <w:pPr>
        <w:snapToGrid w:val="0"/>
        <w:spacing w:line="360" w:lineRule="auto"/>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1）首期履约建设目标（自合同签订之日起三个月内完成）</w:t>
      </w:r>
    </w:p>
    <w:p w14:paraId="6FDE990D">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highlight w:val="none"/>
        </w:rPr>
        <w:t>教材课程开发;需随设备提供全套成熟、</w:t>
      </w:r>
      <w:r>
        <w:rPr>
          <w:rFonts w:hint="eastAsia" w:ascii="宋体" w:hAnsi="宋体" w:cs="宋体"/>
          <w:b/>
          <w:bCs/>
          <w:sz w:val="24"/>
          <w:szCs w:val="24"/>
        </w:rPr>
        <w:t>完整的教学资源包，与企业共同开发培训课程，制定培训课程标准，构建与培养高技能人才需求相适应的培训课程体系，至少应包含《机器视觉及其应用技术》、《机器视觉使用教程》等2门课程的教学PPT、实训指导书、设备操作手册及常见故障排查指南，培训课程应以工作任务为导向，以提升职业能力为核心，体现专业学习和工作实践紧密结合的“工学一体、学做合一”的特征。</w:t>
      </w:r>
    </w:p>
    <w:p w14:paraId="0C129254">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师资队伍建设：根据国高基地的建设情况配备具有高级工以上职业资格的工业视觉系统运维员S专业教师2名；推荐企业技师、骨干专业技术人员成为采购人的兼职教师，保障采购人的师生比例达到1:16-1:20。</w:t>
      </w:r>
    </w:p>
    <w:p w14:paraId="10814C2E">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师资培养：须与采购人一同完成师资能力提升等相关工作，涵盖师资培训、技能强化等方面，确保师资水平有效提升，并提供师资能力提升培养方案。为合作院校提供师资培训不少于50人，组织采购人的任课教师到企业培训参加培训不少于20人次。须承担培训教学质量评价工作，涵盖过程性考核与终结性考核，需确保全面、准确完成这两项考核任务，以评估培训教学质量。</w:t>
      </w:r>
    </w:p>
    <w:p w14:paraId="0629D44E">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设备管理要求：投标人应完成机器视觉基础实训台、机器视觉实训扩展套件、机器视觉创新实训平台、机器视觉及电气综合实训平台、机器视觉智能综合实训平台的搭建。按照采购人要求及时提供设施设备台账，设施设备管理制度等相关设备管理材料，确保培训设备先进程度与企业级生产设备匹配，培训设备工位、先进程度与特色专业相匹配，能够充分满足培训高技能人才需求。</w:t>
      </w:r>
    </w:p>
    <w:p w14:paraId="1693C1A7">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职业技能等级认定：投标人应与采购人共同完善理论及实操实训室标准化建设，应完成中级工题库的设计开发工作，同时组织不少于1000人开展中级工培训；两年服务期内，如采购人成功申报工业视觉系统运维员S工种职业技能等级认定资质，投标人应配合采购人完成6人以上考评员申报工作。</w:t>
      </w:r>
    </w:p>
    <w:p w14:paraId="57B7D610">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院校合作：应具备高校资源引荐能力，确保采购人能与不少于5所高校建立深度合作关系并签订合作协议。开展多方面产教融合、短期培训、技能评定、实习实训等培训项目的学员不少于1000人。</w:t>
      </w:r>
    </w:p>
    <w:p w14:paraId="212C56F3">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企业合作：应具备企业资源引荐能力，确保采购人与不少于5家中大型企业签订合作协议，结合区域重点产业规划，重点与区内企业开展“订单式”培训。同时，需与采购人和合作企业共同制定高技能人才培训方案、培训课程标准，开发培训课程不少于1套并将教材装订成册，并建立契合高技能人才培养需求的培训教材开发机制。</w:t>
      </w:r>
    </w:p>
    <w:p w14:paraId="53271F80">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新型学徒制培训：投标人应为企业新型学徒制提供技术支持，与采购人一同组织开展企业新型学徒制培训年完成不少于60人。需在项目执行过程中完成对企业及学员的满意度调查，确保服务质量与反馈收集。</w:t>
      </w:r>
    </w:p>
    <w:p w14:paraId="0F363A94">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创新性成果：须形成1套具有创新性的职业技能培训实施方案，技术培训分为理论课程、实操课程和竞赛课程。理论课程主要进行硬件培训，实操课程主要进行编程培训，竞赛课程主要进行加工工艺培训。需承担创新性成果材料收集工作，确保所收集材料完整、准确且能充分体现创新性。</w:t>
      </w:r>
    </w:p>
    <w:p w14:paraId="18824840">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高技能人才培养成果：应具备校企资源引荐及培训学员招生宣传能力，确保采购人能够完成1000人以上的职业技能培训，且培养高技能人才50人以上，按照采购人要求汇总学员花名册、身份证复印件、</w:t>
      </w:r>
      <w:r>
        <w:rPr>
          <w:rFonts w:hint="eastAsia" w:ascii="宋体" w:hAnsi="宋体" w:cs="宋体"/>
          <w:b/>
          <w:bCs/>
          <w:sz w:val="24"/>
          <w:szCs w:val="24"/>
          <w:lang w:eastAsia="zh-CN"/>
        </w:rPr>
        <w:t>高技能人才等级证书等相关材料</w:t>
      </w:r>
      <w:r>
        <w:rPr>
          <w:rFonts w:hint="eastAsia" w:ascii="宋体" w:hAnsi="宋体" w:cs="宋体"/>
          <w:b/>
          <w:bCs/>
          <w:sz w:val="24"/>
          <w:szCs w:val="24"/>
        </w:rPr>
        <w:t>；针对在校学生开展高质量培训并实现成功就业50人，并提供相关材料。</w:t>
      </w:r>
    </w:p>
    <w:p w14:paraId="60AE4B8C">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技术培训经验：为实训设备定制化开发培训教材，设置核心培训知识点，并将机器人视觉基础实训台、机器视觉实训扩展套件、机器视觉创新实训平台、机器视觉及电气综合实训平台、机器视觉智能综合实训平台作为培训考核设备。</w:t>
      </w:r>
    </w:p>
    <w:p w14:paraId="4F855988">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培训质量要求：投标人提供的相应设备及专业讲师培训，参加培训后学员评价满意率需达90%以上。使用相应设备参加培训后用人单位评价满意率达90%以上。</w:t>
      </w:r>
    </w:p>
    <w:p w14:paraId="14476E5D">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总结报告：按照采购人要求提供工业视觉系统运维员S专业各年度建设情况报告，包含设备使用率、使用效果、培训规模、培训成效、创新成果等各项建设内容，确保基地顺利通过验收。</w:t>
      </w:r>
    </w:p>
    <w:p w14:paraId="728C51DF">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2）第二阶段建设目标（</w:t>
      </w:r>
      <w:r>
        <w:rPr>
          <w:rFonts w:hint="eastAsia" w:ascii="宋体" w:hAnsi="宋体" w:cs="宋体"/>
          <w:b/>
          <w:bCs/>
          <w:sz w:val="24"/>
          <w:szCs w:val="24"/>
          <w:lang w:eastAsia="zh-CN"/>
        </w:rPr>
        <w:t>2027年8月15日</w:t>
      </w:r>
      <w:r>
        <w:rPr>
          <w:rFonts w:hint="eastAsia" w:ascii="宋体" w:hAnsi="宋体" w:cs="宋体"/>
          <w:b/>
          <w:bCs/>
          <w:sz w:val="24"/>
          <w:szCs w:val="24"/>
        </w:rPr>
        <w:t>前完成）</w:t>
      </w:r>
    </w:p>
    <w:p w14:paraId="3ED526EB">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教材课程开发;需做好培训实施过程监督记录（含教研记录、培训听课记录、评教记录、学员座谈会、专家评价记录、督导记录等）；需随设备提供全套成熟、完整的教学资源包，与企业共同开发培训课程，制定培训课程标准，至少应包含《工业视觉系统编程及高级应用》等1门课程的的教学PPT、实训指导书、设备操作手册及常见故障排查指南，培训课程应以工作任务为导向，以提升职业能力为核心，体现专业学习和工作实践紧密结合的“工学一体、学做合一”的特征。</w:t>
      </w:r>
    </w:p>
    <w:p w14:paraId="1E80093A">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师资队伍建设：根据国高基地的建设情况继续增加具有高级工以上职业资格的工业视觉系统运维员S专业教师1名；推荐企业技师、骨干专业技术人员成为采购人的兼职教师，保障采购人的师生比例达到1:16-1:20。</w:t>
      </w:r>
    </w:p>
    <w:p w14:paraId="5BE1EDDD">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师资培养：须与采购人一同完成师资能力提升相关工作，涵盖师资提升方案、师资培训、技能强化等方面，确保师资水平有效提升，应为与采购人合作的院校提供师资培训不少于150人，组织采购人的任课教师到企业培训参加培训不少于50人次；须承担培训教学质量评价工作，涵盖过程性考核与终结性考核，需确保全面、准确完成这两项考核任务，以评估培训教学质量。</w:t>
      </w:r>
    </w:p>
    <w:p w14:paraId="32E73F1C">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设备管理要求：完成机器人视觉基础实训台、机器视觉实训扩展套件、机器视觉创新实训平台、机器视觉及电气综合实训平台、机器视觉智能综合实训平台更新改造。按照采购人要求及时提供设施设备台账，设施设备管理制度等相关设备管理材料，确保培训设备先进程度与企业级生产设备匹配，培训设备工位、先进程度与特色专业相匹配，能够充分满足培训高技能人才需求。</w:t>
      </w:r>
    </w:p>
    <w:p w14:paraId="0E413BC7">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职业技能等级认定：投标人应与采购人进一步完善理论及实操实训室标准化建设，应完成高级工题库的设计开发工作，同时组织开展不少于1500人进行中级工培训，不少于500人进行高级工培训；如首年采购人成功申报工业视觉系统运维员S工种职业技能等级认定资质，当年度投标人应为采购人引入技师和高级技师参与培训工作，合计不少于5名。</w:t>
      </w:r>
    </w:p>
    <w:p w14:paraId="63F7E35D">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院校合作：应具备高校资源引荐能力，确保采购人能与不少于10所高校建立深度合作关系并签订合作协议。开展多方面产教融合、短期培训、技能评定等培训项目的学员不少于2000人。</w:t>
      </w:r>
    </w:p>
    <w:p w14:paraId="31669E70">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企业合作：应具备企业资源引荐能力，确保采购人与不少于10家中大型企业签订合作协议，结合区域重点产业规划，重点与区内企业开展“订单式”培训。同时，需与采购人和合作企业共同制定高技能人才培训方案、培训课程标准，开发培训课程不少于1套并将教材装订成册，并建立契合高技能人才培养需求的培训教材开发机制。</w:t>
      </w:r>
    </w:p>
    <w:p w14:paraId="1AEAD71E">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新型学徒制培训：投标人应为企业新型学徒制提供技术支持，与采购人一同组织开展企业新型学徒制培训年完成不少于100人，需在项目执行过程中完成对企业及学员的满意度调查，确保服务质量与反馈收集。</w:t>
      </w:r>
    </w:p>
    <w:p w14:paraId="00A14758">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创新性成果：须形成1套具有创新性的职业技能培训实施方案；根据参训人员的培训需求进行设备调整，对培训人员进行职业发展跟踪服务。定期回访，定期邀约提升培训，不断扩大培训人才库。需承担创新性成果材料收集工作，确保所收集材料完整、准确且能充分体现创新性。</w:t>
      </w:r>
    </w:p>
    <w:p w14:paraId="765CB0D2">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高技能人才培养成果：应具备校企资源引荐及培训学员招生宣传能力，确保采购人能够完成1000人以上的职业技能培训，且培养高技能人才50人以上，按照采购人要求汇总学员花名册、身份证复印件、</w:t>
      </w:r>
      <w:r>
        <w:rPr>
          <w:rFonts w:hint="eastAsia" w:ascii="宋体" w:hAnsi="宋体" w:cs="宋体"/>
          <w:b/>
          <w:bCs/>
          <w:sz w:val="24"/>
          <w:szCs w:val="24"/>
          <w:lang w:eastAsia="zh-CN"/>
        </w:rPr>
        <w:t>高技能人才等级证书等相关材料</w:t>
      </w:r>
      <w:r>
        <w:rPr>
          <w:rFonts w:hint="eastAsia" w:ascii="宋体" w:hAnsi="宋体" w:cs="宋体"/>
          <w:b/>
          <w:bCs/>
          <w:sz w:val="24"/>
          <w:szCs w:val="24"/>
        </w:rPr>
        <w:t>；针对在校学生开展高质量培训并实现成功就业50人，并提供相关材料。</w:t>
      </w:r>
    </w:p>
    <w:p w14:paraId="7BCCBE4F">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技术培训经验：提升工业视觉算法培训，为与采购人签订合作关系的企业进行定制化工业视觉软件开发培训。</w:t>
      </w:r>
    </w:p>
    <w:p w14:paraId="0FA8DFDA">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培训质量要求：投标人提供的相应设备及专业讲师培训，参加培训后学员评价满意率需达90%以上。使用相应设备参加培训后用人单位评价满意率达90%以上。</w:t>
      </w:r>
    </w:p>
    <w:p w14:paraId="5C531F7D">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总结报告：按照采购人要求提供工业视觉系统运维员S专业各年度建设情况报告，包含设备使用率、使用效果、培训规模、培训成效、创新成果等各项建设内容，确保基地顺利通过验收。</w:t>
      </w:r>
    </w:p>
    <w:p w14:paraId="05FD80BD">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3）第三阶段建设目标（至合同服务期结束）</w:t>
      </w:r>
    </w:p>
    <w:p w14:paraId="3A54ADE0">
      <w:pPr>
        <w:snapToGrid w:val="0"/>
        <w:spacing w:line="360" w:lineRule="auto"/>
        <w:ind w:firstLine="482" w:firstLineChars="200"/>
        <w:rPr>
          <w:rFonts w:hint="eastAsia" w:ascii="宋体" w:hAnsi="宋体" w:cs="宋体"/>
          <w:b/>
          <w:bCs/>
          <w:sz w:val="24"/>
          <w:szCs w:val="24"/>
        </w:rPr>
      </w:pPr>
      <w:r>
        <w:rPr>
          <w:rFonts w:hint="eastAsia" w:ascii="宋体" w:hAnsi="宋体" w:cs="宋体"/>
          <w:b/>
          <w:bCs/>
          <w:sz w:val="24"/>
          <w:szCs w:val="24"/>
        </w:rPr>
        <w:t>投标人须严格遵循前两年的服务标准与要求，持续为采购人提供专业、高效的支持服务，确保基地建设的稳定运行。保障基地当年度完成高技能人才培训不少于400人，且培养高级工及以上人才不低于培训人数的80%，应按照采购人要求汇总学员花名册、身份证复印件、</w:t>
      </w:r>
      <w:r>
        <w:rPr>
          <w:rFonts w:hint="eastAsia" w:ascii="宋体" w:hAnsi="宋体" w:cs="宋体"/>
          <w:b/>
          <w:bCs/>
          <w:sz w:val="24"/>
          <w:szCs w:val="24"/>
          <w:lang w:eastAsia="zh-CN"/>
        </w:rPr>
        <w:t>高技能人才等级证书等相关材料</w:t>
      </w:r>
      <w:r>
        <w:rPr>
          <w:rFonts w:hint="eastAsia" w:ascii="宋体" w:hAnsi="宋体" w:cs="宋体"/>
          <w:b/>
          <w:bCs/>
          <w:sz w:val="24"/>
          <w:szCs w:val="24"/>
        </w:rPr>
        <w:t>。</w:t>
      </w:r>
    </w:p>
    <w:p w14:paraId="67EA5F54">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6.技术要求</w:t>
      </w:r>
    </w:p>
    <w:p w14:paraId="5BB0F0ED">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（1）投标人中标后所提供产品必须为全新正规合格产品。</w:t>
      </w:r>
    </w:p>
    <w:p w14:paraId="440254CB">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（2）提供所投产品详细的配置清单，包括产品名称、品牌、规格型号、数量等。</w:t>
      </w:r>
    </w:p>
    <w:p w14:paraId="60C3F45F">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（3）投标人中标后提供生产厂家完整的随机资料，包括完整的使用和维修手册等。</w:t>
      </w:r>
    </w:p>
    <w:p w14:paraId="44F6DB63">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（4）提供所投产品详细的介绍及技术指标、产品参数。</w:t>
      </w:r>
    </w:p>
    <w:p w14:paraId="0A5835C2">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（5）提供详细的售后服务方案。</w:t>
      </w:r>
    </w:p>
    <w:p w14:paraId="26499251">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（6）投标人须提供所投产品生产厂家服务机构情况，包括地址、联系方式及技术人员数量等。</w:t>
      </w:r>
    </w:p>
    <w:p w14:paraId="043E9A0C">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lang w:val="en-US" w:eastAsia="zh-CN"/>
        </w:rPr>
        <w:t>7</w:t>
      </w:r>
      <w:r>
        <w:rPr>
          <w:rFonts w:hint="eastAsia" w:ascii="宋体" w:hAnsi="宋体" w:cs="宋体"/>
          <w:sz w:val="24"/>
          <w:szCs w:val="24"/>
        </w:rPr>
        <w:t>.其他要求</w:t>
      </w:r>
    </w:p>
    <w:p w14:paraId="79026D95">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（1）投标人应秉持实训中心为国家级高技能人才培训基地建设主体的原则，全面协助实训中心完成基地建设与验收的各项具体工作，确保基地顺利通过验收。</w:t>
      </w:r>
    </w:p>
    <w:p w14:paraId="30E308A6">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（2）涉及所有培训的实施由采购人指定地点。</w:t>
      </w:r>
    </w:p>
    <w:p w14:paraId="2805FAE6">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（3）采购人对培训实施过程进行全程跟踪，对实施过程中发现的问题和不足，有权提出合理性要求并进行改进和完善；</w:t>
      </w:r>
    </w:p>
    <w:p w14:paraId="5545B138">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（4）培训对象由采购人指定，培训对象对培训结果的满意率应达90%以上；</w:t>
      </w:r>
    </w:p>
    <w:p w14:paraId="111D330F">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（5）涉及职业工种课程资源开发服务，采购人有权对课程资源的应用效果进行跟踪并提出改进意见；</w:t>
      </w:r>
    </w:p>
    <w:p w14:paraId="67F15FA8">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（6）课程资源应符合国家职业标准，与现场设备性能相吻合。</w:t>
      </w:r>
    </w:p>
    <w:p w14:paraId="6601A0ED">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（7）知识产权要求</w:t>
      </w:r>
    </w:p>
    <w:p w14:paraId="7C196E7B">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投标人须承诺所提供的产品、软件、资料等不侵犯任何第三方的知识产权，如因此产生纠纷，由中标人承担全部责任。</w:t>
      </w:r>
    </w:p>
    <w:p w14:paraId="43CF4080">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（8）保密条款要求</w:t>
      </w:r>
    </w:p>
    <w:p w14:paraId="03008A2F">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1）投标人须严格保守项目实施过程中知悉的采购人商业秘密、技术资料及培训数据等信息，未经采购人书面同意，不得向任何第三方披露、使用或允许第三方使用。</w:t>
      </w:r>
    </w:p>
    <w:p w14:paraId="53E5E682">
      <w:pPr>
        <w:snapToGrid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rPr>
        <w:t>2）项目结束后，投标人应将所有涉密资料归还采购人或按采购人要求销毁。如因投标人原因导致泄密，投标人应承担全部法律责任及经济赔偿责任，并赔偿采购人因此遭受的全部损失。</w:t>
      </w:r>
    </w:p>
    <w:p w14:paraId="24D1E6A9">
      <w:pPr>
        <w:pStyle w:val="7"/>
        <w:widowControl/>
        <w:numPr>
          <w:ilvl w:val="0"/>
          <w:numId w:val="0"/>
        </w:numPr>
        <w:snapToGrid w:val="0"/>
        <w:spacing w:line="360" w:lineRule="auto"/>
        <w:ind w:left="561" w:leftChars="0" w:hanging="561" w:hangingChars="233"/>
        <w:jc w:val="left"/>
        <w:rPr>
          <w:rFonts w:ascii="宋体"/>
          <w:b/>
          <w:bCs w:val="0"/>
          <w:kern w:val="0"/>
          <w:sz w:val="24"/>
          <w:szCs w:val="24"/>
          <w:highlight w:val="none"/>
        </w:rPr>
      </w:pPr>
      <w:r>
        <w:rPr>
          <w:rFonts w:hint="default" w:ascii="宋体" w:hAnsi="Times New Roman" w:eastAsia="宋体" w:cs="Times New Roman"/>
          <w:b/>
          <w:bCs w:val="0"/>
          <w:kern w:val="0"/>
          <w:sz w:val="24"/>
          <w:szCs w:val="24"/>
          <w:highlight w:val="none"/>
          <w:lang w:val="en-US" w:eastAsia="zh-CN" w:bidi="ar-SA"/>
        </w:rPr>
        <w:t>七、</w:t>
      </w:r>
      <w:r>
        <w:rPr>
          <w:rFonts w:hint="eastAsia" w:ascii="宋体"/>
          <w:b/>
          <w:bCs w:val="0"/>
          <w:kern w:val="0"/>
          <w:sz w:val="24"/>
          <w:szCs w:val="24"/>
          <w:highlight w:val="none"/>
        </w:rPr>
        <w:t>采购项目交付或者实施的时间和地点</w:t>
      </w:r>
    </w:p>
    <w:p w14:paraId="612F803C">
      <w:pPr>
        <w:snapToGrid w:val="0"/>
        <w:spacing w:line="360" w:lineRule="auto"/>
        <w:ind w:firstLine="482" w:firstLineChars="200"/>
        <w:rPr>
          <w:rFonts w:hint="eastAsia" w:ascii="宋体" w:hAnsi="宋体" w:cs="宋体"/>
          <w:b/>
          <w:bCs w:val="0"/>
          <w:sz w:val="24"/>
          <w:szCs w:val="24"/>
          <w:highlight w:val="none"/>
        </w:rPr>
      </w:pPr>
      <w:r>
        <w:rPr>
          <w:rFonts w:hint="eastAsia" w:ascii="宋体" w:hAnsi="宋体" w:cs="宋体"/>
          <w:b/>
          <w:bCs w:val="0"/>
          <w:sz w:val="24"/>
          <w:szCs w:val="24"/>
          <w:highlight w:val="none"/>
        </w:rPr>
        <w:t>1.★实施时间：自合同签订之日起45日供货安装调试完成，并经采购人对设备验收合格后完成为期三年的培训基地建设及培训相关工作。</w:t>
      </w:r>
    </w:p>
    <w:p w14:paraId="58DB4883">
      <w:pPr>
        <w:snapToGrid w:val="0"/>
        <w:spacing w:line="360" w:lineRule="auto"/>
        <w:ind w:firstLine="482" w:firstLineChars="200"/>
        <w:rPr>
          <w:rFonts w:hint="eastAsia" w:ascii="宋体" w:hAnsi="宋体" w:cs="宋体"/>
          <w:b/>
          <w:bCs w:val="0"/>
          <w:sz w:val="24"/>
          <w:szCs w:val="24"/>
          <w:highlight w:val="none"/>
        </w:rPr>
      </w:pPr>
      <w:r>
        <w:rPr>
          <w:rFonts w:hint="eastAsia" w:ascii="宋体" w:hAnsi="宋体" w:cs="宋体"/>
          <w:b/>
          <w:bCs w:val="0"/>
          <w:sz w:val="24"/>
          <w:szCs w:val="24"/>
          <w:highlight w:val="none"/>
        </w:rPr>
        <w:t>2.★质保期：自设备验收合格之日起2年。</w:t>
      </w:r>
    </w:p>
    <w:p w14:paraId="20556CF6">
      <w:pPr>
        <w:snapToGrid w:val="0"/>
        <w:spacing w:line="360" w:lineRule="auto"/>
        <w:ind w:firstLine="482" w:firstLineChars="200"/>
        <w:rPr>
          <w:rFonts w:hint="eastAsia" w:ascii="宋体" w:hAnsi="宋体" w:cs="宋体"/>
          <w:b/>
          <w:bCs w:val="0"/>
          <w:sz w:val="24"/>
          <w:szCs w:val="24"/>
        </w:rPr>
      </w:pPr>
      <w:r>
        <w:rPr>
          <w:rFonts w:hint="eastAsia" w:ascii="宋体" w:hAnsi="宋体" w:cs="宋体"/>
          <w:b/>
          <w:bCs w:val="0"/>
          <w:sz w:val="24"/>
          <w:szCs w:val="24"/>
          <w:highlight w:val="none"/>
        </w:rPr>
        <w:t>3.★实施地点：采购人指定地</w:t>
      </w:r>
      <w:r>
        <w:rPr>
          <w:rFonts w:hint="eastAsia" w:ascii="宋体" w:hAnsi="宋体" w:cs="宋体"/>
          <w:b/>
          <w:bCs w:val="0"/>
          <w:sz w:val="24"/>
          <w:szCs w:val="24"/>
        </w:rPr>
        <w:t>点。</w:t>
      </w:r>
    </w:p>
    <w:p w14:paraId="376F9CFE">
      <w:pPr>
        <w:pStyle w:val="7"/>
        <w:widowControl/>
        <w:numPr>
          <w:ilvl w:val="0"/>
          <w:numId w:val="0"/>
        </w:numPr>
        <w:snapToGrid w:val="0"/>
        <w:spacing w:line="360" w:lineRule="auto"/>
        <w:ind w:left="561" w:leftChars="0" w:hanging="561" w:hangingChars="233"/>
        <w:jc w:val="left"/>
        <w:rPr>
          <w:rFonts w:ascii="宋体"/>
          <w:b/>
          <w:bCs w:val="0"/>
          <w:kern w:val="0"/>
          <w:sz w:val="24"/>
          <w:szCs w:val="24"/>
        </w:rPr>
      </w:pPr>
      <w:r>
        <w:rPr>
          <w:rFonts w:hint="default" w:ascii="宋体" w:hAnsi="Times New Roman" w:eastAsia="宋体" w:cs="Times New Roman"/>
          <w:b/>
          <w:bCs w:val="0"/>
          <w:kern w:val="0"/>
          <w:sz w:val="24"/>
          <w:szCs w:val="24"/>
          <w:lang w:val="en-US" w:eastAsia="zh-CN" w:bidi="ar-SA"/>
        </w:rPr>
        <w:t>八、★</w:t>
      </w:r>
      <w:r>
        <w:rPr>
          <w:rFonts w:hint="eastAsia" w:ascii="宋体"/>
          <w:b/>
          <w:bCs w:val="0"/>
          <w:kern w:val="0"/>
          <w:sz w:val="24"/>
          <w:szCs w:val="24"/>
        </w:rPr>
        <w:t>质量要求</w:t>
      </w:r>
    </w:p>
    <w:p w14:paraId="33382585">
      <w:pPr>
        <w:pStyle w:val="8"/>
        <w:snapToGrid w:val="0"/>
        <w:spacing w:line="360" w:lineRule="auto"/>
        <w:ind w:firstLine="482" w:firstLineChars="200"/>
        <w:jc w:val="both"/>
        <w:rPr>
          <w:rFonts w:hint="eastAsia" w:ascii="宋体" w:hAnsi="宋体" w:eastAsia="宋体" w:cs="Arial"/>
          <w:b/>
          <w:bCs w:val="0"/>
          <w:color w:val="auto"/>
          <w:highlight w:val="none"/>
        </w:rPr>
      </w:pPr>
      <w:r>
        <w:rPr>
          <w:rFonts w:hint="eastAsia" w:ascii="宋体" w:hAnsi="宋体" w:eastAsia="宋体" w:cs="Arial"/>
          <w:b/>
          <w:bCs w:val="0"/>
          <w:color w:val="auto"/>
        </w:rPr>
        <w:t>满足国家、地方和行业现</w:t>
      </w:r>
      <w:r>
        <w:rPr>
          <w:rFonts w:hint="eastAsia" w:ascii="宋体" w:hAnsi="宋体" w:eastAsia="宋体" w:cs="Arial"/>
          <w:b/>
          <w:bCs w:val="0"/>
          <w:color w:val="auto"/>
          <w:highlight w:val="none"/>
        </w:rPr>
        <w:t>行的法律法规、规章制度、规范及招标文件的规定。</w:t>
      </w:r>
    </w:p>
    <w:p w14:paraId="6B5D680D">
      <w:pPr>
        <w:pStyle w:val="7"/>
        <w:widowControl/>
        <w:numPr>
          <w:ilvl w:val="0"/>
          <w:numId w:val="0"/>
        </w:numPr>
        <w:snapToGrid w:val="0"/>
        <w:spacing w:line="360" w:lineRule="auto"/>
        <w:ind w:left="561" w:leftChars="0" w:hanging="561" w:hangingChars="233"/>
        <w:jc w:val="left"/>
        <w:rPr>
          <w:rFonts w:hint="eastAsia" w:ascii="宋体"/>
          <w:b/>
          <w:bCs w:val="0"/>
          <w:kern w:val="0"/>
          <w:sz w:val="24"/>
          <w:szCs w:val="24"/>
          <w:highlight w:val="none"/>
        </w:rPr>
      </w:pPr>
      <w:r>
        <w:rPr>
          <w:rFonts w:hint="default" w:ascii="宋体" w:hAnsi="Times New Roman" w:eastAsia="宋体" w:cs="Times New Roman"/>
          <w:b/>
          <w:bCs w:val="0"/>
          <w:kern w:val="0"/>
          <w:sz w:val="24"/>
          <w:szCs w:val="24"/>
          <w:highlight w:val="none"/>
          <w:lang w:val="en-US" w:eastAsia="zh-CN" w:bidi="ar-SA"/>
        </w:rPr>
        <w:t>九、★</w:t>
      </w:r>
      <w:r>
        <w:rPr>
          <w:rFonts w:hint="eastAsia" w:ascii="宋体"/>
          <w:b/>
          <w:bCs w:val="0"/>
          <w:kern w:val="0"/>
          <w:sz w:val="24"/>
          <w:szCs w:val="24"/>
          <w:highlight w:val="none"/>
        </w:rPr>
        <w:t>付款方式</w:t>
      </w:r>
    </w:p>
    <w:p w14:paraId="7AF4D99D">
      <w:pPr>
        <w:pStyle w:val="8"/>
        <w:snapToGrid w:val="0"/>
        <w:spacing w:line="360" w:lineRule="auto"/>
        <w:ind w:firstLine="482" w:firstLineChars="200"/>
        <w:jc w:val="both"/>
        <w:rPr>
          <w:rFonts w:hint="eastAsia" w:ascii="宋体" w:hAnsi="宋体" w:eastAsia="宋体" w:cs="Arial"/>
          <w:b/>
          <w:bCs w:val="0"/>
          <w:sz w:val="24"/>
          <w:szCs w:val="24"/>
          <w:highlight w:val="none"/>
          <w:lang w:eastAsia="zh-CN"/>
        </w:rPr>
      </w:pPr>
      <w:r>
        <w:rPr>
          <w:rFonts w:hint="eastAsia" w:ascii="宋体" w:hAnsi="宋体" w:eastAsia="宋体" w:cs="Arial"/>
          <w:b/>
          <w:bCs w:val="0"/>
          <w:sz w:val="24"/>
          <w:szCs w:val="24"/>
          <w:highlight w:val="none"/>
          <w:lang w:eastAsia="zh-CN"/>
        </w:rPr>
        <w:t>合同签订后，采购人支付合同总额的40%，设备到货安装调试完成并经采购人对设备验收合格后支付合同总额的50%，三年服务期结束且经采购人最终验收合格后支付合同剩余款项。</w:t>
      </w:r>
    </w:p>
    <w:p w14:paraId="31F85144">
      <w:pPr>
        <w:pStyle w:val="8"/>
        <w:snapToGrid w:val="0"/>
        <w:spacing w:line="360" w:lineRule="auto"/>
        <w:ind w:firstLine="482" w:firstLineChars="200"/>
        <w:jc w:val="both"/>
        <w:rPr>
          <w:rFonts w:hint="eastAsia" w:ascii="宋体" w:hAnsi="宋体" w:eastAsia="宋体" w:cs="Arial"/>
          <w:b/>
          <w:bCs w:val="0"/>
          <w:color w:val="auto"/>
          <w:highlight w:val="none"/>
        </w:rPr>
      </w:pPr>
      <w:r>
        <w:rPr>
          <w:rFonts w:hint="eastAsia" w:ascii="宋体" w:hAnsi="宋体" w:eastAsia="宋体" w:cs="Arial"/>
          <w:b/>
          <w:bCs w:val="0"/>
          <w:sz w:val="24"/>
          <w:szCs w:val="24"/>
          <w:highlight w:val="none"/>
          <w:lang w:eastAsia="zh-CN"/>
        </w:rPr>
        <w:t>注：上述付款方式均由中标单位开具相应数额的发票后，采购人予以支付。</w:t>
      </w:r>
    </w:p>
    <w:p w14:paraId="4DA9D8ED">
      <w:pPr>
        <w:pStyle w:val="7"/>
        <w:widowControl/>
        <w:numPr>
          <w:ilvl w:val="0"/>
          <w:numId w:val="0"/>
        </w:numPr>
        <w:snapToGrid w:val="0"/>
        <w:spacing w:line="360" w:lineRule="auto"/>
        <w:ind w:left="561" w:leftChars="0" w:hanging="561" w:hangingChars="233"/>
        <w:jc w:val="left"/>
        <w:rPr>
          <w:rFonts w:ascii="宋体"/>
          <w:b/>
          <w:kern w:val="0"/>
          <w:sz w:val="24"/>
          <w:szCs w:val="24"/>
          <w:highlight w:val="none"/>
        </w:rPr>
      </w:pPr>
      <w:r>
        <w:rPr>
          <w:rFonts w:hint="default" w:ascii="宋体" w:hAnsi="Times New Roman" w:eastAsia="宋体" w:cs="Times New Roman"/>
          <w:b/>
          <w:kern w:val="0"/>
          <w:sz w:val="24"/>
          <w:szCs w:val="24"/>
          <w:highlight w:val="none"/>
          <w:lang w:val="en-US" w:eastAsia="zh-CN" w:bidi="ar-SA"/>
        </w:rPr>
        <w:t>十、</w:t>
      </w:r>
      <w:r>
        <w:rPr>
          <w:rFonts w:hint="eastAsia" w:ascii="宋体"/>
          <w:b/>
          <w:kern w:val="0"/>
          <w:sz w:val="24"/>
          <w:szCs w:val="24"/>
          <w:highlight w:val="none"/>
        </w:rPr>
        <w:t>履约验收标准及方法</w:t>
      </w:r>
    </w:p>
    <w:p w14:paraId="68E10681">
      <w:pPr>
        <w:snapToGrid w:val="0"/>
        <w:spacing w:line="360" w:lineRule="auto"/>
        <w:ind w:firstLine="480" w:firstLineChars="200"/>
        <w:rPr>
          <w:rFonts w:hint="eastAsia" w:ascii="宋体" w:hAnsi="宋体" w:cs="宋体"/>
          <w:sz w:val="24"/>
          <w:szCs w:val="24"/>
          <w:highlight w:val="none"/>
        </w:rPr>
      </w:pPr>
      <w:r>
        <w:rPr>
          <w:rFonts w:ascii="宋体" w:hAnsi="宋体" w:cs="宋体"/>
          <w:sz w:val="24"/>
          <w:szCs w:val="24"/>
        </w:rPr>
        <w:t>1.验收主体：</w:t>
      </w:r>
      <w:r>
        <w:rPr>
          <w:rFonts w:hint="eastAsia" w:ascii="宋体" w:hAnsi="宋体" w:cs="宋体"/>
          <w:sz w:val="24"/>
          <w:szCs w:val="24"/>
        </w:rPr>
        <w:t>天津港保税区职业技能公共实训中心</w:t>
      </w:r>
      <w:r>
        <w:rPr>
          <w:rFonts w:ascii="宋体" w:hAnsi="宋体" w:cs="宋体"/>
          <w:sz w:val="24"/>
          <w:szCs w:val="24"/>
        </w:rPr>
        <w:t>。</w:t>
      </w:r>
    </w:p>
    <w:p w14:paraId="6A128659">
      <w:pPr>
        <w:snapToGrid w:val="0"/>
        <w:spacing w:line="360" w:lineRule="auto"/>
        <w:ind w:firstLine="480" w:firstLineChars="200"/>
        <w:rPr>
          <w:rFonts w:ascii="宋体" w:hAnsi="宋体" w:cs="宋体"/>
          <w:sz w:val="24"/>
          <w:szCs w:val="24"/>
          <w:highlight w:val="none"/>
        </w:rPr>
      </w:pPr>
      <w:r>
        <w:rPr>
          <w:rFonts w:ascii="宋体" w:hAnsi="宋体" w:cs="宋体"/>
          <w:sz w:val="24"/>
          <w:szCs w:val="24"/>
          <w:highlight w:val="none"/>
        </w:rPr>
        <w:t>2.验收时间：</w:t>
      </w:r>
    </w:p>
    <w:p w14:paraId="2F711753">
      <w:pPr>
        <w:snapToGrid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第一阶段：自设备安装调试完成后15个工作日内完成验收。</w:t>
      </w:r>
    </w:p>
    <w:p w14:paraId="6A3819EF">
      <w:pPr>
        <w:snapToGrid w:val="0"/>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第二阶段：合同签订服务期结束后15个工作日内完成验收。</w:t>
      </w:r>
    </w:p>
    <w:p w14:paraId="3BABDAC6">
      <w:pPr>
        <w:snapToGrid w:val="0"/>
        <w:spacing w:line="360" w:lineRule="auto"/>
        <w:ind w:firstLine="480" w:firstLineChars="200"/>
        <w:rPr>
          <w:rFonts w:hint="eastAsia" w:ascii="宋体" w:hAnsi="宋体" w:cs="宋体"/>
          <w:sz w:val="24"/>
          <w:szCs w:val="24"/>
          <w:highlight w:val="none"/>
        </w:rPr>
      </w:pPr>
      <w:r>
        <w:rPr>
          <w:rFonts w:ascii="宋体" w:hAnsi="宋体" w:cs="宋体"/>
          <w:sz w:val="24"/>
          <w:szCs w:val="24"/>
          <w:highlight w:val="none"/>
        </w:rPr>
        <w:t>3.验收方式：招标人根据项目完成情况填写验收书及验收书附表并经审核后加盖</w:t>
      </w:r>
      <w:r>
        <w:rPr>
          <w:rFonts w:hint="eastAsia" w:ascii="宋体" w:hAnsi="宋体" w:cs="宋体"/>
          <w:sz w:val="24"/>
          <w:szCs w:val="24"/>
          <w:highlight w:val="none"/>
          <w:lang w:val="en-US" w:eastAsia="zh-CN"/>
        </w:rPr>
        <w:t>双方</w:t>
      </w:r>
      <w:r>
        <w:rPr>
          <w:rFonts w:ascii="宋体" w:hAnsi="宋体" w:cs="宋体"/>
          <w:sz w:val="24"/>
          <w:szCs w:val="24"/>
          <w:highlight w:val="none"/>
        </w:rPr>
        <w:t>单位公章。</w:t>
      </w:r>
    </w:p>
    <w:p w14:paraId="00A9DB75">
      <w:pPr>
        <w:snapToGrid w:val="0"/>
        <w:spacing w:line="360" w:lineRule="auto"/>
        <w:ind w:firstLine="480" w:firstLineChars="200"/>
        <w:rPr>
          <w:rFonts w:hint="eastAsia" w:ascii="宋体" w:hAnsi="宋体" w:cs="宋体"/>
          <w:sz w:val="24"/>
          <w:szCs w:val="24"/>
          <w:highlight w:val="none"/>
        </w:rPr>
      </w:pPr>
      <w:r>
        <w:rPr>
          <w:rFonts w:ascii="宋体" w:hAnsi="宋体" w:cs="宋体"/>
          <w:sz w:val="24"/>
          <w:szCs w:val="24"/>
        </w:rPr>
        <w:t>4.验收程序：每次付款前由</w:t>
      </w:r>
      <w:r>
        <w:rPr>
          <w:rFonts w:hint="eastAsia" w:ascii="宋体" w:hAnsi="宋体" w:cs="宋体"/>
          <w:sz w:val="24"/>
          <w:szCs w:val="24"/>
        </w:rPr>
        <w:t>天津港保税区职业技能公共实训中心</w:t>
      </w:r>
      <w:r>
        <w:rPr>
          <w:rFonts w:ascii="宋体" w:hAnsi="宋体" w:cs="宋体"/>
          <w:sz w:val="24"/>
          <w:szCs w:val="24"/>
        </w:rPr>
        <w:t>会同中标单位根据项目完成情况填写验收书及验收书附表并经招标人审核盖章，合同履行结束后由招标人保存全部验收资料</w:t>
      </w:r>
      <w:r>
        <w:rPr>
          <w:rFonts w:ascii="宋体" w:hAnsi="宋体" w:cs="宋体"/>
          <w:sz w:val="24"/>
          <w:szCs w:val="24"/>
          <w:highlight w:val="none"/>
        </w:rPr>
        <w:t>及手续文件。</w:t>
      </w:r>
    </w:p>
    <w:p w14:paraId="28774DFB">
      <w:pPr>
        <w:snapToGrid w:val="0"/>
        <w:spacing w:line="360" w:lineRule="auto"/>
        <w:ind w:firstLine="480" w:firstLineChars="200"/>
        <w:rPr>
          <w:rFonts w:hint="eastAsia" w:ascii="宋体" w:hAnsi="宋体" w:cs="宋体"/>
          <w:sz w:val="24"/>
          <w:szCs w:val="24"/>
          <w:highlight w:val="none"/>
        </w:rPr>
      </w:pPr>
      <w:r>
        <w:rPr>
          <w:rFonts w:ascii="宋体" w:hAnsi="宋体" w:cs="宋体"/>
          <w:sz w:val="24"/>
          <w:szCs w:val="24"/>
          <w:highlight w:val="none"/>
        </w:rPr>
        <w:t>5.验收内容：本项目全部服务内容及拟派人员情况。</w:t>
      </w:r>
    </w:p>
    <w:p w14:paraId="31A7F16E">
      <w:pPr>
        <w:snapToGrid w:val="0"/>
        <w:spacing w:line="360" w:lineRule="auto"/>
        <w:ind w:firstLine="480" w:firstLineChars="200"/>
        <w:rPr>
          <w:rFonts w:hint="eastAsia" w:ascii="宋体" w:hAnsi="宋体" w:cs="宋体"/>
          <w:sz w:val="24"/>
          <w:szCs w:val="24"/>
          <w:highlight w:val="none"/>
        </w:rPr>
      </w:pPr>
      <w:r>
        <w:rPr>
          <w:rFonts w:ascii="宋体" w:hAnsi="宋体" w:cs="宋体"/>
          <w:sz w:val="24"/>
          <w:szCs w:val="24"/>
          <w:highlight w:val="none"/>
        </w:rPr>
        <w:t>6.验收标准：</w:t>
      </w:r>
      <w:r>
        <w:rPr>
          <w:rFonts w:hint="eastAsia" w:ascii="宋体" w:hAnsi="宋体" w:cs="宋体"/>
          <w:sz w:val="24"/>
          <w:szCs w:val="24"/>
          <w:highlight w:val="none"/>
        </w:rPr>
        <w:t>采购人将结合本项目招投标文件内容、本合同约定，以及现行有效的国家标准、行业标准、地方标准，兼顾项目实际执行情况与客观量化指标，编制对应的考核打分表及考核管理办法。投标人须严格遵照考核标准执行，配合完成全流程验收工作</w:t>
      </w:r>
      <w:r>
        <w:rPr>
          <w:rFonts w:ascii="宋体" w:hAnsi="宋体" w:cs="宋体"/>
          <w:sz w:val="24"/>
          <w:szCs w:val="24"/>
          <w:highlight w:val="none"/>
        </w:rPr>
        <w:t>。</w:t>
      </w:r>
    </w:p>
    <w:p w14:paraId="6FC0ED64">
      <w:pPr>
        <w:snapToGrid w:val="0"/>
        <w:spacing w:line="360" w:lineRule="auto"/>
        <w:ind w:firstLine="480" w:firstLineChars="200"/>
        <w:rPr>
          <w:rFonts w:hint="eastAsia" w:ascii="宋体" w:hAnsi="宋体" w:cs="宋体"/>
          <w:sz w:val="24"/>
          <w:szCs w:val="24"/>
          <w:highlight w:val="none"/>
        </w:rPr>
      </w:pPr>
    </w:p>
    <w:p w14:paraId="7FAFF292">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注：项目需求书中标注“★”号条款为实质性条款，不得出现负偏离，否则投标无效。标注“■”要求为本项目产品重要指标。标注“▲”号的产品为核心产品，提供相同品牌核心产品且通过资格审查、符合性审查的不同投标人，按一家投标人计算。</w:t>
      </w:r>
    </w:p>
    <w:p w14:paraId="61DC091D">
      <w:pPr>
        <w:snapToGrid w:val="0"/>
        <w:spacing w:line="360" w:lineRule="auto"/>
        <w:ind w:firstLine="480" w:firstLineChars="200"/>
        <w:rPr>
          <w:rFonts w:hint="eastAsia" w:ascii="宋体" w:hAnsi="宋体" w:eastAsia="宋体" w:cs="宋体"/>
          <w:sz w:val="24"/>
          <w:szCs w:val="24"/>
          <w:highlight w:val="green"/>
          <w:lang w:val="en-US" w:eastAsia="zh-CN"/>
        </w:rPr>
        <w:sectPr>
          <w:headerReference r:id="rId8" w:type="default"/>
          <w:pgSz w:w="11905" w:h="16838"/>
          <w:pgMar w:top="2041" w:right="1559" w:bottom="1701" w:left="1559" w:header="1134" w:footer="992" w:gutter="0"/>
          <w:pgNumType w:fmt="numberInDash"/>
          <w:cols w:space="720" w:num="1"/>
          <w:docGrid w:type="lines" w:linePitch="313" w:charSpace="0"/>
        </w:sectPr>
      </w:pPr>
    </w:p>
    <w:p w14:paraId="4ACA2B4E">
      <w:pPr>
        <w:snapToGrid w:val="0"/>
        <w:spacing w:line="360" w:lineRule="auto"/>
        <w:ind w:firstLine="422" w:firstLineChars="175"/>
        <w:rPr>
          <w:rFonts w:hint="eastAsia" w:ascii="宋体" w:eastAsia="宋体" w:cs="宋体"/>
          <w:b/>
          <w:sz w:val="24"/>
          <w:szCs w:val="24"/>
          <w:lang w:eastAsia="zh-CN"/>
        </w:rPr>
      </w:pPr>
      <w:r>
        <w:rPr>
          <w:rFonts w:hint="eastAsia" w:ascii="宋体" w:cs="宋体"/>
          <w:b/>
          <w:sz w:val="24"/>
          <w:szCs w:val="24"/>
        </w:rPr>
        <w:t>附件</w:t>
      </w:r>
      <w:r>
        <w:rPr>
          <w:rFonts w:hint="eastAsia" w:ascii="宋体" w:cs="宋体"/>
          <w:b/>
          <w:sz w:val="24"/>
          <w:szCs w:val="24"/>
          <w:lang w:val="en-US" w:eastAsia="zh-CN"/>
        </w:rPr>
        <w:t>6</w:t>
      </w:r>
    </w:p>
    <w:p w14:paraId="7648D2F8">
      <w:pPr>
        <w:snapToGrid w:val="0"/>
        <w:spacing w:line="360" w:lineRule="auto"/>
        <w:jc w:val="center"/>
        <w:rPr>
          <w:rFonts w:ascii="宋体" w:cs="宋体"/>
          <w:b/>
          <w:sz w:val="36"/>
          <w:szCs w:val="36"/>
        </w:rPr>
      </w:pPr>
      <w:r>
        <w:rPr>
          <w:rFonts w:hint="eastAsia" w:ascii="宋体" w:cs="宋体"/>
          <w:b/>
          <w:sz w:val="36"/>
          <w:szCs w:val="36"/>
        </w:rPr>
        <w:t>采购清单</w:t>
      </w:r>
    </w:p>
    <w:tbl>
      <w:tblPr>
        <w:tblStyle w:val="4"/>
        <w:tblW w:w="5000" w:type="pct"/>
        <w:tblInd w:w="0" w:type="dxa"/>
        <w:tblLayout w:type="autofit"/>
        <w:tblCellMar>
          <w:top w:w="0" w:type="dxa"/>
          <w:left w:w="108" w:type="dxa"/>
          <w:bottom w:w="0" w:type="dxa"/>
          <w:right w:w="108" w:type="dxa"/>
        </w:tblCellMar>
      </w:tblPr>
      <w:tblGrid>
        <w:gridCol w:w="456"/>
        <w:gridCol w:w="1006"/>
        <w:gridCol w:w="6147"/>
        <w:gridCol w:w="456"/>
        <w:gridCol w:w="457"/>
      </w:tblGrid>
      <w:tr w14:paraId="4706B7FF">
        <w:tblPrEx>
          <w:tblCellMar>
            <w:top w:w="0" w:type="dxa"/>
            <w:left w:w="108" w:type="dxa"/>
            <w:bottom w:w="0" w:type="dxa"/>
            <w:right w:w="108" w:type="dxa"/>
          </w:tblCellMar>
        </w:tblPrEx>
        <w:trPr>
          <w:trHeight w:val="288" w:hRule="atLeast"/>
        </w:trPr>
        <w:tc>
          <w:tcPr>
            <w:tcW w:w="181" w:type="pct"/>
            <w:tcBorders>
              <w:top w:val="single" w:color="auto" w:sz="4" w:space="0"/>
              <w:left w:val="single" w:color="auto" w:sz="4" w:space="0"/>
              <w:bottom w:val="single" w:color="auto" w:sz="4" w:space="0"/>
              <w:right w:val="single" w:color="auto" w:sz="4" w:space="0"/>
            </w:tcBorders>
            <w:vAlign w:val="center"/>
          </w:tcPr>
          <w:p w14:paraId="2CEB18D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序号</w:t>
            </w:r>
          </w:p>
        </w:tc>
        <w:tc>
          <w:tcPr>
            <w:tcW w:w="717" w:type="pct"/>
            <w:tcBorders>
              <w:top w:val="single" w:color="auto" w:sz="4" w:space="0"/>
              <w:left w:val="nil"/>
              <w:bottom w:val="single" w:color="auto" w:sz="4" w:space="0"/>
              <w:right w:val="single" w:color="auto" w:sz="4" w:space="0"/>
            </w:tcBorders>
            <w:vAlign w:val="center"/>
          </w:tcPr>
          <w:p w14:paraId="25AE24F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设备名称</w:t>
            </w:r>
          </w:p>
        </w:tc>
        <w:tc>
          <w:tcPr>
            <w:tcW w:w="3732" w:type="pct"/>
            <w:tcBorders>
              <w:top w:val="single" w:color="auto" w:sz="4" w:space="0"/>
              <w:left w:val="single" w:color="auto" w:sz="4" w:space="0"/>
              <w:bottom w:val="single" w:color="auto" w:sz="4" w:space="0"/>
              <w:right w:val="single" w:color="auto" w:sz="4" w:space="0"/>
            </w:tcBorders>
            <w:vAlign w:val="center"/>
          </w:tcPr>
          <w:p w14:paraId="66B0D60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技术参数</w:t>
            </w:r>
          </w:p>
        </w:tc>
        <w:tc>
          <w:tcPr>
            <w:tcW w:w="184" w:type="pct"/>
            <w:tcBorders>
              <w:top w:val="single" w:color="auto" w:sz="4" w:space="0"/>
              <w:left w:val="nil"/>
              <w:bottom w:val="single" w:color="auto" w:sz="4" w:space="0"/>
              <w:right w:val="single" w:color="auto" w:sz="4" w:space="0"/>
            </w:tcBorders>
            <w:vAlign w:val="center"/>
          </w:tcPr>
          <w:p w14:paraId="2D7A5B6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数量</w:t>
            </w:r>
          </w:p>
        </w:tc>
        <w:tc>
          <w:tcPr>
            <w:tcW w:w="184" w:type="pct"/>
            <w:tcBorders>
              <w:top w:val="single" w:color="auto" w:sz="4" w:space="0"/>
              <w:left w:val="nil"/>
              <w:bottom w:val="single" w:color="auto" w:sz="4" w:space="0"/>
              <w:right w:val="single" w:color="auto" w:sz="4" w:space="0"/>
            </w:tcBorders>
            <w:vAlign w:val="center"/>
          </w:tcPr>
          <w:p w14:paraId="5886BE8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备注</w:t>
            </w:r>
          </w:p>
        </w:tc>
      </w:tr>
      <w:tr w14:paraId="431B51DF">
        <w:tblPrEx>
          <w:tblCellMar>
            <w:top w:w="0" w:type="dxa"/>
            <w:left w:w="108" w:type="dxa"/>
            <w:bottom w:w="0" w:type="dxa"/>
            <w:right w:w="108" w:type="dxa"/>
          </w:tblCellMar>
        </w:tblPrEx>
        <w:trPr>
          <w:trHeight w:val="288" w:hRule="atLeast"/>
        </w:trPr>
        <w:tc>
          <w:tcPr>
            <w:tcW w:w="181" w:type="pct"/>
            <w:tcBorders>
              <w:top w:val="single" w:color="auto" w:sz="4" w:space="0"/>
              <w:left w:val="single" w:color="auto" w:sz="4" w:space="0"/>
              <w:bottom w:val="single" w:color="auto" w:sz="4" w:space="0"/>
              <w:right w:val="single" w:color="auto" w:sz="4" w:space="0"/>
            </w:tcBorders>
            <w:vAlign w:val="center"/>
          </w:tcPr>
          <w:p w14:paraId="7786E86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p>
        </w:tc>
        <w:tc>
          <w:tcPr>
            <w:tcW w:w="717" w:type="pct"/>
            <w:tcBorders>
              <w:top w:val="single" w:color="auto" w:sz="4" w:space="0"/>
              <w:left w:val="nil"/>
              <w:bottom w:val="single" w:color="auto" w:sz="4" w:space="0"/>
              <w:right w:val="single" w:color="auto" w:sz="4" w:space="0"/>
            </w:tcBorders>
            <w:vAlign w:val="center"/>
          </w:tcPr>
          <w:p w14:paraId="23FAD46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rPr>
              <w:t>▲</w:t>
            </w:r>
            <w:r>
              <w:rPr>
                <w:rFonts w:hint="eastAsia" w:ascii="宋体" w:hAnsi="宋体" w:cs="宋体"/>
                <w:color w:val="000000" w:themeColor="text1"/>
                <w:sz w:val="24"/>
                <w:szCs w:val="24"/>
                <w14:textFill>
                  <w14:solidFill>
                    <w14:schemeClr w14:val="tx1"/>
                  </w14:solidFill>
                </w14:textFill>
              </w:rPr>
              <w:t>工业机器人数控加工实训设备</w:t>
            </w:r>
          </w:p>
        </w:tc>
        <w:tc>
          <w:tcPr>
            <w:tcW w:w="3732" w:type="pct"/>
            <w:tcBorders>
              <w:top w:val="single" w:color="auto" w:sz="4" w:space="0"/>
              <w:left w:val="single" w:color="auto" w:sz="4" w:space="0"/>
              <w:bottom w:val="single" w:color="auto" w:sz="4" w:space="0"/>
              <w:right w:val="single" w:color="auto" w:sz="4" w:space="0"/>
            </w:tcBorders>
            <w:vAlign w:val="center"/>
          </w:tcPr>
          <w:p w14:paraId="68DA131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一、工业机器人</w:t>
            </w:r>
          </w:p>
          <w:p w14:paraId="6B594B8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1.工业机器人本体参数</w:t>
            </w:r>
          </w:p>
          <w:p w14:paraId="37D9DD9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（1）六自由度串联关节型工业机器人</w:t>
            </w:r>
          </w:p>
          <w:p w14:paraId="38A29B3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（2）手腕负载≥4kg</w:t>
            </w:r>
          </w:p>
          <w:p w14:paraId="486930A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（3）最大臂展≥580mm</w:t>
            </w:r>
          </w:p>
          <w:p w14:paraId="1370BA2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（4）本体重量≤22kg</w:t>
            </w:r>
          </w:p>
          <w:p w14:paraId="75590EA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（5）重复定位精度≤±0.02mm</w:t>
            </w:r>
          </w:p>
          <w:p w14:paraId="3731D7C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（6）手腕设有≥8路集成信号源，≥4路集成气源</w:t>
            </w:r>
          </w:p>
          <w:p w14:paraId="1A5E58C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（7）运动参数：</w:t>
            </w:r>
          </w:p>
          <w:p w14:paraId="0F7F1E5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轴1工作范围±170°；最大速度450°/s，</w:t>
            </w:r>
          </w:p>
          <w:p w14:paraId="2760B35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轴2工作范围-90°~+130°；最大速度318°/s，</w:t>
            </w:r>
          </w:p>
          <w:p w14:paraId="1B9BC1C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轴3工作范围-200°~+55°；最大速度288°/s，</w:t>
            </w:r>
          </w:p>
          <w:p w14:paraId="72E73E9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轴4工作范围-170°~+170°；最大速度550°/s，</w:t>
            </w:r>
          </w:p>
          <w:p w14:paraId="56DE4B7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轴5工作范围-120°~+120°；最大速度450°/s，</w:t>
            </w:r>
          </w:p>
          <w:p w14:paraId="1CC1F79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轴6工作范围-360°~+360°；最大速度612°/s</w:t>
            </w:r>
          </w:p>
          <w:p w14:paraId="08DB48C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（8）手腕允许最大负载力矩为，4轴4.59Nm，5轴4.59Nm，6轴3.1Nm。</w:t>
            </w:r>
          </w:p>
          <w:p w14:paraId="6262632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（9）手腕允许最大负载惯量为，4轴0.2kgm²，5轴0.2kgm²，6轴0.08kgm²</w:t>
            </w:r>
          </w:p>
          <w:p w14:paraId="6C8A9EB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（10）防护等级≥IP67</w:t>
            </w:r>
          </w:p>
          <w:p w14:paraId="29B7C60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（11）驱动组件采用高性能伺服电机，所有部件已安装到本体上</w:t>
            </w:r>
          </w:p>
          <w:p w14:paraId="1A0828D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（12）各轴均采用谐波减速器，已安装到本体上</w:t>
            </w:r>
          </w:p>
          <w:p w14:paraId="76F41E6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（13）末端中空手腕，具备6轴内部走线</w:t>
            </w:r>
          </w:p>
          <w:p w14:paraId="514CA48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2.工业机器人控制系统</w:t>
            </w:r>
          </w:p>
          <w:p w14:paraId="5C339EE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2.1供电为230VAC电压波动范围不超- 15%～+10%，交流电50HZ</w:t>
            </w:r>
          </w:p>
          <w:p w14:paraId="33DF2EB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2.2运动控制方面：控制器以全动力学模型为基础，机器人保证在不同速度下运动轨迹均一致</w:t>
            </w:r>
          </w:p>
          <w:p w14:paraId="514F077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2.3控制柜尺寸：≥420mm*317mm*120mm</w:t>
            </w:r>
          </w:p>
          <w:p w14:paraId="79C3537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2.4控制柜重量：≥10kg</w:t>
            </w:r>
          </w:p>
          <w:p w14:paraId="07491C9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2.5提供完备的电路保护，包括安全开关、紧急停止、过载保护等。</w:t>
            </w:r>
          </w:p>
          <w:p w14:paraId="67C3843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2.6通信：具备先进的EtherCAT、ProfiNET、Ethernet/IP等</w:t>
            </w:r>
          </w:p>
          <w:p w14:paraId="542D5DC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3、示教器</w:t>
            </w:r>
          </w:p>
          <w:p w14:paraId="5581051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3.1示教器显示器参数：≥10.1英寸LCD1920*1200。</w:t>
            </w:r>
          </w:p>
          <w:p w14:paraId="72804BF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3.2防护等级≥IP54</w:t>
            </w:r>
          </w:p>
          <w:p w14:paraId="5D4EB98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3.3含实体按键、U盘插口、三段使能开关；</w:t>
            </w:r>
          </w:p>
          <w:p w14:paraId="55EA164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二、数控车床</w:t>
            </w:r>
          </w:p>
          <w:p w14:paraId="63163D8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（1）加工范围</w:t>
            </w:r>
          </w:p>
          <w:p w14:paraId="24782B5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1.1车床最大回转直径≥180mm</w:t>
            </w:r>
          </w:p>
          <w:p w14:paraId="2704AF3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1.2拖板上面最大回转直径≥90mm</w:t>
            </w:r>
          </w:p>
          <w:p w14:paraId="4D1C6AB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1.3两顶尖的距离≥300mm</w:t>
            </w:r>
          </w:p>
          <w:p w14:paraId="0687AAB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（2）主轴</w:t>
            </w:r>
          </w:p>
          <w:p w14:paraId="37DE016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2.1卡盘规格≥100mm</w:t>
            </w:r>
          </w:p>
          <w:p w14:paraId="404B08A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2.2主轴转速≥50-3000r/min</w:t>
            </w:r>
          </w:p>
          <w:p w14:paraId="7AB5C08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2.3主轴通孔≥20mm</w:t>
            </w:r>
          </w:p>
          <w:p w14:paraId="72823E9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2.4主轴规格MT3</w:t>
            </w:r>
          </w:p>
          <w:p w14:paraId="26F05CC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2.5主轴电机功率≥ 500W</w:t>
            </w:r>
          </w:p>
          <w:p w14:paraId="54D3C49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（3）进给轴</w:t>
            </w:r>
          </w:p>
          <w:p w14:paraId="39ABAD8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3.1  X轴行程 ≥65mm</w:t>
            </w:r>
          </w:p>
          <w:p w14:paraId="45569F2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3.2  Z轴行程 ≥250mm</w:t>
            </w:r>
          </w:p>
          <w:p w14:paraId="42C845E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3.3 最大移动速度 ≥2000mm/min</w:t>
            </w:r>
          </w:p>
          <w:p w14:paraId="2451A98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3.4 最大进给速度 ≥500mm/min</w:t>
            </w:r>
          </w:p>
          <w:p w14:paraId="149A2AE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3.5 进给电机 ≥2.0Nm</w:t>
            </w:r>
          </w:p>
          <w:p w14:paraId="4F761C2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（4）刀架</w:t>
            </w:r>
          </w:p>
          <w:p w14:paraId="1639C33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4.1 刀位数≥ 4 position</w:t>
            </w:r>
          </w:p>
          <w:p w14:paraId="2D14A28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4.2 刀具尺寸≥ 8*8mm</w:t>
            </w:r>
          </w:p>
          <w:p w14:paraId="2F3AA89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（5）尾座</w:t>
            </w:r>
          </w:p>
          <w:p w14:paraId="30655B7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5.1 尾座套筒锥度 MT2</w:t>
            </w:r>
          </w:p>
          <w:p w14:paraId="06F0A42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5.2 套筒直径 ≥17mm</w:t>
            </w:r>
          </w:p>
          <w:p w14:paraId="54DFA73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5.3 套筒行程 ≥50mm</w:t>
            </w:r>
          </w:p>
          <w:p w14:paraId="2E87899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（6）精度</w:t>
            </w:r>
          </w:p>
          <w:p w14:paraId="2956CFB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6.1 定位精度≤0.015mm</w:t>
            </w:r>
          </w:p>
          <w:p w14:paraId="31FCE52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6.2 重复定位精度≤0.01mm</w:t>
            </w:r>
          </w:p>
          <w:p w14:paraId="13ABE40B">
            <w:pPr>
              <w:widowControl/>
              <w:snapToGrid w:val="0"/>
              <w:spacing w:line="360" w:lineRule="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6.3 电源230/120V</w:t>
            </w:r>
          </w:p>
          <w:p w14:paraId="6257C7D6">
            <w:pPr>
              <w:widowControl/>
              <w:snapToGrid w:val="0"/>
              <w:spacing w:line="360" w:lineRule="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（7）数控系统</w:t>
            </w:r>
          </w:p>
          <w:p w14:paraId="764344A8">
            <w:pPr>
              <w:widowControl/>
              <w:snapToGrid w:val="0"/>
              <w:spacing w:line="360" w:lineRule="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7.1 数控操作系统应选用</w:t>
            </w:r>
            <w:r>
              <w:rPr>
                <w:rFonts w:hint="eastAsia" w:ascii="宋体" w:hAnsi="宋体" w:cs="宋体"/>
                <w:color w:val="000000" w:themeColor="text1"/>
                <w:sz w:val="24"/>
                <w:szCs w:val="24"/>
                <w:highlight w:val="none"/>
                <w:lang w:val="en-US" w:eastAsia="zh-CN"/>
                <w14:textFill>
                  <w14:solidFill>
                    <w14:schemeClr w14:val="tx1"/>
                  </w14:solidFill>
                </w14:textFill>
              </w:rPr>
              <w:t>主流</w:t>
            </w:r>
            <w:r>
              <w:rPr>
                <w:rFonts w:hint="eastAsia" w:ascii="宋体" w:hAnsi="宋体" w:cs="宋体"/>
                <w:color w:val="000000" w:themeColor="text1"/>
                <w:sz w:val="24"/>
                <w:szCs w:val="24"/>
                <w:highlight w:val="none"/>
                <w14:textFill>
                  <w14:solidFill>
                    <w14:schemeClr w14:val="tx1"/>
                  </w14:solidFill>
                </w14:textFill>
              </w:rPr>
              <w:t>操作系统</w:t>
            </w:r>
          </w:p>
          <w:p w14:paraId="2E8C4532">
            <w:pPr>
              <w:widowControl/>
              <w:snapToGrid w:val="0"/>
              <w:spacing w:line="360" w:lineRule="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（8）其他</w:t>
            </w:r>
          </w:p>
          <w:p w14:paraId="6E54D02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8.1 机床重量（净重/毛重） ≥80kg</w:t>
            </w:r>
          </w:p>
          <w:p w14:paraId="46BEC5E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8.2 机床尺寸 ≥900*550*600mm</w:t>
            </w:r>
          </w:p>
          <w:p w14:paraId="140FDF2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8.3 包装尺寸 （桌面 ） ≥1030*590*680mm</w:t>
            </w:r>
          </w:p>
          <w:p w14:paraId="23ED597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（9）随机标配</w:t>
            </w:r>
          </w:p>
          <w:p w14:paraId="2AF5D1E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 三爪卡盘、固定顶尖、内六角扳手、电动润滑泵、手脉、LED工作灯、信号灯、门开关。</w:t>
            </w:r>
          </w:p>
          <w:p w14:paraId="41FD42A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三、触摸屏</w:t>
            </w:r>
          </w:p>
          <w:p w14:paraId="164D783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1.≥7英寸</w:t>
            </w:r>
          </w:p>
          <w:p w14:paraId="6BBB087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2.液晶显示屏分辨率：≥800×480</w:t>
            </w:r>
          </w:p>
          <w:p w14:paraId="3E9B350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3.组态：嵌入式组态</w:t>
            </w:r>
          </w:p>
          <w:p w14:paraId="602FE18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4.提供与PLC通讯相配套的端口线和工控机连接的端口线</w:t>
            </w:r>
          </w:p>
          <w:p w14:paraId="416BCFF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四、PLC控制系统</w:t>
            </w:r>
          </w:p>
          <w:p w14:paraId="7D9E21E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1.主机数字量14 点输入/10 点输出，模拟量 2 路输入，1 个以太网通信端口；配套PC/MPI编程电缆，PLC型号版本不低于S7-1200。</w:t>
            </w:r>
          </w:p>
          <w:p w14:paraId="6F98092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2.电源：直流 20.4-28.8V DC</w:t>
            </w:r>
          </w:p>
          <w:p w14:paraId="716C75A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3.程序存储器/数据存储器 50 KB</w:t>
            </w:r>
          </w:p>
          <w:p w14:paraId="36C820B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五、第七轴模块</w:t>
            </w:r>
          </w:p>
          <w:p w14:paraId="78CE5D6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1.控制方式：滚珠丝杆</w:t>
            </w:r>
          </w:p>
          <w:p w14:paraId="23587E5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2.电机类型 ：伺服</w:t>
            </w:r>
          </w:p>
          <w:p w14:paraId="5585707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3.功率/供电：伺服驱动器： 驱动功率≥750W/伺服电机：功率≥750W</w:t>
            </w:r>
          </w:p>
          <w:p w14:paraId="778EAA9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4.编码器：多圈17位磁编码器</w:t>
            </w:r>
          </w:p>
          <w:p w14:paraId="603BCD2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5.模块大小：≥800*150*95mm</w:t>
            </w:r>
          </w:p>
          <w:p w14:paraId="6374426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6.电机速度：第七轴允许速度≥200mm/s 电机最大速度≥3000rpm</w:t>
            </w:r>
          </w:p>
          <w:p w14:paraId="28687E2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7.有效行程：≥500mm</w:t>
            </w:r>
          </w:p>
          <w:p w14:paraId="0402DEE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8.定位精度：≤±0.1mm</w:t>
            </w:r>
          </w:p>
          <w:p w14:paraId="0E4E109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9.传感器：光电传感器</w:t>
            </w:r>
          </w:p>
          <w:p w14:paraId="4C1E4476">
            <w:pPr>
              <w:widowControl/>
              <w:snapToGrid w:val="0"/>
              <w:spacing w:line="360" w:lineRule="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10.响应速度：</w:t>
            </w:r>
            <w:r>
              <w:rPr>
                <w:rFonts w:hint="eastAsia" w:ascii="宋体" w:hAnsi="宋体" w:cs="宋体"/>
                <w:color w:val="000000" w:themeColor="text1"/>
                <w:sz w:val="24"/>
                <w:szCs w:val="24"/>
                <w:lang w:eastAsia="zh-CN"/>
                <w14:textFill>
                  <w14:solidFill>
                    <w14:schemeClr w14:val="tx1"/>
                  </w14:solidFill>
                </w14:textFill>
              </w:rPr>
              <w:t>≤0.1S</w:t>
            </w:r>
          </w:p>
          <w:p w14:paraId="2525C80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11.功能：第七轴模组可实现多工位的位置移动，以满足机台模块的工作</w:t>
            </w:r>
          </w:p>
          <w:p w14:paraId="2C50927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六、装配单元</w:t>
            </w:r>
          </w:p>
          <w:p w14:paraId="00450EB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功能：由井式送料模块、输送带模块、装配固定模块组成，配置可移动底板。将工件从送料模块送出到输送带运行至末端由机器人夹取搬运至装配固定气缸上进行装配操作。可实现送料、检测、运输、搬运、装配等实训操作</w:t>
            </w:r>
          </w:p>
          <w:p w14:paraId="59F509F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2.井式送料模块有双轴气缸1只、电磁阀1个、磁开关1个、光纤传感器1个。配置标准安装机构</w:t>
            </w:r>
          </w:p>
          <w:p w14:paraId="352B904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3.输送带模块由三相异步电机1个、末端感应传感器及输送带标准配置安装机构组成</w:t>
            </w:r>
          </w:p>
          <w:p w14:paraId="722A1B0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4.装配固定模块由指夹气缸1只、电磁阀1个、磁开关1个及安装支架组成，标准电气接口</w:t>
            </w:r>
          </w:p>
          <w:p w14:paraId="05EA4A0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七、原料单元</w:t>
            </w:r>
          </w:p>
          <w:p w14:paraId="770935F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1.功能：放置装配工件，由机器人将此工件原料搬运至装配固定模块上进行装配操作</w:t>
            </w:r>
          </w:p>
          <w:p w14:paraId="77849A0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2.M12圆柱形传感器9只，配置标准安装机构及移动式底板，标准电气接口</w:t>
            </w:r>
          </w:p>
          <w:p w14:paraId="137626C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八、轨迹运动单元</w:t>
            </w:r>
          </w:p>
          <w:p w14:paraId="14CF162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1.功能：可实现 TCP标定，坐标系建立，不同形状轨迹的示教编程和离线编程</w:t>
            </w:r>
          </w:p>
          <w:p w14:paraId="513AA69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2.主要由轨迹板、安装支架、移动式底板组成</w:t>
            </w:r>
          </w:p>
          <w:p w14:paraId="307373B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3.涂胶模块是将工业机器人对产品装配前的涂胶工艺进行功能抽象化，工业机器人抓持涂胶工具沿涂胶面板上不同轮廓轨迹运动，模拟涂胶工艺，保证工艺真实性同时增加教学可行性和趣味性</w:t>
            </w:r>
          </w:p>
          <w:p w14:paraId="3BCEDB4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九、仓库单元</w:t>
            </w:r>
          </w:p>
          <w:p w14:paraId="0A8CF5B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1.功能：立柜式仓库模块可为码垛模块、装配模块成品工件或其他模块工件提供放置空间</w:t>
            </w:r>
          </w:p>
          <w:p w14:paraId="207D878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2.立体仓库：存储自动装配工件；仓位数量：≥3列3层9个；仓位承重：≥2Kg；仓位尺寸：≥100mm*70mm*80mm；外形尺寸：≥350mm*180mm*450mm；工件种类：≥3种9个；工件模块包括自动装配母件、子件等</w:t>
            </w:r>
          </w:p>
          <w:p w14:paraId="5D78BD8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十、视觉系统</w:t>
            </w:r>
          </w:p>
          <w:p w14:paraId="6C68A1D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1.功能：配合机器人对工件进行分析、检测、定位等，将信号传给机器人指示下一步动作</w:t>
            </w:r>
          </w:p>
          <w:p w14:paraId="0DF7F51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2.视觉系统采用工业CCD相机 ≥500万 像素，工业镜头，LED光源</w:t>
            </w:r>
          </w:p>
          <w:p w14:paraId="6D43ADF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3.可对物料位置、颜色、瑕疵、斑点等信息进行检测和机器人总线通</w:t>
            </w:r>
          </w:p>
          <w:p w14:paraId="782D970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十一、码垛单元</w:t>
            </w:r>
          </w:p>
          <w:p w14:paraId="190EB1D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1.功能：由方形井式送料机构、码垛底盘组成，工件由送料机构送出，机器人将工件搬运到码垛底盘上进行码垛操作</w:t>
            </w:r>
          </w:p>
          <w:p w14:paraId="39AA96C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2.由双轴气缸1只、电磁阀1个、磁开关1个、光纤传感器2个，并配置标准安装机构，移动式底板，标准电气接口</w:t>
            </w:r>
          </w:p>
          <w:p w14:paraId="212D85C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十二、快换工具单元</w:t>
            </w:r>
          </w:p>
          <w:p w14:paraId="10B7842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1.功能：由4种夹具组成，配合机器人使用作搬运、涂胶、焊接、码垛等用途</w:t>
            </w:r>
          </w:p>
          <w:p w14:paraId="545004F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2.配置快换公头1个、快换母头4个、搬运夹具2套、涂胶夹具1套、焊接工具1套、电磁阀3个，并标准固定机构，移动式底板</w:t>
            </w:r>
          </w:p>
          <w:p w14:paraId="155BC1E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十三、工业机器人工艺仿真软件</w:t>
            </w:r>
          </w:p>
          <w:p w14:paraId="78535E4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（1）仿真系统具备ABB、KUKA，FANUC、安川、新松、埃夫特、广州数控、熊猫、斯陶比尔、UR（优傲）、傲博等多种机器人，提供50种以上的各品牌机器人模型和大量生产线组件库；</w:t>
            </w:r>
          </w:p>
          <w:p w14:paraId="0A2FE10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■（2）具备多种格式的三维CAD模型，可导入扩展名为step、igs、stl等格式；</w:t>
            </w:r>
            <w:bookmarkStart w:id="6" w:name="OLE_LINK6"/>
          </w:p>
          <w:bookmarkEnd w:id="6"/>
          <w:p w14:paraId="0D24A15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（3）可通过导入CAD模型快速生成运动组件，并对组件特征树进行操作和修改；</w:t>
            </w:r>
          </w:p>
          <w:p w14:paraId="1105D932">
            <w:pPr>
              <w:widowControl/>
              <w:snapToGrid w:val="0"/>
              <w:spacing w:line="360" w:lineRule="auto"/>
              <w:rPr>
                <w:rFonts w:hint="eastAsia" w:ascii="宋体" w:hAnsi="宋体" w:cs="宋体"/>
                <w:color w:val="000000" w:themeColor="text1"/>
                <w:sz w:val="24"/>
                <w:szCs w:val="24"/>
                <w14:textFill>
                  <w14:solidFill>
                    <w14:schemeClr w14:val="tx1"/>
                  </w14:solidFill>
                </w14:textFill>
              </w:rPr>
            </w:pPr>
            <w:bookmarkStart w:id="7" w:name="OLE_LINK3"/>
            <w:r>
              <w:rPr>
                <w:rFonts w:hint="eastAsia" w:ascii="宋体" w:hAnsi="宋体" w:cs="宋体"/>
                <w:b/>
                <w:bCs/>
                <w:color w:val="000000" w:themeColor="text1"/>
                <w:sz w:val="24"/>
                <w:szCs w:val="24"/>
                <w14:textFill>
                  <w14:solidFill>
                    <w14:schemeClr w14:val="tx1"/>
                  </w14:solidFill>
                </w14:textFill>
              </w:rPr>
              <w:t>■（4）具备关节型机器人、Delta（空间三自由度并联机构机器人）、SCARA（平面关节型机器人）、直角坐标等各种结构的机器人模型及工艺仿真功能；</w:t>
            </w:r>
          </w:p>
          <w:bookmarkEnd w:id="7"/>
          <w:p w14:paraId="111E1C5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允许通过专用的模板和程序语言定制各种机器人和自动化工具的运动控制。算法具备包含3-5轴的通用机床、3-6个旋转轴的串联，并联，双臂，AGV小车，等机器人及生产线上对应的工装夹具，传送带，变位机，导轨等辅助设备；</w:t>
            </w:r>
          </w:p>
          <w:p w14:paraId="18350AD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（6）提供工业机器人虚拟教学模块，能够通过虚拟示教器对机器人的手动操作以及程序代码的自动运行，也能直连客户指定的实际示教器；</w:t>
            </w:r>
          </w:p>
          <w:p w14:paraId="6651876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（7）提供强大的API功能支持，允许开展大量机器人机构的自动化应用。可进行仿真和应用于程序机器人取放物体和应用于复杂的多机器人同步运动等；</w:t>
            </w:r>
          </w:p>
          <w:p w14:paraId="7E1D6A5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（8）包含丰富的轨迹调整优化工具包，如碰撞检查、工业机器人可达性、姿态奇异点、轴超限等；</w:t>
            </w:r>
          </w:p>
          <w:p w14:paraId="0710BED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■（9）具备多机器人同步运动仿真，能够实现5个及以上机器人与外部轴的同步运动；</w:t>
            </w:r>
          </w:p>
          <w:p w14:paraId="3033538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（10）具有自动化生产线仿真功能，包含码垛机、AGV小车、串联机器人在内的功能模块；</w:t>
            </w:r>
          </w:p>
          <w:p w14:paraId="739DF7C6">
            <w:pPr>
              <w:widowControl/>
              <w:snapToGrid w:val="0"/>
              <w:spacing w:line="360" w:lineRule="auto"/>
              <w:rPr>
                <w:rFonts w:hint="eastAsia" w:ascii="宋体" w:hAnsi="宋体" w:cs="宋体"/>
                <w:color w:val="000000" w:themeColor="text1"/>
                <w:sz w:val="24"/>
                <w:szCs w:val="24"/>
                <w14:textFill>
                  <w14:solidFill>
                    <w14:schemeClr w14:val="tx1"/>
                  </w14:solidFill>
                </w14:textFill>
              </w:rPr>
            </w:pPr>
            <w:bookmarkStart w:id="8" w:name="OLE_LINK4"/>
            <w:r>
              <w:rPr>
                <w:rFonts w:hint="eastAsia" w:ascii="宋体" w:hAnsi="宋体" w:cs="宋体"/>
                <w:b/>
                <w:bCs/>
                <w:color w:val="000000" w:themeColor="text1"/>
                <w:sz w:val="24"/>
                <w:szCs w:val="24"/>
                <w14:textFill>
                  <w14:solidFill>
                    <w14:schemeClr w14:val="tx1"/>
                  </w14:solidFill>
                </w14:textFill>
              </w:rPr>
              <w:t>■（11）真实的模拟效果（如焊接火花效果、喷漆上色效果、雕刻效果）；</w:t>
            </w:r>
          </w:p>
          <w:bookmarkEnd w:id="8"/>
          <w:p w14:paraId="17D29A7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（12）提供多视角的观察，并可实现运动视角镜头追踪；</w:t>
            </w:r>
          </w:p>
          <w:p w14:paraId="021911C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（13）具备虚拟传感器的建模与仿真，具备视觉，激光距离，力传感等传感器的仿真，效果接近真实传感器的效果；</w:t>
            </w:r>
          </w:p>
          <w:p w14:paraId="2128E09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14）场景中的物理实体具有真实世界中的物体的物理效果，可以进行碰撞检测并具备刚体运动的效果，具备设置重力，摩擦系数等参数能力，并能根据这些参数模拟物体的真实运动效果，用户可以按照真实世界中的逻辑对场景进行建模，减少了建模的复杂性。</w:t>
            </w:r>
          </w:p>
          <w:p w14:paraId="3E8580D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（15）具有离线编程功能，具备ABB，三菱，Fanuc，安川，川崎等品牌机器人的代码；</w:t>
            </w:r>
          </w:p>
          <w:p w14:paraId="315A1CD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■（16）可生成仿真运动视频（AVI或者Mp4格式）并导出。（需提供工业机器人离线编程软件著作权证书复印件加盖投标人公章附在技术标内）</w:t>
            </w:r>
          </w:p>
          <w:p w14:paraId="4A03E03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十四、云智能实验室安全管理系统</w:t>
            </w:r>
          </w:p>
          <w:p w14:paraId="23B875D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系统由主电路、控制电路、检测保护电路、显示电路、云平台数据收发器、云平台智能管理网站、云组态软件、大数据云平台记录等组成，实现无线传输、信息处理等物联网技术应用于自动化远程控制。设备端运行状态、数据参数等上传至云平台。物联网系统的传感层、传输层和应用层关联掌握数据与分析数据整个实验室配置一套管理系统。</w:t>
            </w:r>
          </w:p>
          <w:p w14:paraId="365E32B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（1）主要功能：</w:t>
            </w:r>
          </w:p>
          <w:p w14:paraId="0C37C1D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丰富的数据处理功能，自定义算法，对实验室的主要数据状态进行24小时实时监控。</w:t>
            </w:r>
          </w:p>
          <w:p w14:paraId="24A0F5E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1.1可使用可具备：TCP自定义协议、UDP自定义协议、MODBUS RTU协议、MODBUS TCP协议、TP500 JSON协议、MQTT协议、CoAP协议、HJ212协议、电信IoT协议。</w:t>
            </w:r>
          </w:p>
          <w:p w14:paraId="504575C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1.2每一台云网管理设备都有唯一的网络地址，可以使用云网组态软件，随意布局参数，显示方式与内容，需要用户名与地址分配。</w:t>
            </w:r>
          </w:p>
          <w:p w14:paraId="6ECF4F7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1.3通过手机、IPAD、PC远程监控和分析测量数据可以实现远程控制所控驱动设备并及监视传感器状态变化。</w:t>
            </w:r>
          </w:p>
          <w:p w14:paraId="140CC4E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（2）可对设备的移动进行监控 </w:t>
            </w:r>
          </w:p>
          <w:p w14:paraId="7C3D911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2.1可对实时监控的设备移动进行监控，监控精度达到±3米。</w:t>
            </w:r>
          </w:p>
          <w:p w14:paraId="3CEB833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2.2通过网云平台实时查看所处地图点位、经纬度和现在所处地名。</w:t>
            </w:r>
          </w:p>
          <w:p w14:paraId="7B04889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（3）可对监控数据的周期规律进行记录。</w:t>
            </w:r>
          </w:p>
          <w:p w14:paraId="6F46A67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3.1可对历史数据进行记录，并列表分析规律。</w:t>
            </w:r>
          </w:p>
          <w:p w14:paraId="0F87FEB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3.2数据最大记录存储空间不低于10TB</w:t>
            </w:r>
          </w:p>
          <w:p w14:paraId="4F42B91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（4）具备丰富的检测类型与控制方式</w:t>
            </w:r>
          </w:p>
          <w:p w14:paraId="2643017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4.1可进行数字量与模拟量的信号采集。</w:t>
            </w:r>
          </w:p>
          <w:p w14:paraId="4DAFAA0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4.2 可通过工业网络PROFINET、ETHERNET/IP、Modbus、232等通讯方式进行信号采集与传输。</w:t>
            </w:r>
          </w:p>
          <w:p w14:paraId="4D7E35D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4.3 可对主线温度进行实时监控与曲线显示，显示精度±1°</w:t>
            </w:r>
          </w:p>
          <w:p w14:paraId="77DD11C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4.4可对各相电压进行数值显示及曲线显示，显示精度±5V</w:t>
            </w:r>
          </w:p>
          <w:p w14:paraId="572282F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4.5可对各相电流进行数值显示及曲线显示，显示精度±0.5A</w:t>
            </w:r>
          </w:p>
          <w:p w14:paraId="1BD81F1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4.6 可对空气湿度、污染程度（PM2.5）进行检测，对多雨或扬尘天气的设备保护提供帮助。</w:t>
            </w:r>
          </w:p>
          <w:p w14:paraId="3FA4308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（5）实时保护，语音报警</w:t>
            </w:r>
          </w:p>
          <w:p w14:paraId="62FA316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5.1运行中，三相中任一相出现漏电，实训室智能电源管理系统将跳闸。</w:t>
            </w:r>
          </w:p>
          <w:p w14:paraId="323CA48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5.2运行中，三相中任一相出现过流，实训室智能电源管理系统将语音报警，报警为“线路过流，请注意”。</w:t>
            </w:r>
          </w:p>
          <w:p w14:paraId="7F5685C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5.3运行中，三相中任一相出现欠压、超压，实训室智能电源管理系统将语音报警，报警为“线路过压，请注意”。</w:t>
            </w:r>
          </w:p>
          <w:p w14:paraId="4D3FF02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（6）实时监控</w:t>
            </w:r>
          </w:p>
          <w:p w14:paraId="03C4283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6.1可以通过手机或个人终端查看实时画面</w:t>
            </w:r>
          </w:p>
          <w:p w14:paraId="1BF40AA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6.2并且可以设定手机报警功能，主要包括移动侦测报警、声音异常报警等。</w:t>
            </w:r>
          </w:p>
          <w:p w14:paraId="7C0992E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■6.3当摄像头监控区域内出现异常情况时，如有人闯入或发出异常声音，会立即通过APP向用户发送报警信息。（需提供云智能实验室安全管理系统软件著作权证书复印件，并加盖投标人公章附在技术标内）</w:t>
            </w:r>
          </w:p>
          <w:p w14:paraId="41D0629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十五、工业自动化控制实训系统</w:t>
            </w:r>
          </w:p>
          <w:p w14:paraId="3A1BB10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通过本系统软件了解组成智能制造生产线的电气、气动、PLC等元件的工作原理并对机电系统的设计、分析进行虚拟仿真。通过选择元件利用符合绘制二维回路图或利用三维模型在系统内实现智能制造的动作而进行虚拟仿真。本系统不仅实现工厂的三维仿真使虚拟现实仿真更加逼真，而且把通过仿真验证的控制逻辑单元可用作监视及控制模块，使能够实现并行工程及软件、硬件的并行设计。</w:t>
            </w:r>
          </w:p>
          <w:p w14:paraId="76B4B85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仿真基本模块包括：</w:t>
            </w:r>
          </w:p>
          <w:p w14:paraId="6540A93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1.反馈控制和顺序控制系统</w:t>
            </w:r>
          </w:p>
          <w:p w14:paraId="702BF4A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2.指示灯的与门（AND）控制</w:t>
            </w:r>
          </w:p>
          <w:p w14:paraId="2B32D48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3.物品传送装置</w:t>
            </w:r>
          </w:p>
          <w:p w14:paraId="2E32F4C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4.单向气缸控制</w:t>
            </w:r>
          </w:p>
          <w:p w14:paraId="5EE66FC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5.双缸联动控制</w:t>
            </w:r>
          </w:p>
          <w:p w14:paraId="5D3679D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6.带式输送装置系统</w:t>
            </w:r>
          </w:p>
          <w:p w14:paraId="514D8A1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7.滚筒式输送装置系统</w:t>
            </w:r>
          </w:p>
          <w:p w14:paraId="68CE121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8.指示灯顺序闪烁回路</w:t>
            </w:r>
          </w:p>
          <w:p w14:paraId="450D57F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9.自动控制标记打印操作控制</w:t>
            </w:r>
          </w:p>
          <w:p w14:paraId="54B804C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10.电梯控制</w:t>
            </w:r>
          </w:p>
          <w:p w14:paraId="71B8F78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11.气压控制移动装置</w:t>
            </w:r>
          </w:p>
          <w:p w14:paraId="3FBCDE8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12.工业机器人控制</w:t>
            </w:r>
          </w:p>
          <w:p w14:paraId="2FD3D52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13.带式传送带实习装置</w:t>
            </w:r>
          </w:p>
          <w:p w14:paraId="16966AD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14.气压传动流水线实验装置</w:t>
            </w:r>
          </w:p>
          <w:p w14:paraId="43C8D24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十六、工业机器人课程资源课件一套，ppt格式，图文结合，包含以下内容</w:t>
            </w:r>
          </w:p>
          <w:p w14:paraId="775A53B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（1）工业机器人的概述：工业机器人的定义、发展与应用、基本组成及技术参数、工业机器人的分类；</w:t>
            </w:r>
          </w:p>
          <w:p w14:paraId="4852B67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工业机器人的机械系统：工业机器人的1轴结构、工业机器人的2轴结构、工业机器人的3轴结构、工业机器人的4轴结构、工业机器人的5轴结构、工业机器人的6轴结构、工业机器人的机身结构、工业机器人的行走结构、工业机器人的驱动装置和传动单元；</w:t>
            </w:r>
          </w:p>
          <w:p w14:paraId="128A779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（3）工业机器人的运动学与动力学：工业机器人的连杆参数和齐次坐标变换矩阵。</w:t>
            </w:r>
          </w:p>
          <w:p w14:paraId="381372C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（4）工业机器人的控制系统：工业机器人控制装置、工业机器人驱动装置、工业机器人检测装置；</w:t>
            </w:r>
          </w:p>
          <w:p w14:paraId="5C995DD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工业机器人的编程：工业机器人的编程方式、工业机器人的示教编程、工业机器人的编程语言、工业机器人的语言系统结构和基本功能、常用工业机器人编程语言、工业机器人的离线编程、工业机器人的离线编程仿真软件及编程示例；</w:t>
            </w:r>
          </w:p>
          <w:p w14:paraId="0D55999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（6）工业机器人的典型应用：焊接机器人的应用、搬运机器人的应用、码垛机器人的应用、涂装机器人的应用、装配机器人的应用；</w:t>
            </w:r>
          </w:p>
          <w:p w14:paraId="0886AF4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（7）提供汽车生产线工业机器人应用的高清视频≥10个。</w:t>
            </w:r>
          </w:p>
          <w:p w14:paraId="06D1B6F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十七、PLC编程教学课件资源课件一套，ppt格式，图文结合，包含以下内容：</w:t>
            </w:r>
          </w:p>
          <w:p w14:paraId="39D32B6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（1）PLC的认知：PLC简介、PLC工作原理及运行模式、PLC特点、PLC扩展功能、PLC应用技术人才培养；</w:t>
            </w:r>
          </w:p>
          <w:p w14:paraId="4D6DB5E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（2）软件的使用：集成软件开发平台、集成软件简介、入门实例；</w:t>
            </w:r>
          </w:p>
          <w:p w14:paraId="181197F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控制单元的程序设计、指令编写、硬件选型和设计、课后思考与练习等内容。模块包括：八路抢答器、三相异步电机的星三角降压启动、运料小车往返控制、十字路口交通灯的控制、电动机组的启停控制、HMI控制液体混合、变频器的电机控制。</w:t>
            </w:r>
          </w:p>
          <w:p w14:paraId="18D086C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（4）小型自动化生产线的设计</w:t>
            </w:r>
          </w:p>
        </w:tc>
        <w:tc>
          <w:tcPr>
            <w:tcW w:w="184" w:type="pct"/>
            <w:tcBorders>
              <w:top w:val="single" w:color="auto" w:sz="4" w:space="0"/>
              <w:left w:val="nil"/>
              <w:bottom w:val="single" w:color="auto" w:sz="4" w:space="0"/>
              <w:right w:val="single" w:color="auto" w:sz="4" w:space="0"/>
            </w:tcBorders>
            <w:vAlign w:val="center"/>
          </w:tcPr>
          <w:p w14:paraId="293F8A0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p>
        </w:tc>
        <w:tc>
          <w:tcPr>
            <w:tcW w:w="184" w:type="pct"/>
            <w:tcBorders>
              <w:top w:val="single" w:color="auto" w:sz="4" w:space="0"/>
              <w:left w:val="nil"/>
              <w:bottom w:val="single" w:color="auto" w:sz="4" w:space="0"/>
              <w:right w:val="single" w:color="auto" w:sz="4" w:space="0"/>
            </w:tcBorders>
            <w:vAlign w:val="center"/>
          </w:tcPr>
          <w:p w14:paraId="365CC13B">
            <w:pPr>
              <w:widowControl/>
              <w:snapToGrid w:val="0"/>
              <w:spacing w:line="360" w:lineRule="auto"/>
              <w:rPr>
                <w:rFonts w:hint="eastAsia" w:ascii="宋体" w:hAnsi="宋体" w:cs="宋体"/>
                <w:color w:val="000000" w:themeColor="text1"/>
                <w:sz w:val="24"/>
                <w:szCs w:val="24"/>
                <w14:textFill>
                  <w14:solidFill>
                    <w14:schemeClr w14:val="tx1"/>
                  </w14:solidFill>
                </w14:textFill>
              </w:rPr>
            </w:pPr>
          </w:p>
        </w:tc>
      </w:tr>
      <w:tr w14:paraId="352D5EF5">
        <w:tblPrEx>
          <w:tblCellMar>
            <w:top w:w="0" w:type="dxa"/>
            <w:left w:w="108" w:type="dxa"/>
            <w:bottom w:w="0" w:type="dxa"/>
            <w:right w:w="108" w:type="dxa"/>
          </w:tblCellMar>
        </w:tblPrEx>
        <w:trPr>
          <w:trHeight w:val="288" w:hRule="atLeast"/>
        </w:trPr>
        <w:tc>
          <w:tcPr>
            <w:tcW w:w="181" w:type="pct"/>
            <w:tcBorders>
              <w:top w:val="single" w:color="auto" w:sz="4" w:space="0"/>
              <w:left w:val="single" w:color="auto" w:sz="4" w:space="0"/>
              <w:bottom w:val="single" w:color="auto" w:sz="4" w:space="0"/>
              <w:right w:val="single" w:color="auto" w:sz="4" w:space="0"/>
            </w:tcBorders>
            <w:vAlign w:val="center"/>
          </w:tcPr>
          <w:p w14:paraId="62E52DA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w:t>
            </w:r>
          </w:p>
        </w:tc>
        <w:tc>
          <w:tcPr>
            <w:tcW w:w="717" w:type="pct"/>
            <w:tcBorders>
              <w:top w:val="single" w:color="auto" w:sz="4" w:space="0"/>
              <w:left w:val="nil"/>
              <w:bottom w:val="single" w:color="auto" w:sz="4" w:space="0"/>
              <w:right w:val="single" w:color="auto" w:sz="4" w:space="0"/>
            </w:tcBorders>
            <w:vAlign w:val="center"/>
          </w:tcPr>
          <w:p w14:paraId="4CC7A34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协作机器人免编程焊接实训设备</w:t>
            </w:r>
          </w:p>
        </w:tc>
        <w:tc>
          <w:tcPr>
            <w:tcW w:w="3732" w:type="pct"/>
            <w:tcBorders>
              <w:top w:val="single" w:color="auto" w:sz="4" w:space="0"/>
              <w:left w:val="single" w:color="auto" w:sz="4" w:space="0"/>
              <w:bottom w:val="single" w:color="auto" w:sz="4" w:space="0"/>
              <w:right w:val="single" w:color="auto" w:sz="4" w:space="0"/>
            </w:tcBorders>
            <w:vAlign w:val="center"/>
          </w:tcPr>
          <w:p w14:paraId="5BD7F48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一、智能协作机器人</w:t>
            </w:r>
          </w:p>
          <w:p w14:paraId="3E38411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（1）机器人技术指标：</w:t>
            </w:r>
          </w:p>
          <w:p w14:paraId="4152841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1.1轴数量：6</w:t>
            </w:r>
          </w:p>
          <w:p w14:paraId="021E31C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1.2工作范围：≥919mm</w:t>
            </w:r>
          </w:p>
          <w:p w14:paraId="0034531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1.3有效荷重：≥5kg</w:t>
            </w:r>
          </w:p>
          <w:p w14:paraId="594DC37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r>
              <w:rPr>
                <w:rFonts w:ascii="宋体" w:hAnsi="宋体" w:cs="宋体"/>
                <w:color w:val="000000" w:themeColor="text1"/>
                <w:sz w:val="24"/>
                <w:szCs w:val="24"/>
                <w14:textFill>
                  <w14:solidFill>
                    <w14:schemeClr w14:val="tx1"/>
                  </w14:solidFill>
                </w14:textFill>
              </w:rPr>
              <w:t>4</w:t>
            </w:r>
            <w:r>
              <w:rPr>
                <w:rFonts w:hint="eastAsia" w:ascii="宋体" w:hAnsi="宋体" w:cs="宋体"/>
                <w:color w:val="000000" w:themeColor="text1"/>
                <w:sz w:val="24"/>
                <w:szCs w:val="24"/>
                <w14:textFill>
                  <w14:solidFill>
                    <w14:schemeClr w14:val="tx1"/>
                  </w14:solidFill>
                </w14:textFill>
              </w:rPr>
              <w:t>重复定位精度：≤±0.03mm</w:t>
            </w:r>
          </w:p>
          <w:p w14:paraId="5113F56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r>
              <w:rPr>
                <w:rFonts w:ascii="宋体" w:hAnsi="宋体" w:cs="宋体"/>
                <w:color w:val="000000" w:themeColor="text1"/>
                <w:sz w:val="24"/>
                <w:szCs w:val="24"/>
                <w14:textFill>
                  <w14:solidFill>
                    <w14:schemeClr w14:val="tx1"/>
                  </w14:solidFill>
                </w14:textFill>
              </w:rPr>
              <w:t>5</w:t>
            </w:r>
            <w:r>
              <w:rPr>
                <w:rFonts w:hint="eastAsia" w:ascii="宋体" w:hAnsi="宋体" w:cs="宋体"/>
                <w:color w:val="000000" w:themeColor="text1"/>
                <w:sz w:val="24"/>
                <w:szCs w:val="24"/>
                <w14:textFill>
                  <w14:solidFill>
                    <w14:schemeClr w14:val="tx1"/>
                  </w14:solidFill>
                </w14:textFill>
              </w:rPr>
              <w:t>各轴运动参数：</w:t>
            </w:r>
          </w:p>
          <w:p w14:paraId="5D00E32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1）轴运动  工作范围</w:t>
            </w:r>
          </w:p>
          <w:p w14:paraId="2EE4B67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轴1旋转: ≥±360°</w:t>
            </w:r>
          </w:p>
          <w:p w14:paraId="49CE65C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轴2手臂: ≥-160°- +150°</w:t>
            </w:r>
          </w:p>
          <w:p w14:paraId="5BB0693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轴3手臂：≥ -170°-+140°</w:t>
            </w:r>
          </w:p>
          <w:p w14:paraId="1D00995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轴4手腕: ≥ ±360°</w:t>
            </w:r>
          </w:p>
          <w:p w14:paraId="6DF9F20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轴5弯曲: ≥ ±360°</w:t>
            </w:r>
          </w:p>
          <w:p w14:paraId="34E079C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轴6翻转: ≥ ±360°</w:t>
            </w:r>
          </w:p>
          <w:p w14:paraId="3CB6430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2）轴运动    最大速度</w:t>
            </w:r>
          </w:p>
          <w:p w14:paraId="4681EF5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轴1旋转：≥ 180°/s</w:t>
            </w:r>
          </w:p>
          <w:p w14:paraId="644CF34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轴2手臂：≥ 180°/s</w:t>
            </w:r>
          </w:p>
          <w:p w14:paraId="19BA623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轴3手臂：≥ 180°/s</w:t>
            </w:r>
          </w:p>
          <w:p w14:paraId="750426D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轴4手腕：≥ 180°/s</w:t>
            </w:r>
          </w:p>
          <w:p w14:paraId="4C7F5B7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轴5弯曲：≥ 180°/s</w:t>
            </w:r>
          </w:p>
          <w:p w14:paraId="7CAC3E1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轴6翻转：≥ 180°/s</w:t>
            </w:r>
          </w:p>
          <w:p w14:paraId="04834FE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（2）机器人控制器：</w:t>
            </w:r>
          </w:p>
          <w:p w14:paraId="4764FB5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2.1控制柜便于安装，设计紧凑，接口丰富包含串口，网口，内置可扩展16路输入/16路输出I/O系统，防护等级≥IP54。</w:t>
            </w:r>
          </w:p>
          <w:p w14:paraId="73628A7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（3）示教器：</w:t>
            </w:r>
          </w:p>
          <w:p w14:paraId="5117A55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3.1示教器分辨率：≥1024x768</w:t>
            </w:r>
          </w:p>
          <w:p w14:paraId="5642F45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3.2示教器按键、颜色、急停、使能等</w:t>
            </w:r>
          </w:p>
          <w:p w14:paraId="39CD8E9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（4）伺服、电机</w:t>
            </w:r>
          </w:p>
          <w:p w14:paraId="3020CE7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4.1在线惯量识别/增益自动设置；具备机械特性分析/自动陷波功能；弹簧接线端子，IO免焊线；具备仅USB供电导入、导出参数。</w:t>
            </w:r>
          </w:p>
          <w:p w14:paraId="32978BF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（5）系统功能包</w:t>
            </w:r>
          </w:p>
          <w:p w14:paraId="3C1FD04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5.1提供数据采集接口，可与远程运维平台进行对接，实现工业机器人数据采集监控。</w:t>
            </w:r>
          </w:p>
          <w:p w14:paraId="40DFDE1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5.2具备系统数据采集监控包括运行信息、机器人状态（正在运行、报警、停止运行）、系统日志等。</w:t>
            </w:r>
          </w:p>
          <w:p w14:paraId="3929B9D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5.3具备机械臂电机数据采集包括每个轴电机运行状态监控、电机转速监控、电机力矩监控等。</w:t>
            </w:r>
          </w:p>
          <w:p w14:paraId="691CA7AA">
            <w:pPr>
              <w:widowControl/>
              <w:snapToGrid w:val="0"/>
              <w:spacing w:line="360" w:lineRule="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5.4系统配置输送链动态跟踪工艺，</w:t>
            </w:r>
            <w:r>
              <w:rPr>
                <w:rFonts w:hint="eastAsia" w:ascii="宋体" w:hAnsi="宋体" w:cs="宋体"/>
                <w:color w:val="000000" w:themeColor="text1"/>
                <w:sz w:val="24"/>
                <w:szCs w:val="24"/>
                <w:highlight w:val="none"/>
                <w14:textFill>
                  <w14:solidFill>
                    <w14:schemeClr w14:val="tx1"/>
                  </w14:solidFill>
                </w14:textFill>
              </w:rPr>
              <w:t>具备工业机器人动态跟踪输送链传送工件并拾取。</w:t>
            </w:r>
          </w:p>
          <w:p w14:paraId="58FCC079">
            <w:pPr>
              <w:widowControl/>
              <w:snapToGrid w:val="0"/>
              <w:spacing w:line="360" w:lineRule="auto"/>
              <w:rPr>
                <w:rFonts w:hint="eastAsia" w:ascii="宋体" w:hAnsi="宋体" w:cs="宋体"/>
                <w:b/>
                <w:bCs/>
                <w:color w:val="000000" w:themeColor="text1"/>
                <w:sz w:val="24"/>
                <w:szCs w:val="24"/>
                <w:highlight w:val="none"/>
                <w14:textFill>
                  <w14:solidFill>
                    <w14:schemeClr w14:val="tx1"/>
                  </w14:solidFill>
                </w14:textFill>
              </w:rPr>
            </w:pPr>
            <w:r>
              <w:rPr>
                <w:rFonts w:hint="eastAsia" w:ascii="宋体" w:hAnsi="宋体" w:cs="宋体"/>
                <w:b/>
                <w:bCs/>
                <w:color w:val="000000" w:themeColor="text1"/>
                <w:sz w:val="24"/>
                <w:szCs w:val="24"/>
                <w:highlight w:val="none"/>
                <w14:textFill>
                  <w14:solidFill>
                    <w14:schemeClr w14:val="tx1"/>
                  </w14:solidFill>
                </w14:textFill>
              </w:rPr>
              <w:t>■5.5所有关节均配置力矩传感器，实现一指触停的灵敏碰撞检测能力。</w:t>
            </w:r>
          </w:p>
          <w:p w14:paraId="3B6EC8E8">
            <w:pPr>
              <w:widowControl/>
              <w:snapToGrid w:val="0"/>
              <w:spacing w:line="360" w:lineRule="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b/>
                <w:bCs/>
                <w:color w:val="000000" w:themeColor="text1"/>
                <w:sz w:val="24"/>
                <w:szCs w:val="24"/>
                <w:highlight w:val="none"/>
                <w14:textFill>
                  <w14:solidFill>
                    <w14:schemeClr w14:val="tx1"/>
                  </w14:solidFill>
                </w14:textFill>
              </w:rPr>
              <w:t>■5</w:t>
            </w:r>
            <w:r>
              <w:rPr>
                <w:rFonts w:ascii="宋体" w:hAnsi="宋体" w:cs="宋体"/>
                <w:b/>
                <w:bCs/>
                <w:color w:val="000000" w:themeColor="text1"/>
                <w:sz w:val="24"/>
                <w:szCs w:val="24"/>
                <w:highlight w:val="none"/>
                <w14:textFill>
                  <w14:solidFill>
                    <w14:schemeClr w14:val="tx1"/>
                  </w14:solidFill>
                </w14:textFill>
              </w:rPr>
              <w:t>.6</w:t>
            </w:r>
            <w:r>
              <w:rPr>
                <w:rFonts w:hint="eastAsia" w:ascii="宋体" w:hAnsi="宋体" w:cs="宋体"/>
                <w:b/>
                <w:bCs/>
                <w:color w:val="000000" w:themeColor="text1"/>
                <w:sz w:val="24"/>
                <w:szCs w:val="24"/>
                <w:highlight w:val="none"/>
                <w14:textFill>
                  <w14:solidFill>
                    <w14:schemeClr w14:val="tx1"/>
                  </w14:solidFill>
                </w14:textFill>
              </w:rPr>
              <w:t>提供协作机器人功能安全报告。（需提供检测报告复印件，涉及英文部分应翻译为中文，并加盖投标人公章附在技术标内）</w:t>
            </w:r>
          </w:p>
          <w:p w14:paraId="74A72DBF">
            <w:pPr>
              <w:widowControl/>
              <w:snapToGrid w:val="0"/>
              <w:spacing w:line="360" w:lineRule="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二、机器人工作台</w:t>
            </w:r>
          </w:p>
          <w:p w14:paraId="4AD5B2E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1.整体尺寸：≥1800mm *1200mm *855mm </w:t>
            </w:r>
          </w:p>
          <w:p w14:paraId="32BEEC9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2.整体结构：铝型材框架，镶嵌白色钣金护板</w:t>
            </w:r>
          </w:p>
          <w:p w14:paraId="1118730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3.前后采用可视化开门设计，便于设备安装和展示</w:t>
            </w:r>
          </w:p>
          <w:p w14:paraId="237378D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4.颜色：白色钣金喷漆+铝型材原色</w:t>
            </w:r>
          </w:p>
          <w:p w14:paraId="6FE68EC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5.地脚：8个福马轮，单只福马轮承重 300kg</w:t>
            </w:r>
          </w:p>
          <w:p w14:paraId="51B5028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功能：工作台平面为功能模块提供标准快插拔式电源、气源、通讯接口，柔性固定卡槽，具备各模块自定义位置，手拧螺栓固定，可实现无工具快速拆装工作台柜体为电气继电板、机器人控制柜、压缩空气站、功能模块等提供放置空间，分布合理，操作方便。</w:t>
            </w:r>
          </w:p>
          <w:p w14:paraId="59D0FAD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三、第七轴模块</w:t>
            </w:r>
          </w:p>
          <w:p w14:paraId="2C4650B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1.控制方式：滚珠丝杆</w:t>
            </w:r>
          </w:p>
          <w:p w14:paraId="68B55E6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2.电机类型 ：伺服</w:t>
            </w:r>
          </w:p>
          <w:p w14:paraId="6296177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3.功率/供电：伺服驱动器：驱动功率≥750W/伺服电机：功率≥750W</w:t>
            </w:r>
          </w:p>
          <w:p w14:paraId="094925E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4.编码器：多圈17位磁编码器</w:t>
            </w:r>
          </w:p>
          <w:p w14:paraId="64B2464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5.模块大小：≥800*150*95mm</w:t>
            </w:r>
          </w:p>
          <w:p w14:paraId="1E9B5C7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6.电机速度：第七轴允许速度200mm/s 电机最大速度3000rpm</w:t>
            </w:r>
          </w:p>
          <w:p w14:paraId="08126E6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7.有效行程：≥500mm</w:t>
            </w:r>
          </w:p>
          <w:p w14:paraId="16E32DC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8.定位精度：±0.1mm</w:t>
            </w:r>
          </w:p>
          <w:p w14:paraId="0758BF7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9.传感器：光电传感器</w:t>
            </w:r>
          </w:p>
          <w:p w14:paraId="3E547C9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10.响应速度：</w:t>
            </w:r>
            <w:r>
              <w:rPr>
                <w:rFonts w:hint="eastAsia" w:ascii="宋体" w:hAnsi="宋体" w:cs="宋体"/>
                <w:color w:val="000000" w:themeColor="text1"/>
                <w:sz w:val="24"/>
                <w:szCs w:val="24"/>
                <w:lang w:eastAsia="zh-CN"/>
                <w14:textFill>
                  <w14:solidFill>
                    <w14:schemeClr w14:val="tx1"/>
                  </w14:solidFill>
                </w14:textFill>
              </w:rPr>
              <w:t>≤0.1S</w:t>
            </w:r>
          </w:p>
          <w:p w14:paraId="4E30C0E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11.功能：第七轴模组可实现多工位的位置移动，以满足机台模块的工作</w:t>
            </w:r>
          </w:p>
          <w:p w14:paraId="17888F5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四、轨迹标定模块</w:t>
            </w:r>
          </w:p>
          <w:p w14:paraId="7834F77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1.尺寸：≥380mm *260mm *192mm</w:t>
            </w:r>
          </w:p>
          <w:p w14:paraId="16A5575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2.材料：铝合金和 2020 铝型材</w:t>
            </w:r>
          </w:p>
          <w:p w14:paraId="3D7FA38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3.表面处理：铝合金银白氧化处理</w:t>
            </w:r>
          </w:p>
          <w:p w14:paraId="0ACF066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4.功能：工具标定尖端、工具坐标系建立</w:t>
            </w:r>
          </w:p>
          <w:p w14:paraId="20ACA2F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5.直线、曲线、圆弧等平面轨迹示教功能</w:t>
            </w:r>
          </w:p>
          <w:p w14:paraId="51F66E9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6.具备可更换示教轨迹，不同角度斜面示教，</w:t>
            </w:r>
          </w:p>
          <w:p w14:paraId="2022672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7.白板笔直接示教，方便轨迹校对，可擦除，重复使用</w:t>
            </w:r>
          </w:p>
          <w:p w14:paraId="2959615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五、快换工具模块</w:t>
            </w:r>
          </w:p>
          <w:p w14:paraId="6051DBA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（1）工具支架：</w:t>
            </w:r>
          </w:p>
          <w:p w14:paraId="27076DD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材质：铝合金、2020 铝型材</w:t>
            </w:r>
          </w:p>
          <w:p w14:paraId="7FD1A8F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表面处理：铝合金银白氧化处理</w:t>
            </w:r>
          </w:p>
          <w:p w14:paraId="677321A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承载快换数量：≥4 个</w:t>
            </w:r>
          </w:p>
          <w:p w14:paraId="5088D0F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具有光电感应器，实时反馈工具快换工具状态</w:t>
            </w:r>
          </w:p>
          <w:p w14:paraId="1BF655B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（2）工具快换装置：</w:t>
            </w:r>
          </w:p>
          <w:p w14:paraId="5DB3EF1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快换类型：自动气动型</w:t>
            </w:r>
          </w:p>
          <w:p w14:paraId="76B977C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机器人侧：</w:t>
            </w:r>
          </w:p>
          <w:p w14:paraId="6549A79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数量：1个</w:t>
            </w:r>
          </w:p>
          <w:p w14:paraId="2930648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承载重量：5kg （max）</w:t>
            </w:r>
          </w:p>
          <w:p w14:paraId="4C49FC1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气源通路：6 路</w:t>
            </w:r>
          </w:p>
          <w:p w14:paraId="34ABC36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通讯接口：12 路</w:t>
            </w:r>
          </w:p>
          <w:p w14:paraId="743C14EC">
            <w:pPr>
              <w:widowControl/>
              <w:snapToGrid w:val="0"/>
              <w:spacing w:line="360" w:lineRule="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重量：</w:t>
            </w:r>
            <w:r>
              <w:rPr>
                <w:rFonts w:hint="eastAsia" w:ascii="宋体" w:hAnsi="宋体" w:cs="宋体"/>
                <w:color w:val="000000" w:themeColor="text1"/>
                <w:sz w:val="24"/>
                <w:szCs w:val="24"/>
                <w:highlight w:val="none"/>
                <w14:textFill>
                  <w14:solidFill>
                    <w14:schemeClr w14:val="tx1"/>
                  </w14:solidFill>
                </w14:textFill>
              </w:rPr>
              <w:t>≥250g</w:t>
            </w:r>
          </w:p>
          <w:p w14:paraId="2884C91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夹具侧：</w:t>
            </w:r>
          </w:p>
          <w:p w14:paraId="79B36D1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数量：4 个</w:t>
            </w:r>
          </w:p>
          <w:p w14:paraId="1D193E3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承载重量：5kg （max）</w:t>
            </w:r>
          </w:p>
          <w:p w14:paraId="3ED87B2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气源通路：6 路</w:t>
            </w:r>
          </w:p>
          <w:p w14:paraId="0D8DD99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通讯接口：12 路</w:t>
            </w:r>
          </w:p>
          <w:p w14:paraId="7D3441C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重量：≥115g</w:t>
            </w:r>
          </w:p>
          <w:p w14:paraId="0B92D8E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电动夹爪末端：</w:t>
            </w:r>
          </w:p>
          <w:p w14:paraId="3A363DA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数量：1 套</w:t>
            </w:r>
          </w:p>
          <w:p w14:paraId="4FC8324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气缸缸径：≥20mm</w:t>
            </w:r>
          </w:p>
          <w:p w14:paraId="422849F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运动方式：往复型</w:t>
            </w:r>
          </w:p>
          <w:p w14:paraId="4A56746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复动行程：≥10.4mm</w:t>
            </w:r>
          </w:p>
          <w:p w14:paraId="229EC86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重复定位精度：≤0.02mm</w:t>
            </w:r>
          </w:p>
          <w:p w14:paraId="22CF26F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（3）白板笔书写末端：</w:t>
            </w:r>
          </w:p>
          <w:p w14:paraId="1C5D67C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数量：1 套</w:t>
            </w:r>
          </w:p>
          <w:p w14:paraId="3DEF325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固定方式：顶针固定式，可快速更换</w:t>
            </w:r>
          </w:p>
          <w:p w14:paraId="0EF5A03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（4）模拟焊枪末端：</w:t>
            </w:r>
          </w:p>
          <w:p w14:paraId="6FECAEE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材质：铝合金</w:t>
            </w:r>
          </w:p>
          <w:p w14:paraId="066A070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外形：120°尖端弯曲，模拟真实焊枪</w:t>
            </w:r>
          </w:p>
          <w:p w14:paraId="218FE69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（5）真空吸盘手爪末端：</w:t>
            </w:r>
          </w:p>
          <w:p w14:paraId="128A6E4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吸盘数量：1 个</w:t>
            </w:r>
          </w:p>
          <w:p w14:paraId="4F2D436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吸盘类型：≥φ13mm ，风琴式</w:t>
            </w:r>
          </w:p>
          <w:p w14:paraId="160C170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吸盘杆：不可旋转，缓冲行程≥6mm，头部可安装10mm、13mm、16mm不同规格吸盘。</w:t>
            </w:r>
          </w:p>
          <w:p w14:paraId="005E7A5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六、焊接变位模块</w:t>
            </w:r>
          </w:p>
          <w:p w14:paraId="1481F96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1.控制方式：电机+气缸</w:t>
            </w:r>
          </w:p>
          <w:p w14:paraId="50C9B20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2.电机</w:t>
            </w:r>
          </w:p>
          <w:p w14:paraId="489586D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2.1电机类型：开环步进电机</w:t>
            </w:r>
          </w:p>
          <w:p w14:paraId="336417B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2.2电压/电流： DC24V/≥3.0A</w:t>
            </w:r>
          </w:p>
          <w:p w14:paraId="66D11A7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2.3电机速度范围：1～90°/s</w:t>
            </w:r>
          </w:p>
          <w:p w14:paraId="02E6B4B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2.5.限位：±360°</w:t>
            </w:r>
          </w:p>
          <w:p w14:paraId="50F2DEB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2.6.定位精度：±0.1mm</w:t>
            </w:r>
          </w:p>
          <w:p w14:paraId="42FA977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2.7.传感器数量：1</w:t>
            </w:r>
          </w:p>
          <w:p w14:paraId="5FF0DD0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2.8.传感器类型：电感式传感器</w:t>
            </w:r>
          </w:p>
          <w:p w14:paraId="4EBE9DD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3气缸</w:t>
            </w:r>
          </w:p>
          <w:p w14:paraId="23E272A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3.1气缸类型：手指气缸</w:t>
            </w:r>
          </w:p>
          <w:p w14:paraId="53A7A4F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3.2传感器数量：2</w:t>
            </w:r>
          </w:p>
          <w:p w14:paraId="0176027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3.3传感器类型：磁环式磁性开关</w:t>
            </w:r>
          </w:p>
          <w:p w14:paraId="020056E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4.模块大小：≥350*230*220</w:t>
            </w:r>
          </w:p>
          <w:p w14:paraId="3DA1720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5.响应速度：≤150ms</w:t>
            </w:r>
          </w:p>
          <w:p w14:paraId="3627461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6.机械结构介绍</w:t>
            </w:r>
          </w:p>
          <w:p w14:paraId="5F436A7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7.焊接模拟：曲面焊接</w:t>
            </w:r>
          </w:p>
          <w:p w14:paraId="69B1CA8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8.工具两用性：</w:t>
            </w:r>
          </w:p>
          <w:p w14:paraId="0C6C8BB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8.1焊接模拟 </w:t>
            </w:r>
          </w:p>
          <w:p w14:paraId="3B1FA59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8.2变位翻转台</w:t>
            </w:r>
          </w:p>
          <w:p w14:paraId="363F61A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七、装配上料模块</w:t>
            </w:r>
          </w:p>
          <w:p w14:paraId="330142A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尺寸：≥260mm *260mm *350mm</w:t>
            </w:r>
          </w:p>
          <w:p w14:paraId="673863A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仓储材质：不锈钢、铝合金、铝型材</w:t>
            </w:r>
          </w:p>
          <w:p w14:paraId="32129C6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仓储类型：双井式、弹出式，具备存储两种不同物料</w:t>
            </w:r>
          </w:p>
          <w:p w14:paraId="6F86091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弹出气缸行程：≥60mm （复动行程）</w:t>
            </w:r>
          </w:p>
          <w:p w14:paraId="53BE4B1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八、装配定位模块</w:t>
            </w:r>
          </w:p>
          <w:p w14:paraId="26E2C8F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尺寸：≥260mm *260mm *192mm</w:t>
            </w:r>
          </w:p>
          <w:p w14:paraId="202B8D5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材料：铝合金、2020 铝型材</w:t>
            </w:r>
          </w:p>
          <w:p w14:paraId="19570A7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定位方向：X、Y双向</w:t>
            </w:r>
          </w:p>
          <w:p w14:paraId="41D6EE2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定位方式：气缸定位</w:t>
            </w:r>
          </w:p>
          <w:p w14:paraId="45D0AE4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定位状态：磁性感应器</w:t>
            </w:r>
          </w:p>
          <w:p w14:paraId="68F4348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九、分拣输送线模块</w:t>
            </w:r>
          </w:p>
          <w:p w14:paraId="7ACBA47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1.尺寸：≥680mm *106mm *360mm</w:t>
            </w:r>
          </w:p>
          <w:p w14:paraId="2E7A5D2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2.输送线类型：PVC 加厚全皮带</w:t>
            </w:r>
          </w:p>
          <w:p w14:paraId="4210179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3.有效传送距离：≥420mm</w:t>
            </w:r>
          </w:p>
          <w:p w14:paraId="78A637E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4.有效皮带宽度：≥60mm</w:t>
            </w:r>
          </w:p>
          <w:p w14:paraId="4E87D0C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5.驱动方式：伺服电机</w:t>
            </w:r>
          </w:p>
          <w:p w14:paraId="34AF3C2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6.工作电压：220V</w:t>
            </w:r>
          </w:p>
          <w:p w14:paraId="64FAD0C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7.额定转速：≥3000rpm</w:t>
            </w:r>
          </w:p>
          <w:p w14:paraId="065A52D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8.编码器形式：20-bit（增量型）</w:t>
            </w:r>
          </w:p>
          <w:p w14:paraId="13D2A82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9.额定功率：≥100W</w:t>
            </w:r>
          </w:p>
          <w:p w14:paraId="2B2FB8A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10.送料形式：滑台式自动随机滑落</w:t>
            </w:r>
          </w:p>
          <w:p w14:paraId="54FC85F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十、分拣仓储模块</w:t>
            </w:r>
          </w:p>
          <w:p w14:paraId="44D2F4D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1.尺寸：≥260mm *260mm *192mm</w:t>
            </w:r>
          </w:p>
          <w:p w14:paraId="6D5F0C4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2.材料：铝合金、2020 铝型材</w:t>
            </w:r>
          </w:p>
          <w:p w14:paraId="67695B4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3.表面处理：铝合金银白氧化处理</w:t>
            </w:r>
          </w:p>
          <w:p w14:paraId="2CE0ED0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4.货位：9个，每个货位带有光电感应器</w:t>
            </w:r>
          </w:p>
          <w:p w14:paraId="1775F85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十一、视觉系统</w:t>
            </w:r>
          </w:p>
          <w:p w14:paraId="71EED04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（1）工业相机：</w:t>
            </w:r>
          </w:p>
          <w:p w14:paraId="74F4CA1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类型：≥600万彩色</w:t>
            </w:r>
          </w:p>
          <w:p w14:paraId="7235D5A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传感器类型：CMOS，卷帘快门</w:t>
            </w:r>
          </w:p>
          <w:p w14:paraId="6884639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分辨率：≥3072×2048</w:t>
            </w:r>
          </w:p>
          <w:p w14:paraId="396D84B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快门模式：具备自动曝光、手动曝光、一键曝光模式</w:t>
            </w:r>
          </w:p>
          <w:p w14:paraId="476B6D0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黑白/彩色：彩色</w:t>
            </w:r>
          </w:p>
          <w:p w14:paraId="1D6ED22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镜像：具备水平镜像</w:t>
            </w:r>
          </w:p>
          <w:p w14:paraId="096A08C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缓存容量：≥128MB</w:t>
            </w:r>
          </w:p>
          <w:p w14:paraId="16AC78F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数据接口：GigE</w:t>
            </w:r>
          </w:p>
          <w:p w14:paraId="542A659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数字 I/O：</w:t>
            </w:r>
          </w:p>
          <w:p w14:paraId="5023D13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6-pin接头提供供电和I/O</w:t>
            </w:r>
          </w:p>
          <w:p w14:paraId="1385BC7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供电：电压范围 5~ 15VDC，具备PoE供电</w:t>
            </w:r>
          </w:p>
          <w:p w14:paraId="663C3CD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功耗：≤3.5W@12VDC</w:t>
            </w:r>
          </w:p>
          <w:p w14:paraId="60A4B61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镜头接口：C-Mount</w:t>
            </w:r>
          </w:p>
          <w:p w14:paraId="686822F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重量：约68g</w:t>
            </w:r>
          </w:p>
          <w:p w14:paraId="286F233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（2）镜头：</w:t>
            </w:r>
          </w:p>
          <w:p w14:paraId="104CAE4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焦距：16mm</w:t>
            </w:r>
          </w:p>
          <w:p w14:paraId="62FA0F9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F 数：F2.8~F16</w:t>
            </w:r>
          </w:p>
          <w:p w14:paraId="1EF423F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像面尺寸：Φ9mm（1/1.8"）</w:t>
            </w:r>
          </w:p>
          <w:p w14:paraId="5DAD386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最近摄距：0.1m</w:t>
            </w:r>
          </w:p>
          <w:p w14:paraId="79A26D8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光圈操作方式：手动（锁紧结构）</w:t>
            </w:r>
          </w:p>
          <w:p w14:paraId="0B40B47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聚焦操作方式：手动（锁紧结构）</w:t>
            </w:r>
          </w:p>
          <w:p w14:paraId="29644C3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接口：C-Mount</w:t>
            </w:r>
          </w:p>
          <w:p w14:paraId="76B5E95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外形尺寸：Φ29×33.12mm</w:t>
            </w:r>
          </w:p>
          <w:p w14:paraId="02B20AC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重量：≥53g</w:t>
            </w:r>
          </w:p>
          <w:p w14:paraId="0E4632C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工作温度：-10~50℃</w:t>
            </w:r>
          </w:p>
          <w:p w14:paraId="40E626C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（3）视觉算法平台：</w:t>
            </w:r>
          </w:p>
          <w:p w14:paraId="34B93A6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集成机器视觉多种算法组件，适用多种应用场景，可快速组合算法，实现对工件或被测物的查找、测量、缺陷检测等。</w:t>
            </w:r>
          </w:p>
          <w:p w14:paraId="6C7F011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拥有强大的视觉分析工具库，包括采集、定位、测量、识别、标定、 图像处理、颜色处理、缺陷检测、逻辑工具和通信等工具可简单灵 活的搭建机器视觉应用方案。</w:t>
            </w:r>
          </w:p>
          <w:p w14:paraId="3AB97DC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采集：分为相机数据采集、本地图像采集和存储图像。</w:t>
            </w:r>
          </w:p>
          <w:p w14:paraId="7ED0CE0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定位、测量、识别、深度学习、标定、图像处理、颜色处理、缺陷 检测、逻辑工具等模块都属于视觉处理工具，可以依据方案需求来 选择相应的算法模块组合使用。</w:t>
            </w:r>
          </w:p>
          <w:p w14:paraId="486B0EC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通信：有IO通信、ModBus 协议通信和PLC 通信，IO通信仅支持视觉控制器使用。通过通信管理、数据队列等可以接受、发送 信息。支持TCP客户端、TCP服务端、UDP、串口功能丰富、性能稳定、用户操作界面友好。</w:t>
            </w:r>
          </w:p>
          <w:p w14:paraId="0B586E5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十二、旋转仓储模块</w:t>
            </w:r>
          </w:p>
          <w:p w14:paraId="040BBE6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1.尺寸：≥260mm *260mm *248mm</w:t>
            </w:r>
          </w:p>
          <w:p w14:paraId="3A201D3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2.材料：铝合金、尼龙、2020 铝型材</w:t>
            </w:r>
          </w:p>
          <w:p w14:paraId="4FB0FE3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3.表面处理：铝合金银白氧化处理</w:t>
            </w:r>
          </w:p>
          <w:p w14:paraId="171EEC1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4.货位数量：单层，共 8 个</w:t>
            </w:r>
          </w:p>
          <w:p w14:paraId="1D2EE70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5.定位方式：仿形定位，卡扣设计</w:t>
            </w:r>
          </w:p>
          <w:p w14:paraId="0B78C64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6.可更换定位板，扩展适用多种物料</w:t>
            </w:r>
          </w:p>
          <w:p w14:paraId="6A0E3D7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7.旋转动力：电机伺服电机</w:t>
            </w:r>
          </w:p>
          <w:p w14:paraId="1AED59D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8.工作电压：220V</w:t>
            </w:r>
          </w:p>
          <w:p w14:paraId="7BC38BC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9.额定转速：≥3000rpm</w:t>
            </w:r>
          </w:p>
          <w:p w14:paraId="6F11D81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10.编码器形式：20-bit （增量型）</w:t>
            </w:r>
          </w:p>
          <w:p w14:paraId="2C9EE58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11.额定功率：≥100W</w:t>
            </w:r>
          </w:p>
          <w:p w14:paraId="1ECAFB8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12.感应方式：具有仓储位置感应器和物料有无感应器，实现实时控制和监控仓储状态</w:t>
            </w:r>
          </w:p>
          <w:p w14:paraId="6FA593C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十三、码垛平台模块</w:t>
            </w:r>
          </w:p>
          <w:p w14:paraId="4FB77BE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1.尺寸：≥260mm *260mm *192mm</w:t>
            </w:r>
          </w:p>
          <w:p w14:paraId="23AEF90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2.材料：铝合金、2020 铝型材</w:t>
            </w:r>
          </w:p>
          <w:p w14:paraId="4C8665B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3.表面处理：铝合金银白氧化处理</w:t>
            </w:r>
          </w:p>
          <w:p w14:paraId="02597A5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4.采用码垛栈板平面设计，具备多种垛型</w:t>
            </w:r>
          </w:p>
          <w:p w14:paraId="11956D4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十四、电气控制模块</w:t>
            </w:r>
          </w:p>
          <w:p w14:paraId="3D861A5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1.PLC 可编程控制器：输入点数：12个，输出点数：10个，装载存储器内存：4MB，编程语言：LAD，FBD，STL，SCL，GRAPH，额定电源电压：DC 24V，集成 PROFINET接口，用于编程、HMI 通信和PLC间的通信；支持10/100Mbit/s 的数据传输速率，通信协议支持：PROFINET、TCP/IP、SNMP、DCP、LLDP、ISO-on-TCP、 UDP、Modbus、S7 等通信协议，PROFIBUS、AS 接口通信扩展可支持 ，快插拔式平台电控面板平：台将所有设备的通讯接线端根据模块功能统一转接至平台平面， 通过航插线缆实现电气接口模块与各功能模块之间的电气连接与信息传输，航插线缆两端均可实现快速插拔。</w:t>
            </w:r>
          </w:p>
          <w:p w14:paraId="0A34E72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2.人机交互触摸屏：尺寸：≥7 寸，分辨率：≥1024×600，触摸屏：电阻式，输入电压：24±20%VDC，内存：≥128M，背光灯：LED，串行接口：COM1（RS232） ，COM2（RS485），产品认证：CE/FCC，防护等级：≥IP65（前面板），电磁兼容（工业三级），继电板：≥650mm ×525mm，厚≥1.5mm，直流电源2个：24VDC，2.2A/4.5A，带有安全断路器，继电器，短接排等电气元件。</w:t>
            </w:r>
          </w:p>
          <w:p w14:paraId="7DD027B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十五、实训教学资源</w:t>
            </w:r>
          </w:p>
          <w:p w14:paraId="245237A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提供协作机器人免编程焊接实训设备的实训教学资源，包含5个实训项目的PPT课件1套，实训实操视频1套。</w:t>
            </w:r>
          </w:p>
          <w:p w14:paraId="770EADD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十六、实验室管理系统</w:t>
            </w:r>
          </w:p>
          <w:p w14:paraId="63433405">
            <w:pPr>
              <w:widowControl/>
              <w:snapToGrid w:val="0"/>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■本平台将无线传输、信息处理等物联网技术应用用于自动化远程控制。设备端运行状态、数据参数等上传至云平台。物联网系统的传感层、传输层和应用层关联掌握数据与分析数据。</w:t>
            </w:r>
          </w:p>
          <w:p w14:paraId="03EFB702">
            <w:pPr>
              <w:widowControl/>
              <w:snapToGrid w:val="0"/>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（1）电压、电流等模拟量数据显示。</w:t>
            </w:r>
          </w:p>
          <w:p w14:paraId="20A8AC51">
            <w:pPr>
              <w:widowControl/>
              <w:snapToGrid w:val="0"/>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（2）输入开关监控，输出开关等数字量控制。</w:t>
            </w:r>
          </w:p>
          <w:p w14:paraId="09A18F3A">
            <w:pPr>
              <w:widowControl/>
              <w:snapToGrid w:val="0"/>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（3）远程控制启停状态，给定输出电压值的。</w:t>
            </w:r>
          </w:p>
          <w:p w14:paraId="1E269A0F">
            <w:pPr>
              <w:widowControl/>
              <w:snapToGrid w:val="0"/>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（4）显示输入输出电压值的历史数据</w:t>
            </w:r>
          </w:p>
          <w:p w14:paraId="32C425BC">
            <w:pPr>
              <w:widowControl/>
              <w:snapToGrid w:val="0"/>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（5）可按照日期、日间进行查询历史数进行查询。</w:t>
            </w:r>
          </w:p>
          <w:p w14:paraId="658C81CF">
            <w:pPr>
              <w:widowControl/>
              <w:snapToGrid w:val="0"/>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6）报警信号为PLC主机模拟量采集数值或者开关量可以自由设定，如当模拟量输入超过设定电压时产生报警，通过物联网自动化应用软件将报警信号上传到云平台，通过云平台向设置的终端推送报警信号，每台设备可对应多个终端设备。</w:t>
            </w:r>
          </w:p>
          <w:p w14:paraId="331CBFE1">
            <w:pPr>
              <w:widowControl/>
              <w:snapToGrid w:val="0"/>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（7）通过手机端可以实现远程控制PLC的输出及监视PLC的输入状态变化。</w:t>
            </w:r>
          </w:p>
          <w:p w14:paraId="42AFE7CF">
            <w:pPr>
              <w:widowControl/>
              <w:snapToGrid w:val="0"/>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（8）数据显示画面：画面显示输入电压数值，输出电压监控，开关状态输入，开关控制输出，以及云端连接二维码。</w:t>
            </w:r>
          </w:p>
          <w:p w14:paraId="5BACFFB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（9）联网设置界面：设置现场数据连接云平台后台数据库管理。</w:t>
            </w:r>
          </w:p>
          <w:p w14:paraId="476398C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十七、智能电源管理系统</w:t>
            </w:r>
          </w:p>
          <w:p w14:paraId="48DD64E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实训室总体智能电源管理系统由主电路、控制电路、检测保护电路、显示电路、语音报警电路等组成，整个实验室配置一套管理系统。</w:t>
            </w:r>
          </w:p>
          <w:p w14:paraId="13E8E69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主要功能：</w:t>
            </w:r>
          </w:p>
          <w:p w14:paraId="332C5CE6">
            <w:pPr>
              <w:widowControl/>
              <w:snapToGrid w:val="0"/>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■1.上电系统自测</w:t>
            </w:r>
          </w:p>
          <w:p w14:paraId="5F935DBC">
            <w:pPr>
              <w:widowControl/>
              <w:snapToGrid w:val="0"/>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（1）主电路及控制电路上电后对线路系统进行输入电压的过压、欠压；线路对地漏电；输出负载过流的检测，任一故障存在电源输出断开。</w:t>
            </w:r>
          </w:p>
          <w:p w14:paraId="0FF1E1AA">
            <w:pPr>
              <w:widowControl/>
              <w:snapToGrid w:val="0"/>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（2）故障内容有相应文字显示。</w:t>
            </w:r>
          </w:p>
          <w:p w14:paraId="125F4EC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（3）对故障进行语音报警。</w:t>
            </w:r>
          </w:p>
          <w:p w14:paraId="578F190C">
            <w:pPr>
              <w:widowControl/>
              <w:snapToGrid w:val="0"/>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■2.运行检测保护</w:t>
            </w:r>
          </w:p>
          <w:p w14:paraId="713E8242">
            <w:pPr>
              <w:widowControl/>
              <w:snapToGrid w:val="0"/>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（1）输入过压、欠压、输出过流、漏电，任一故障出现将自动跳闸，实施保护。</w:t>
            </w:r>
          </w:p>
          <w:p w14:paraId="4519E456">
            <w:pPr>
              <w:widowControl/>
              <w:snapToGrid w:val="0"/>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（2）对故障进行语音报警。</w:t>
            </w:r>
          </w:p>
          <w:p w14:paraId="7A69819A">
            <w:pPr>
              <w:widowControl/>
              <w:snapToGrid w:val="0"/>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（3）保护阀值可进行现场设置。</w:t>
            </w:r>
          </w:p>
          <w:p w14:paraId="589F17A9">
            <w:pPr>
              <w:widowControl/>
              <w:snapToGrid w:val="0"/>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■3.漏电功能测试</w:t>
            </w:r>
          </w:p>
          <w:p w14:paraId="35C47CD9">
            <w:pPr>
              <w:widowControl/>
              <w:snapToGrid w:val="0"/>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（1）按下漏电测试按钮，装置会自动提供一个漏电测试信号，使保护器跳闸。</w:t>
            </w:r>
          </w:p>
          <w:p w14:paraId="2F98DB0F">
            <w:pPr>
              <w:widowControl/>
              <w:snapToGrid w:val="0"/>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（2）重新进行上电进入自己检测状态，文字显示“开机检测中....”，无故障情况下，实训室智能电源管理系统恢复供电。</w:t>
            </w:r>
          </w:p>
          <w:p w14:paraId="52804956">
            <w:pPr>
              <w:widowControl/>
              <w:snapToGrid w:val="0"/>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■4.过压保护</w:t>
            </w:r>
          </w:p>
          <w:p w14:paraId="6FA6DDEE">
            <w:pPr>
              <w:widowControl/>
              <w:snapToGrid w:val="0"/>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（1）运行中，出现输入过压，实训室智能电源管理系统将跳闸。</w:t>
            </w:r>
          </w:p>
          <w:p w14:paraId="55357A95">
            <w:pPr>
              <w:widowControl/>
              <w:snapToGrid w:val="0"/>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（2）对应的“过压相”进行文字显示。</w:t>
            </w:r>
          </w:p>
          <w:p w14:paraId="3313020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（3）语音播报“线路过压，请注意”。</w:t>
            </w:r>
          </w:p>
          <w:p w14:paraId="08895A3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5.过流保护</w:t>
            </w:r>
          </w:p>
          <w:p w14:paraId="3297A30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（1）运行中，三相电源中任一相出现过流，实训室智能电源管理系统将跳闸。</w:t>
            </w:r>
          </w:p>
          <w:p w14:paraId="4FE5AC1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（2）对应的“过流相”进行文字提示。</w:t>
            </w:r>
          </w:p>
          <w:p w14:paraId="5F99BE3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（3）语音播报“线路过流，请注意”</w:t>
            </w:r>
          </w:p>
          <w:p w14:paraId="68E044C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6．漏电保护</w:t>
            </w:r>
          </w:p>
          <w:p w14:paraId="2BF1DA7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（1）运行中，三相中任一相出现漏电，实训室智能电源管理系统将跳闸。</w:t>
            </w:r>
          </w:p>
          <w:p w14:paraId="0749F87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（2）对“漏电”进行文字显示。</w:t>
            </w:r>
          </w:p>
          <w:p w14:paraId="133450F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（3）语音播报“线路漏电，请注意”。</w:t>
            </w:r>
          </w:p>
          <w:p w14:paraId="0BEF78A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7.电源监控</w:t>
            </w:r>
          </w:p>
          <w:p w14:paraId="18059DC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（1）可对各相电压进行数值显示及曲线显示，显示精度±5V</w:t>
            </w:r>
          </w:p>
          <w:p w14:paraId="49B46F6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（2）可对各相电流进行数值显示及曲线显示，显示精度±0.1A</w:t>
            </w:r>
          </w:p>
          <w:p w14:paraId="09FF1E4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（3）高压保护电压设置：</w:t>
            </w:r>
          </w:p>
          <w:p w14:paraId="11255B6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①设置范围&lt;300V，输入1A；</w:t>
            </w:r>
          </w:p>
          <w:p w14:paraId="4D6EFE2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②动作时间：2-5S，输入单位0.1S</w:t>
            </w:r>
          </w:p>
          <w:p w14:paraId="012F35D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（4）欠压保护电压设置：</w:t>
            </w:r>
          </w:p>
          <w:p w14:paraId="7C9052A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①设置范围：&gt;154V，输入单位1V</w:t>
            </w:r>
          </w:p>
          <w:p w14:paraId="5AE2501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②动作时间：2-5S，输入单位0.1S</w:t>
            </w:r>
          </w:p>
          <w:p w14:paraId="7566059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（5）过流保护电流设置：</w:t>
            </w:r>
          </w:p>
          <w:p w14:paraId="5600DB3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①设置范围：&lt;20A,输入单位0.01A；</w:t>
            </w:r>
          </w:p>
          <w:p w14:paraId="74BB203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②动作时间：0.5-2S，输入单位0.1S</w:t>
            </w:r>
          </w:p>
        </w:tc>
        <w:tc>
          <w:tcPr>
            <w:tcW w:w="184" w:type="pct"/>
            <w:tcBorders>
              <w:top w:val="single" w:color="auto" w:sz="4" w:space="0"/>
              <w:left w:val="nil"/>
              <w:bottom w:val="single" w:color="auto" w:sz="4" w:space="0"/>
              <w:right w:val="single" w:color="auto" w:sz="4" w:space="0"/>
            </w:tcBorders>
            <w:vAlign w:val="center"/>
          </w:tcPr>
          <w:p w14:paraId="3A6E327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p>
        </w:tc>
        <w:tc>
          <w:tcPr>
            <w:tcW w:w="184" w:type="pct"/>
            <w:tcBorders>
              <w:top w:val="single" w:color="auto" w:sz="4" w:space="0"/>
              <w:left w:val="nil"/>
              <w:bottom w:val="single" w:color="auto" w:sz="4" w:space="0"/>
              <w:right w:val="single" w:color="auto" w:sz="4" w:space="0"/>
            </w:tcBorders>
            <w:vAlign w:val="center"/>
          </w:tcPr>
          <w:p w14:paraId="7C3A8D18">
            <w:pPr>
              <w:widowControl/>
              <w:snapToGrid w:val="0"/>
              <w:spacing w:line="360" w:lineRule="auto"/>
              <w:rPr>
                <w:rFonts w:hint="eastAsia" w:ascii="宋体" w:hAnsi="宋体" w:cs="宋体"/>
                <w:color w:val="000000" w:themeColor="text1"/>
                <w:sz w:val="24"/>
                <w:szCs w:val="24"/>
                <w14:textFill>
                  <w14:solidFill>
                    <w14:schemeClr w14:val="tx1"/>
                  </w14:solidFill>
                </w14:textFill>
              </w:rPr>
            </w:pPr>
          </w:p>
        </w:tc>
      </w:tr>
      <w:tr w14:paraId="5DB1BCB7">
        <w:tblPrEx>
          <w:tblCellMar>
            <w:top w:w="0" w:type="dxa"/>
            <w:left w:w="108" w:type="dxa"/>
            <w:bottom w:w="0" w:type="dxa"/>
            <w:right w:w="108" w:type="dxa"/>
          </w:tblCellMar>
        </w:tblPrEx>
        <w:trPr>
          <w:trHeight w:val="288" w:hRule="atLeast"/>
        </w:trPr>
        <w:tc>
          <w:tcPr>
            <w:tcW w:w="181" w:type="pct"/>
            <w:tcBorders>
              <w:top w:val="single" w:color="auto" w:sz="4" w:space="0"/>
              <w:left w:val="single" w:color="auto" w:sz="4" w:space="0"/>
              <w:bottom w:val="single" w:color="auto" w:sz="4" w:space="0"/>
              <w:right w:val="single" w:color="auto" w:sz="4" w:space="0"/>
            </w:tcBorders>
            <w:vAlign w:val="center"/>
          </w:tcPr>
          <w:p w14:paraId="798C409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w:t>
            </w:r>
          </w:p>
        </w:tc>
        <w:tc>
          <w:tcPr>
            <w:tcW w:w="717" w:type="pct"/>
            <w:tcBorders>
              <w:top w:val="single" w:color="auto" w:sz="4" w:space="0"/>
              <w:left w:val="nil"/>
              <w:bottom w:val="single" w:color="auto" w:sz="4" w:space="0"/>
              <w:right w:val="single" w:color="auto" w:sz="4" w:space="0"/>
            </w:tcBorders>
            <w:vAlign w:val="center"/>
          </w:tcPr>
          <w:p w14:paraId="2FFE6B6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▲自动化恒力打磨实训装备</w:t>
            </w:r>
          </w:p>
        </w:tc>
        <w:tc>
          <w:tcPr>
            <w:tcW w:w="3732" w:type="pct"/>
            <w:tcBorders>
              <w:top w:val="single" w:color="auto" w:sz="4" w:space="0"/>
              <w:left w:val="single" w:color="auto" w:sz="4" w:space="0"/>
              <w:bottom w:val="single" w:color="auto" w:sz="4" w:space="0"/>
              <w:right w:val="single" w:color="auto" w:sz="4" w:space="0"/>
            </w:tcBorders>
            <w:vAlign w:val="center"/>
          </w:tcPr>
          <w:p w14:paraId="4E7FC9A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一、主机架（桌面平台单元）</w:t>
            </w:r>
          </w:p>
          <w:p w14:paraId="21DFDE0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1.规格：≥1800mm*1200mm*800mm，工业铝型材搭建，钣金表面喷塑处理,带脚轮、脚杯。</w:t>
            </w:r>
          </w:p>
          <w:p w14:paraId="5853888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2.三色报警灯  1个</w:t>
            </w:r>
          </w:p>
          <w:p w14:paraId="00DCB2D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3.三联件油水分离器</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cs="宋体"/>
                <w:color w:val="000000" w:themeColor="text1"/>
                <w:sz w:val="24"/>
                <w:szCs w:val="24"/>
                <w14:textFill>
                  <w14:solidFill>
                    <w14:schemeClr w14:val="tx1"/>
                  </w14:solidFill>
                </w14:textFill>
              </w:rPr>
              <w:t>1套</w:t>
            </w:r>
          </w:p>
          <w:p w14:paraId="3F12461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4.机器人固定座</w:t>
            </w:r>
          </w:p>
          <w:p w14:paraId="44157A4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二、工业机器人单元</w:t>
            </w:r>
          </w:p>
          <w:p w14:paraId="34B1548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1.工业机器人本体</w:t>
            </w:r>
          </w:p>
          <w:p w14:paraId="454958E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1.1 六自由度串联关节型工业机器人</w:t>
            </w:r>
          </w:p>
          <w:p w14:paraId="5FA25BA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1.2手腕负载≥4kg</w:t>
            </w:r>
          </w:p>
          <w:p w14:paraId="5C73DF3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1.3最大臂展≥596mm</w:t>
            </w:r>
          </w:p>
          <w:p w14:paraId="2498254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1.4 本体重量≤32kg</w:t>
            </w:r>
          </w:p>
          <w:p w14:paraId="48E2FD5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1.5 重复定位精度≤±0.02mm</w:t>
            </w:r>
          </w:p>
          <w:p w14:paraId="7E3E8A6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1.6手腕设有≥8路集成信号源，≥4路集成气源</w:t>
            </w:r>
          </w:p>
          <w:p w14:paraId="7A7107F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1.7各关节最大运行速度为，1轴≥440°/s，2轴≥355°/s，3轴≥440°/s，4轴≥490°/s，5轴≥450°/s，6轴≥720°/s</w:t>
            </w:r>
          </w:p>
          <w:p w14:paraId="0B9125A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1.8各关节工作角度范围为，1轴±170°，2轴+144°~-80°，3轴+54°~-194°，4轴±170°，5轴±119°，6轴±360°</w:t>
            </w:r>
          </w:p>
          <w:p w14:paraId="3F78CEB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1.9手腕允许最大负载力矩为，4轴≥4.59Nm，5轴≥4.59Nm，6轴≥3.1Nm</w:t>
            </w:r>
          </w:p>
          <w:p w14:paraId="2EF7C29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1.10 手腕允许最大负载惯量为，4轴≥0.2kgm²，5轴≥0.2 kgm²，6轴≥0.08 kgm²</w:t>
            </w:r>
          </w:p>
          <w:p w14:paraId="0E5AB58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1.11 驱动组件采用高性能伺服电机，所有部件已安装到本体上。</w:t>
            </w:r>
          </w:p>
          <w:p w14:paraId="67B3929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1.12各轴均采用谐波减速器，已安装到本体上。</w:t>
            </w:r>
          </w:p>
          <w:p w14:paraId="473889E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2.工业机器人控制系统</w:t>
            </w:r>
          </w:p>
          <w:p w14:paraId="47260E7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2.1供电为220V交流电,50HZ。</w:t>
            </w:r>
          </w:p>
          <w:p w14:paraId="0732715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2.2运动控制方面：控制器以全动力学模型为基础，机器人保证在不同速度下运动轨迹均一致。</w:t>
            </w:r>
          </w:p>
          <w:p w14:paraId="2934CC0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3.示教器显示器参数：彩色触摸屏幕，急停按钮、模式选择开关（自动、手动），一个USB2.0外部接口，防护等级≥IP65。</w:t>
            </w:r>
          </w:p>
          <w:p w14:paraId="66555B6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4.提供完备的电路保护，包括安全开关、紧急停止、过载保护等。</w:t>
            </w:r>
          </w:p>
          <w:p w14:paraId="320E94C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5.通信具备EtherCAT、ProfiNET、Ethernet/IP等。</w:t>
            </w:r>
          </w:p>
          <w:p w14:paraId="5E75252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三、第七轴模块</w:t>
            </w:r>
          </w:p>
          <w:p w14:paraId="24B9856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1.控制方式：滚珠丝杆</w:t>
            </w:r>
          </w:p>
          <w:p w14:paraId="53EA390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2.电机类型 ：伺服</w:t>
            </w:r>
          </w:p>
          <w:p w14:paraId="2BDB2C2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3.功率/供电：伺服驱动器： 驱动功率≥750W/伺服电机：功率≥750W</w:t>
            </w:r>
          </w:p>
          <w:p w14:paraId="23FF572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4.编码器：多圈17位磁编码器</w:t>
            </w:r>
          </w:p>
          <w:p w14:paraId="5589DE4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5.模块大小：≥800*150*95mm</w:t>
            </w:r>
          </w:p>
          <w:p w14:paraId="708228E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6.电机速度：第七轴允许速度200mm/s 电机最大速度3000rpm</w:t>
            </w:r>
          </w:p>
          <w:p w14:paraId="2381761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7.有效行程：500mm</w:t>
            </w:r>
          </w:p>
          <w:p w14:paraId="5F08AA0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8.定位精度：±0.1mm</w:t>
            </w:r>
          </w:p>
          <w:p w14:paraId="2092EBE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9.传感器：光电传感器</w:t>
            </w:r>
          </w:p>
          <w:p w14:paraId="316AAD9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10.响应速度：≤0.1S</w:t>
            </w:r>
          </w:p>
          <w:p w14:paraId="39AE849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11.功能：第七轴模组可实现多工位的位置移动，以满足机台模块的工作</w:t>
            </w:r>
          </w:p>
          <w:p w14:paraId="7AF2F96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四、装配单元</w:t>
            </w:r>
          </w:p>
          <w:p w14:paraId="240198A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功能：由井式送料模块、输送带模块、装配固定模块组成，配置可移动/固定式底板。将工件从送料模块送出到输送带运行至末端由机器人夹取搬运至装配固定气缸上进行装配操作。可实现送料、检测、运输、搬运、装配等实训操作</w:t>
            </w:r>
          </w:p>
          <w:p w14:paraId="7C31B7A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2.井式送料模块有双轴气缸1只、电磁阀1个、磁开关1个、光纤传感器1个，配置标准安装机构</w:t>
            </w:r>
          </w:p>
          <w:p w14:paraId="504491A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3.输送带模块由三相异步电机1个、末端感应传感器及输送带标准配置安装机构组成</w:t>
            </w:r>
          </w:p>
          <w:p w14:paraId="36145F8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4.装配固定模块由指夹气缸1只、电磁阀1个、磁开关1个及安装支架组成，标准电气接口</w:t>
            </w:r>
          </w:p>
          <w:p w14:paraId="68582AD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五、原料单元</w:t>
            </w:r>
          </w:p>
          <w:p w14:paraId="541DB0C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1.功能：放置装配工件，由机器人将此工件原料搬运至装配固定模块上进行装配操作。</w:t>
            </w:r>
          </w:p>
          <w:p w14:paraId="08FE46D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2.M12圆柱形传感器9只，配置标准安装机构及移动式底板，标准电气接口</w:t>
            </w:r>
          </w:p>
          <w:p w14:paraId="3D5D6BB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六、轨迹运动单元</w:t>
            </w:r>
          </w:p>
          <w:p w14:paraId="6AE0D07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1.功能：可实现 TCP标定，坐标系建立，不同形状轨迹的示教编程和离线编程</w:t>
            </w:r>
          </w:p>
          <w:p w14:paraId="33D3F25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2.涂胶模块是将工业机器人对产品装配前的涂胶工艺进行功能抽象化，工业机器人抓持涂胶工具沿涂胶面板上不同轮廓轨迹运动，模拟涂胶工艺，保证工艺真实性同时增加教学可行性和趣味性</w:t>
            </w:r>
          </w:p>
          <w:p w14:paraId="632063C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3.主要由轨迹板、安装支架、移动式底板组成</w:t>
            </w:r>
          </w:p>
          <w:p w14:paraId="661CC36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七、仓库单元</w:t>
            </w:r>
          </w:p>
          <w:p w14:paraId="5C14D83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1.功能：立柜式仓库模块可为码垛模块、装配模块成品工件或其他模块工件提供放置空</w:t>
            </w:r>
          </w:p>
          <w:p w14:paraId="3E2772A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2.立体仓库：存储自动装配工件；仓位数量：≥3列3层9个；仓位承重：≥2Kg；仓位尺寸：≥100mm*70mm*80mm；外形尺寸：≥350mm*180mm*450mm；工件种类：≥3种9个；</w:t>
            </w:r>
          </w:p>
          <w:p w14:paraId="2DD21A2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3.工件模块包括自动装配母件、子件等</w:t>
            </w:r>
          </w:p>
          <w:p w14:paraId="4CB9546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八、视觉单元</w:t>
            </w:r>
          </w:p>
          <w:p w14:paraId="057C224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1.功能：配合机器人对工件进行分析、检测、定位等，将信号传给机器人指示下一步动作</w:t>
            </w:r>
          </w:p>
          <w:p w14:paraId="3AFD379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2.视觉系统采用工业CCD相机 200万像素，工业镜头，LED光源，可对物料位置、颜色、瑕疵、斑点等信息进行检测</w:t>
            </w:r>
          </w:p>
          <w:p w14:paraId="48A8228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3.和机器人总线通讯（注机器人系统要具备有总线通讯功能，如果不具备则采用IO通讯）</w:t>
            </w:r>
          </w:p>
          <w:p w14:paraId="577AEB4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九、码垛单元</w:t>
            </w:r>
          </w:p>
          <w:p w14:paraId="14C5ED0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1.功能：由方形井式送料机构、码垛底盘组成，工件由送料机构送出，机器人将工件搬运到码垛底盘上进行码垛操作</w:t>
            </w:r>
          </w:p>
          <w:p w14:paraId="4FEB31A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2.由双轴气缸1只、电磁阀1个、磁开关1个、光纤传感器2个，并配置标准安装机构，移动式底板，标准电气接口</w:t>
            </w:r>
          </w:p>
          <w:p w14:paraId="75A58A9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十、快换工具单元</w:t>
            </w:r>
          </w:p>
          <w:p w14:paraId="26A184C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1.功能：由4种夹具组成，配合机器人使用作搬运、涂胶、焊接、码垛等用途</w:t>
            </w:r>
          </w:p>
          <w:p w14:paraId="7EF35DA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2.配置快换公头1个、快换母头4个、搬运夹具2套、涂胶夹具1套、焊接工具1套、电磁阀3个，并标准固定机构，移动式底板</w:t>
            </w:r>
          </w:p>
          <w:p w14:paraId="2341A4EB">
            <w:pPr>
              <w:widowControl/>
              <w:snapToGrid w:val="0"/>
              <w:spacing w:line="360" w:lineRule="auto"/>
              <w:rPr>
                <w:rFonts w:hint="eastAsia" w:ascii="宋体" w:hAnsi="宋体" w:cs="宋体"/>
                <w:color w:val="000000" w:themeColor="text1"/>
                <w:sz w:val="24"/>
                <w:szCs w:val="24"/>
                <w14:textFill>
                  <w14:solidFill>
                    <w14:schemeClr w14:val="tx1"/>
                  </w14:solidFill>
                </w14:textFill>
              </w:rPr>
            </w:pPr>
            <w:bookmarkStart w:id="9" w:name="OLE_LINK9"/>
            <w:r>
              <w:rPr>
                <w:rFonts w:hint="eastAsia" w:ascii="宋体" w:hAnsi="宋体" w:cs="宋体"/>
                <w:color w:val="000000" w:themeColor="text1"/>
                <w:sz w:val="24"/>
                <w:szCs w:val="24"/>
                <w14:textFill>
                  <w14:solidFill>
                    <w14:schemeClr w14:val="tx1"/>
                  </w14:solidFill>
                </w14:textFill>
              </w:rPr>
              <w:t>十一、恒力打磨单元</w:t>
            </w:r>
          </w:p>
          <w:p w14:paraId="1D1C7CC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功能：24V减速打磨执行机构，滑台气缸，压力传感器，精密压力调节阀等组成，当执行打磨作业时，压力传感器，实时反馈压力大小，机器人根据压力大小，调整工件进给量</w:t>
            </w:r>
          </w:p>
          <w:bookmarkEnd w:id="9"/>
          <w:p w14:paraId="74D7A87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十二、RFID识别单元</w:t>
            </w:r>
          </w:p>
          <w:p w14:paraId="50CE117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每个传输工装板上都安装有RFID标签，在每个工位物料都需要进行识读操作，与PLC进行总线通讯并将信息通过串口网络传输给服务器，实时的跟踪物料位置信息和仓储位置信息，做到物料、成品、半成品的可追溯性管理。主要技术参数：</w:t>
            </w:r>
          </w:p>
          <w:p w14:paraId="72EABDC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1.模块结构</w:t>
            </w:r>
          </w:p>
          <w:p w14:paraId="5C76089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 外形尺寸（长×宽×高）：≥250*200*59mm</w:t>
            </w:r>
          </w:p>
          <w:p w14:paraId="1B0BA85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 适配标准实训台定位安装</w:t>
            </w:r>
          </w:p>
          <w:p w14:paraId="229B372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 读写器参数：</w:t>
            </w:r>
          </w:p>
          <w:p w14:paraId="7D43E6A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 通讯接口：RS422或RS485</w:t>
            </w:r>
          </w:p>
          <w:p w14:paraId="13263B3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 通讯协议：Modbus-RTU</w:t>
            </w:r>
          </w:p>
          <w:p w14:paraId="14B7A63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 工作频率/额定值：13.56MHz</w:t>
            </w:r>
          </w:p>
          <w:p w14:paraId="20F88CF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 作用范围/最大值：≥140mm</w:t>
            </w:r>
          </w:p>
          <w:p w14:paraId="6B83EDD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 传输率/无线电传输时/最大值：106kbit/s</w:t>
            </w:r>
          </w:p>
          <w:p w14:paraId="3918028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 电子标签参数：</w:t>
            </w:r>
          </w:p>
          <w:p w14:paraId="70DE5CA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 数量：≥10</w:t>
            </w:r>
          </w:p>
          <w:p w14:paraId="2AFCD19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 用户区内存：1024bit</w:t>
            </w:r>
          </w:p>
          <w:p w14:paraId="18DA563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 尺寸：Φ24×3mm</w:t>
            </w:r>
          </w:p>
          <w:p w14:paraId="5D6A599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 工作频率：13.56MHz</w:t>
            </w:r>
          </w:p>
          <w:p w14:paraId="5A9A9B5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 固定类型：带背胶</w:t>
            </w:r>
          </w:p>
          <w:p w14:paraId="4742F00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 感应距离：2～20mm</w:t>
            </w:r>
          </w:p>
          <w:p w14:paraId="5BE0E26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十三、编程单元</w:t>
            </w:r>
          </w:p>
          <w:p w14:paraId="2012859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1.PLC编程软件</w:t>
            </w:r>
          </w:p>
          <w:p w14:paraId="16CB49E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2.HMI组态软件</w:t>
            </w:r>
          </w:p>
          <w:p w14:paraId="6AC7220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3.视觉组态软件</w:t>
            </w:r>
          </w:p>
          <w:p w14:paraId="36D3551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4.智能制造生产线虚拟仿真系统软件</w:t>
            </w:r>
          </w:p>
          <w:p w14:paraId="1747945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5.云智能实验室安全管理系统</w:t>
            </w:r>
          </w:p>
          <w:p w14:paraId="2FC0317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十四、HMI交互单元</w:t>
            </w:r>
          </w:p>
          <w:p w14:paraId="25E928F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功能：由触摸屏及按钮指示灯组成，对整套系统进行控制及指示作用。人机界面触摸屏1台、按钮4只，及配备机构安装支架</w:t>
            </w:r>
          </w:p>
          <w:p w14:paraId="24756C5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十五、PLC控制单元</w:t>
            </w:r>
          </w:p>
          <w:p w14:paraId="13D0936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功能：网孔板安装，由PLC、变频器等控制系统组成。</w:t>
            </w:r>
          </w:p>
          <w:p w14:paraId="3920C1E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1.主机数字量14 点输入/10 点输出，模拟量 2 路输入，1 个以太网通信端口；配套PC/MPI编程电缆</w:t>
            </w:r>
          </w:p>
          <w:p w14:paraId="6FB7778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2.电源：直流 20.4-28.8V DC</w:t>
            </w:r>
          </w:p>
          <w:p w14:paraId="163365D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3.单相漏电保护开关  1个</w:t>
            </w:r>
          </w:p>
          <w:p w14:paraId="4BB5E11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4.交流接触器  1个</w:t>
            </w:r>
          </w:p>
          <w:p w14:paraId="7FBA67B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5.熔断器溶体 1套</w:t>
            </w:r>
          </w:p>
          <w:p w14:paraId="3F79A23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6.继电器+底座 4套</w:t>
            </w:r>
          </w:p>
          <w:p w14:paraId="403E1C4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7.绿色接线端子 5个  </w:t>
            </w:r>
          </w:p>
          <w:p w14:paraId="2AFCAA8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8.编程线1套</w:t>
            </w:r>
          </w:p>
          <w:p w14:paraId="35D22E4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9.变频器1套</w:t>
            </w:r>
          </w:p>
          <w:p w14:paraId="6CE1AA8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10.1-2个分布式I/O  </w:t>
            </w:r>
          </w:p>
          <w:p w14:paraId="699DFC6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11.具备ProfiNet总线</w:t>
            </w:r>
          </w:p>
          <w:p w14:paraId="637436A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12.外部按钮控制装置</w:t>
            </w:r>
          </w:p>
          <w:p w14:paraId="49E24AB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十六、气泵单元</w:t>
            </w:r>
          </w:p>
          <w:p w14:paraId="75F7A2C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气动三联件1套及各单元气动回路</w:t>
            </w:r>
          </w:p>
          <w:p w14:paraId="52E8597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十七、工件</w:t>
            </w:r>
          </w:p>
          <w:p w14:paraId="3388883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圆柱形外装配工件9个、圆柱形内装配工件9个、方形码垛工件12个、焊接/打磨工件10个</w:t>
            </w:r>
          </w:p>
          <w:p w14:paraId="6DD714A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十八、气电快插模块</w:t>
            </w:r>
          </w:p>
          <w:p w14:paraId="19CFC95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配置航空插1个，气动快换插头1个，安装在各单元模块上方便快速对接</w:t>
            </w:r>
          </w:p>
          <w:p w14:paraId="1C91E56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十九、通用电气接口套件</w:t>
            </w:r>
          </w:p>
          <w:p w14:paraId="624986D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电气接口模块、数字量扩展模块、模拟量扩展模块</w:t>
            </w:r>
          </w:p>
          <w:p w14:paraId="5EC3966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二十、工业机器人工艺编程软件</w:t>
            </w:r>
          </w:p>
          <w:p w14:paraId="46EEE7E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（1）仿真系统具备ABB、KUKA，Fanuc、安川、新松、埃夫特、广州数控、熊猫、斯陶比尔、UR（优傲）、傲博等多种机器人，提供50种以上的各品牌机器人模型和大量生产线组件库；</w:t>
            </w:r>
          </w:p>
          <w:p w14:paraId="6204FAA2">
            <w:pPr>
              <w:widowControl/>
              <w:snapToGrid w:val="0"/>
              <w:spacing w:line="360" w:lineRule="auto"/>
              <w:rPr>
                <w:rFonts w:hint="eastAsia" w:ascii="宋体" w:hAnsi="宋体" w:cs="宋体"/>
                <w:color w:val="000000" w:themeColor="text1"/>
                <w:sz w:val="24"/>
                <w:szCs w:val="24"/>
                <w14:textFill>
                  <w14:solidFill>
                    <w14:schemeClr w14:val="tx1"/>
                  </w14:solidFill>
                </w14:textFill>
              </w:rPr>
            </w:pPr>
            <w:bookmarkStart w:id="10" w:name="OLE_LINK10"/>
            <w:r>
              <w:rPr>
                <w:rFonts w:hint="eastAsia" w:ascii="宋体" w:hAnsi="宋体" w:cs="宋体"/>
                <w:b/>
                <w:bCs/>
                <w:color w:val="000000" w:themeColor="text1"/>
                <w:sz w:val="24"/>
                <w:szCs w:val="24"/>
                <w14:textFill>
                  <w14:solidFill>
                    <w14:schemeClr w14:val="tx1"/>
                  </w14:solidFill>
                </w14:textFill>
              </w:rPr>
              <w:t>■（2）具备多种格式的三维CAD模型，可导入扩展名为step、igs、stl等格式；</w:t>
            </w:r>
          </w:p>
          <w:p w14:paraId="6D45EB2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（3）可通过导入CAD模型快速生成运动组件，并对组件特征树进行操作和修改；</w:t>
            </w:r>
          </w:p>
          <w:p w14:paraId="4FF0447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■（4）具备关节型机器人、Delta（空间三自由度并联机构机器人）、SCARA（平面关节型机器人）、直角坐标等各种结构的机器人模型和工艺仿真功能；</w:t>
            </w:r>
          </w:p>
          <w:bookmarkEnd w:id="10"/>
          <w:p w14:paraId="76A5228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允许通过专用的模板和程序语言定制各种机器人和自动化工具的运动控制。算法具备包含3-5轴的通用机床、3-6个旋转轴的串联，并联，双臂，AGV小车，等机器人及生产线上对应的工装夹具，传送带，变位机，导轨等辅助设备；</w:t>
            </w:r>
          </w:p>
          <w:p w14:paraId="7D6A17F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（6）提供工业机器人虚拟教学模块，能够通过虚拟示教器对机器人的手动操作以及程序代码的自动运行，也能直连客户指定的实际示教器；</w:t>
            </w:r>
          </w:p>
          <w:p w14:paraId="5BD8D45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（7）提供强大的API功能支持，允许开展大量机器人机构的自动化应用。可进行仿真和应用于程序机器人取放物体和应用于复杂的多机器人同步运动等；</w:t>
            </w:r>
          </w:p>
          <w:p w14:paraId="0F4C9F9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（8）包含丰富的轨迹调整优化工具包，如碰撞检查、工业机器人可达性、姿态奇异点、轴超限等；</w:t>
            </w:r>
          </w:p>
          <w:p w14:paraId="402E71D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■（9）具备多机器人同步运动仿真，能够实现5个及以上机器人与外部轴的同步运动；</w:t>
            </w:r>
          </w:p>
          <w:p w14:paraId="064F963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（10）具有自动化生产线仿真功能，包含码垛机、AGV小车、串联机器人在内的功能模块；</w:t>
            </w:r>
          </w:p>
          <w:p w14:paraId="52E4ECC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■（11）真实的模拟效果（如焊接火花效果、喷漆上色效果、雕刻效果）；</w:t>
            </w:r>
          </w:p>
          <w:p w14:paraId="56AE0AC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（12）提供多视角的观察，并可实现运动视角镜头追踪；</w:t>
            </w:r>
          </w:p>
          <w:p w14:paraId="0B185FD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（13）具备虚拟传感器的建模与仿真，具备视觉，激光距离，力传感等传感器的仿真，效果接近真实传感器的效果；</w:t>
            </w:r>
          </w:p>
          <w:p w14:paraId="0C86CD7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14）场景中的物理实体具有真实世界中的物体的物理效果，可以进行碰撞检测并具备刚体运动的效果，具备设置重力，摩擦系数等参数能力，并能根据这些参数模拟物体的真实运动效果，用户可以按照真实世界中的逻辑对场景进行建模，减少了建模的复杂性。</w:t>
            </w:r>
          </w:p>
          <w:p w14:paraId="3E5BD6F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（15）具有离线编程功能，具备ABB，三菱，Fanuc，安川，川崎等品牌机器人的代码；</w:t>
            </w:r>
          </w:p>
          <w:p w14:paraId="6E961FE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（16）可生成仿真运动视频（AVI或者Mp4格式）并导出。</w:t>
            </w:r>
          </w:p>
          <w:p w14:paraId="04CC404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二十一、数字孪生技术实训系统</w:t>
            </w:r>
          </w:p>
          <w:p w14:paraId="369F6B0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软件为力图打破国外垄断的国产自主研发虚拟仿真软件，非国外仿真软件底座进行的二次开发软件，且应具备著作权证书等权属文件。</w:t>
            </w:r>
          </w:p>
          <w:p w14:paraId="2AE4DDE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1、模型库</w:t>
            </w:r>
          </w:p>
          <w:p w14:paraId="0195DA6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1.1模型库中的总数模量不少于3000种，可参数化模型不少于600种，按照不同的功能可分为9大类，包含机器人、供料装置、移料装置、工艺装置、辅助装置、基础几何体等。</w:t>
            </w:r>
          </w:p>
          <w:p w14:paraId="6B0FF1C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w:t>
            </w:r>
            <w:r>
              <w:rPr>
                <w:rFonts w:hint="eastAsia" w:ascii="宋体" w:hAnsi="宋体" w:cs="宋体"/>
                <w:b/>
                <w:bCs/>
                <w:color w:val="000000" w:themeColor="text1"/>
                <w:sz w:val="24"/>
                <w:szCs w:val="24"/>
                <w14:textFill>
                  <w14:solidFill>
                    <w14:schemeClr w14:val="tx1"/>
                  </w14:solidFill>
                </w14:textFill>
              </w:rPr>
              <w:t>1.2参数化模型软件中的输送线、模组机器人等模型可通过手动输入或滑动阈值范围的方式来对尺寸、类型、方向等参数进行模型适配。参数化不仅包括模型长宽高的变化，也包括结构形式的变化。参数化后的模型具备的功能与原模型一致且参数化后依旧保持该模型的真实性和专业性。</w:t>
            </w:r>
          </w:p>
          <w:p w14:paraId="1515A2C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1.3用户可通过模型编辑器自行导⼊模型并编辑，实现模型的仿真建模，形成用户专用库。具备FBX，STP，STEP，GLB，OBJ，STL等常规格式。</w:t>
            </w:r>
          </w:p>
          <w:p w14:paraId="2094B88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1.4导入模型可进行自动的轻，中，高级别的轻量化，也可按尺寸进行模型选取删除来减小场景，以此保证场景的流畅运行；软件还可通过手动方式，快速根据模型大小选择零件，进行小零件的快速提取、合并、删除。</w:t>
            </w:r>
          </w:p>
          <w:p w14:paraId="0A23862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w:t>
            </w:r>
            <w:r>
              <w:rPr>
                <w:rFonts w:hint="eastAsia" w:ascii="宋体" w:hAnsi="宋体" w:cs="宋体"/>
                <w:b/>
                <w:bCs/>
                <w:color w:val="000000" w:themeColor="text1"/>
                <w:sz w:val="24"/>
                <w:szCs w:val="24"/>
                <w14:textFill>
                  <w14:solidFill>
                    <w14:schemeClr w14:val="tx1"/>
                  </w14:solidFill>
                </w14:textFill>
              </w:rPr>
              <w:t>1.5在个人中心，用户能够上传自定义的3D模型，并将其导入到特定场景中。系统采用先进的AI技术自动识别模型中的各类设备组件，基于这一智能分析，平台将从现有的丰富模型库中为用户提供高度匹配或功能相似的替代方案建议，以加速项目开发流程。</w:t>
            </w:r>
          </w:p>
          <w:p w14:paraId="4E4B096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2、产线搭建</w:t>
            </w:r>
          </w:p>
          <w:p w14:paraId="3159641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2.1可以创建包含物理规律的虚拟环境，能模仿现实生活中的物理现象，如：轮差速、重力、弹性碰撞等，物理属性设置中包含关于材料密度、摩擦力、线性阻尼及角度阻尼等参数。</w:t>
            </w:r>
          </w:p>
          <w:p w14:paraId="7E016DC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2.2线性阵列和环形阵列功能，能快速阵列多个物体在指定位置。方便用户快速复用已有模型组合；软件具备点线面测量功能，可保证模型与模型间的组合精度测量。</w:t>
            </w:r>
          </w:p>
          <w:p w14:paraId="2CD821C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2.3机器人末端工具拆装，内置常用模型组件的搭配关系，在进行诸如工具末端匹配，机器⼈与地台搭配的场景，软件会自适应的找到最佳组合位置，用户只需要拖拽到合适的位置就可以进行模型关系的组合动作。</w:t>
            </w:r>
          </w:p>
          <w:p w14:paraId="5007C84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■2.4软件系统具备场景树功能，虚拟场景中产线构成的所有模块，可在场景树中按照模块展开进行分类，同时可以一键生成BOM清单并导出，BOM清单内容包括但不限于设备名称、设备型号、设备数量等信息。</w:t>
            </w:r>
          </w:p>
          <w:p w14:paraId="14611EC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■2.5接入AI搭建产线功能，手动输入“请搭建一条汽车焊接生产线”，关键词触发后，AI模块介入可自动搭建一条汽车焊接相关产线，且AI大模型接口可开发，师生可自行开发。</w:t>
            </w:r>
          </w:p>
          <w:p w14:paraId="5E421D7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3、产线验证</w:t>
            </w:r>
          </w:p>
          <w:p w14:paraId="3CB758F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■3.1具备场景中的数据采集，如产能，状态，机器人，空间利用率，节拍等；用户可以依据需求拖入需要采集的内容。</w:t>
            </w:r>
          </w:p>
          <w:p w14:paraId="1490919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3.2碰撞检测：软件中具备对机器人的防碰撞预警，可对其周围的模型进行碰撞检测。</w:t>
            </w:r>
          </w:p>
          <w:p w14:paraId="112494D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w:t>
            </w:r>
            <w:r>
              <w:rPr>
                <w:rFonts w:hint="eastAsia" w:ascii="宋体" w:hAnsi="宋体" w:cs="宋体"/>
                <w:b/>
                <w:bCs/>
                <w:color w:val="000000" w:themeColor="text1"/>
                <w:sz w:val="24"/>
                <w:szCs w:val="24"/>
                <w14:textFill>
                  <w14:solidFill>
                    <w14:schemeClr w14:val="tx1"/>
                  </w14:solidFill>
                </w14:textFill>
              </w:rPr>
              <w:t>3.3智能避障：平台具备智能避障功能，能够基于预设的即关键位置点进行自动避障轨迹规划，这一功能特别适用于复杂的工作环境，提高了焊接过程的安全性和精度。此外，平台还具备双机器人在干涉区域的互锁信号自动添加，当两个机器人在同一工作区域内操作时，系统会自动检测并生成互锁信号，防止碰撞和干涉，保证作业流程的顺畅与安全。</w:t>
            </w:r>
          </w:p>
          <w:p w14:paraId="1640A50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4、仿真编程</w:t>
            </w:r>
          </w:p>
          <w:p w14:paraId="185BF124">
            <w:pPr>
              <w:widowControl/>
              <w:wordWrap w:val="0"/>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4.1示教编程：软件具备低代码编程，包含常用的运动指令与逻辑指令，PTP/LIN/IF/WHILE/WAIT/ASSIGN/SETLO等20多种指令模式；指令的执行同时具备顺序执行与并行扫描；具备信号变量的定义、设置、映射、监控。</w:t>
            </w:r>
          </w:p>
          <w:p w14:paraId="7E692BD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4.2软件中具有以下仿真功能及对应属性：示教功能模块，机器人类型模型具备该功能；变量管理面板；IO模块管理面板；关节速度、加速度设置；机器人运动学，机器人运动学控制算法；用户坐标系；工具坐标系；零位设置；笛卡尔坐标系速度、加速度设置。</w:t>
            </w:r>
          </w:p>
          <w:p w14:paraId="169E08FD">
            <w:pPr>
              <w:widowControl/>
              <w:snapToGrid w:val="0"/>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w:t>
            </w:r>
            <w:r>
              <w:rPr>
                <w:rFonts w:hint="eastAsia" w:ascii="宋体" w:hAnsi="宋体" w:cs="宋体"/>
                <w:b/>
                <w:bCs/>
                <w:color w:val="000000" w:themeColor="text1"/>
                <w:sz w:val="24"/>
                <w:szCs w:val="24"/>
                <w14:textFill>
                  <w14:solidFill>
                    <w14:schemeClr w14:val="tx1"/>
                  </w14:solidFill>
                </w14:textFill>
              </w:rPr>
              <w:t>4.3轨迹规划：软件具备智能轨迹规划算法，用户可对机器人进行施工工艺下的智能轨迹规划。该功能下，用户可自行导入材料类型或拖拽公共库中的物料模型作为对象。用户能够在材料上选择想要进行施工作业的点/线，并依据轨迹自动生成机器人的程序。</w:t>
            </w:r>
          </w:p>
          <w:p w14:paraId="7B99DB2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w:t>
            </w:r>
            <w:r>
              <w:rPr>
                <w:rFonts w:hint="eastAsia" w:ascii="宋体" w:hAnsi="宋体" w:cs="宋体"/>
                <w:b/>
                <w:bCs/>
                <w:color w:val="000000" w:themeColor="text1"/>
                <w:sz w:val="24"/>
                <w:szCs w:val="24"/>
                <w14:textFill>
                  <w14:solidFill>
                    <w14:schemeClr w14:val="tx1"/>
                  </w14:solidFill>
                </w14:textFill>
              </w:rPr>
              <w:t>4.4点线轨迹编辑：平台提供强大的点线轨迹编辑功能，具备焊点投影、公共边提取以及曲线点平滑等操作。用户可以精确地定义和调整焊接点的位置，并通过焊点投影确保其在三维空间中的准确性。</w:t>
            </w:r>
          </w:p>
          <w:p w14:paraId="3E419B2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5、虚拟调试</w:t>
            </w:r>
          </w:p>
          <w:p w14:paraId="04014E7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5.1具有ABB、KUKA、FANUC、安川等机器人品牌的虚拟示教器示教功能，能够通过虚拟示教器实现对机器人的手动操作以及程序代码的编辑和运行。</w:t>
            </w:r>
          </w:p>
          <w:p w14:paraId="3CF0322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5.2</w:t>
            </w:r>
            <w:r>
              <w:rPr>
                <w:rFonts w:hint="eastAsia" w:ascii="宋体" w:hAnsi="宋体" w:cs="宋体"/>
                <w:color w:val="000000" w:themeColor="text1"/>
                <w:szCs w:val="21"/>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软件还支持多类型的通信协议，可实现与主流品牌 PLC 信号交互，包含西门子、 三菱、汇川等，支持 ModbusTCP，OPCUA，S7 等总线通讯协议。</w:t>
            </w:r>
          </w:p>
          <w:p w14:paraId="411FCCF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w:t>
            </w:r>
            <w:r>
              <w:rPr>
                <w:rFonts w:hint="eastAsia" w:ascii="宋体" w:hAnsi="宋体" w:cs="宋体"/>
                <w:b/>
                <w:bCs/>
                <w:color w:val="000000" w:themeColor="text1"/>
                <w:sz w:val="24"/>
                <w:szCs w:val="24"/>
                <w14:textFill>
                  <w14:solidFill>
                    <w14:schemeClr w14:val="tx1"/>
                  </w14:solidFill>
                </w14:textFill>
              </w:rPr>
              <w:t>5.3数字孪生功能：用户通过导入或库中的模型搭建场景，绑定对外变量，可实现实机信号驱动虚拟场景，也可实现虚拟场景驱动实机场景进行动作；通讯延迟低于100ms；虚拟场景的动作可以依据实机信号驱动，实机变量状态可被虚拟场景改变。</w:t>
            </w:r>
          </w:p>
          <w:p w14:paraId="4C24793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5.4PLC程序导出：具备程序导出生成功能，特别是针对西门子PLC的工程文件导出。用户可以将配置好的控制逻辑以标准的工程文件形式导出，包括OB（组织块）、FB（函数块）和DB（数据块）等关键组件。</w:t>
            </w:r>
          </w:p>
          <w:p w14:paraId="1831FA9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6、二次开发</w:t>
            </w:r>
          </w:p>
          <w:p w14:paraId="6841875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6.1机器人二次开发：用户可自行通过Python\matlab进行机器人运动控制算法的二次开发，开发后的算法可以与软件进行打通，实现机器人的运动控制。二次开发算法支持实现机器人的关节、空间示教。</w:t>
            </w:r>
          </w:p>
          <w:p w14:paraId="699B9E2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6.2机器人遥控板：软件具备机器人遥控界面，界面内包含机器人的遥控交互界面，可通过关节、空间等方式进行遥控操作，遥控板具备关节速度、笛卡尔速度、步进值的调整。遥控板可以同时遥控虚拟场景六轴机器人和真实六轴机器人硬件。</w:t>
            </w:r>
          </w:p>
          <w:p w14:paraId="7C2C379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6.3</w:t>
            </w:r>
            <w:r>
              <w:rPr>
                <w:rFonts w:hint="eastAsia" w:ascii="宋体" w:hAnsi="宋体" w:cs="宋体"/>
                <w:sz w:val="24"/>
                <w:szCs w:val="24"/>
              </w:rPr>
              <w:t>★</w:t>
            </w:r>
            <w:r>
              <w:rPr>
                <w:rFonts w:hint="eastAsia" w:ascii="宋体" w:hAnsi="宋体" w:cs="宋体"/>
                <w:b/>
                <w:bCs/>
                <w:color w:val="000000" w:themeColor="text1"/>
                <w:sz w:val="24"/>
                <w:szCs w:val="24"/>
                <w14:textFill>
                  <w14:solidFill>
                    <w14:schemeClr w14:val="tx1"/>
                  </w14:solidFill>
                </w14:textFill>
              </w:rPr>
              <w:t>软件具备扩展：为用户提供一套开放的接口，便于用户与系统数据交互，实现深度定制和二次开发。提供C#，python等API接口及案例工程包；可通过编程的形式进行驱动场景模型，也可通过扩展虚实仿真功能</w:t>
            </w:r>
            <w:r>
              <w:rPr>
                <w:rFonts w:hint="eastAsia"/>
                <w:color w:val="000000" w:themeColor="text1"/>
                <w14:textFill>
                  <w14:solidFill>
                    <w14:schemeClr w14:val="tx1"/>
                  </w14:solidFill>
                </w14:textFill>
              </w:rPr>
              <w:t>。</w:t>
            </w:r>
          </w:p>
          <w:p w14:paraId="4473D78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7、教学产线案例</w:t>
            </w:r>
          </w:p>
          <w:p w14:paraId="6F1B85A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软件系统界面包含案例库模块，包含光伏、3C、激光、锂电、汽车、仓储物流等六大场景的成熟案例应用不少于20个：</w:t>
            </w:r>
          </w:p>
          <w:p w14:paraId="321B1FC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（1）光伏接线盒虚拟仿真教学场景</w:t>
            </w:r>
          </w:p>
          <w:p w14:paraId="0148AB2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（2）光伏排版机虚拟仿真教学场景</w:t>
            </w:r>
          </w:p>
          <w:p w14:paraId="1441025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（3）涂胶锁附工作站虚拟仿真教学场景</w:t>
            </w:r>
          </w:p>
          <w:p w14:paraId="1EFC6F1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（4）伺服电机线总装虚拟仿真教学场景</w:t>
            </w:r>
          </w:p>
          <w:p w14:paraId="53F195F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（5）机床自动上下料连线虚拟仿真教学场景</w:t>
            </w:r>
          </w:p>
          <w:p w14:paraId="33904D4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（6）动力锂电池pack线虚拟仿真教学场景</w:t>
            </w:r>
          </w:p>
          <w:p w14:paraId="34B9BA5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（7）搬运 A to B虚拟仿真教学场景</w:t>
            </w:r>
          </w:p>
          <w:p w14:paraId="15E06E7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（8）钣金搬运虚拟仿真教学场景</w:t>
            </w:r>
          </w:p>
          <w:p w14:paraId="11CCB04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（9）电子产品仓储物流系统虚拟仿真教学场景</w:t>
            </w:r>
          </w:p>
          <w:p w14:paraId="1B11CE3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（10）光伏串焊机虚拟仿真教学场景</w:t>
            </w:r>
          </w:p>
          <w:p w14:paraId="3572E87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（11）发动机去毛刺工作站虚拟仿真教学场景</w:t>
            </w:r>
          </w:p>
          <w:p w14:paraId="4F2CEC2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（12）电机组装线虚拟仿真教学场景</w:t>
            </w:r>
          </w:p>
          <w:p w14:paraId="4B535B4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（13）双机协同虚拟仿真教学场景</w:t>
            </w:r>
          </w:p>
          <w:p w14:paraId="0F9C7E6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（14）双机焊接虚拟仿真教学场景</w:t>
            </w:r>
          </w:p>
          <w:p w14:paraId="20E8E03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（15）锂膜包装线虚拟仿真教学场景</w:t>
            </w:r>
          </w:p>
          <w:p w14:paraId="0F24999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（16）叶轮站虚拟仿真教学场景</w:t>
            </w:r>
          </w:p>
          <w:p w14:paraId="5782788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（17）物流搬运-码垛虚拟仿真教学场景</w:t>
            </w:r>
          </w:p>
          <w:p w14:paraId="6E64AAA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（18）车身侧围焊接搬运虚拟仿真教学场景</w:t>
            </w:r>
          </w:p>
          <w:p w14:paraId="22A8223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（19）U型光伏硅片上下料产线虚拟仿真教学场景</w:t>
            </w:r>
          </w:p>
          <w:p w14:paraId="36815A8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（20）汽车配件焊接工站虚拟仿真教学场景</w:t>
            </w:r>
          </w:p>
          <w:p w14:paraId="0FB344D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二十二、云智能实验室安全管理系统</w:t>
            </w:r>
          </w:p>
          <w:p w14:paraId="644AF40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系统由主电路、控制电路、检测保护电路、显示电路、云平台数据收发器、云平台智能管理网站、云组态软件、大数据云平台记录等组成，实现无线传输、信息处理等物联网技术应用于自动化远程控制。设备端运行状态、数据参数等上传至云平台。物联网系统的传感层、传输层和应用层关联掌握数据与分析数据整个实验室配置一套管理系统。</w:t>
            </w:r>
          </w:p>
          <w:p w14:paraId="38108FF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（1）主要功能：</w:t>
            </w:r>
          </w:p>
          <w:p w14:paraId="2DA6C78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丰富的数据处理功能，自定义算法，对实验室的主要数据状态进行24小时实时监控。</w:t>
            </w:r>
          </w:p>
          <w:p w14:paraId="07ED259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1.1可使用可支持：TCP自定义协议、UDP自定义协议、MODBUS RTU协议、MODBUS TCP协议、TP500 JSON协议、MQTT协议、CoAP协议、HJ212协议、电信IoT协议。</w:t>
            </w:r>
          </w:p>
          <w:p w14:paraId="5720119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1.2每一台云网管理设备都有唯一的网络地址，可以使用云网组态软件，随意布局参数，显示方式与内容，需要用户名与地址分配。</w:t>
            </w:r>
          </w:p>
          <w:p w14:paraId="0D310EB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1.3通过手机、IPAD、PC远程监控和分析测量数据可以实现远程控制所控驱动设备并及监视传感器状态变化。</w:t>
            </w:r>
          </w:p>
          <w:p w14:paraId="399E142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（2）可对设备的移动进行监控 </w:t>
            </w:r>
          </w:p>
          <w:p w14:paraId="4DA58EB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2.1可对实时监控的设备移动进行监控，监控精度达到±3米。</w:t>
            </w:r>
          </w:p>
          <w:p w14:paraId="64BAE7C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2.2通过网云平台实时查看所处地图点位、经纬度和现在所处地名。</w:t>
            </w:r>
          </w:p>
          <w:p w14:paraId="6E4A9D2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（3）可对监控数据的周期规律进行记录。</w:t>
            </w:r>
          </w:p>
          <w:p w14:paraId="1CEFCE9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3.1可对历史数据进行记录，并列表分析规律。</w:t>
            </w:r>
          </w:p>
          <w:p w14:paraId="1FE6EB3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3.2数据最大记录存储空间可达到10TB</w:t>
            </w:r>
          </w:p>
          <w:p w14:paraId="746F05A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（4）可选择丰富的检测类型与控制方式</w:t>
            </w:r>
          </w:p>
          <w:p w14:paraId="729B0E7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4.1可进行数字量与模拟量的信号采集。</w:t>
            </w:r>
          </w:p>
          <w:p w14:paraId="1DFCE37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4.2 可通过工业网络PROFINET、ETHERNET/IP、Modbus、232等通讯方式进行信号采集与传输。</w:t>
            </w:r>
          </w:p>
          <w:p w14:paraId="1427C3D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4.3 可对主线温度进行实时监控与曲线显示，显示精度±1°</w:t>
            </w:r>
          </w:p>
          <w:p w14:paraId="66DB9A3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4.4可对各相电压进行数值显示及曲线显示，显示精度±5V</w:t>
            </w:r>
          </w:p>
          <w:p w14:paraId="780E48D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4.5可对各相电流进行数值显示及曲线显示，显示精度±0.5A</w:t>
            </w:r>
          </w:p>
          <w:p w14:paraId="2898C23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4.6 可对空气湿度、污染程度（PM2.5）进行检测，对多雨或扬尘天气的设备保护提供帮助。</w:t>
            </w:r>
          </w:p>
          <w:p w14:paraId="7293E41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（5）实时保护，语音报警</w:t>
            </w:r>
          </w:p>
          <w:p w14:paraId="3BDF7B9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5.1运行中，三相中任一相出现漏电，实训室智能电源管理系统将跳闸。</w:t>
            </w:r>
          </w:p>
          <w:p w14:paraId="156EC2C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5.2运行中，三相中任一相出现过流，实训室智能电源管理系统将语音报警，报警为“线路过流，请注意”。</w:t>
            </w:r>
          </w:p>
          <w:p w14:paraId="31ECF75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5.3运行中，三相中任一相出现欠压、超压，实训室智能电源管理系统将语音报警，报警为“线路过压，请注意”。</w:t>
            </w:r>
          </w:p>
          <w:p w14:paraId="3AFA964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（6）实时监控</w:t>
            </w:r>
          </w:p>
          <w:p w14:paraId="3CBE8AB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6.1可以通过手机或个人终端查看实时画面，</w:t>
            </w:r>
          </w:p>
          <w:p w14:paraId="131779C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6.2并且可以设定手机报警功能，主要包括移动侦测报警、声音异常报警等。</w:t>
            </w:r>
          </w:p>
          <w:p w14:paraId="6F4427C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6.3当摄像头监控区域内出现异常情况时，如有人闯入或发出异常声音，会立即通过APP向用户发送报警信息。</w:t>
            </w:r>
          </w:p>
          <w:p w14:paraId="0034D37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二十三、工业自动化控制实训系统</w:t>
            </w:r>
          </w:p>
          <w:p w14:paraId="2D086F0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通过本系统软件了解组成智能制造生产线的电气、气动、PLC等元件的工作原理并对机电系统的设计、分析进行虚拟仿真。通过选择元件利用符合绘制二维回路图或利用三维模型在系统内实现智能制造的动作而进行虚拟仿真。本系统不仅实现工厂的三维仿真使虚拟现实仿真更加逼真，而且把通过仿真验证的控制逻辑单元可用作监视及控制模块，使能够实现并行工程及软件、硬件的并行设计。</w:t>
            </w:r>
          </w:p>
          <w:p w14:paraId="54FBEDA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仿真基本模块包括：</w:t>
            </w:r>
          </w:p>
          <w:p w14:paraId="4C9EE3B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1、反馈控制和顺序控制系统</w:t>
            </w:r>
          </w:p>
          <w:p w14:paraId="16544C0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2、指示灯的与门（AND）控制</w:t>
            </w:r>
          </w:p>
          <w:p w14:paraId="6B394FB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3、物品传送装置</w:t>
            </w:r>
          </w:p>
          <w:p w14:paraId="4F68F95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4、单向气缸控制</w:t>
            </w:r>
          </w:p>
          <w:p w14:paraId="54E16E2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5、双缸联动控制</w:t>
            </w:r>
          </w:p>
          <w:p w14:paraId="0A98696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6、带式输送装置系统</w:t>
            </w:r>
          </w:p>
          <w:p w14:paraId="4746C9B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7、滚筒式输送装置系统</w:t>
            </w:r>
          </w:p>
          <w:p w14:paraId="6EC0475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8、指示灯顺序闪烁回路</w:t>
            </w:r>
          </w:p>
          <w:p w14:paraId="3BC9D95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9、自动控制标记打印操作控制</w:t>
            </w:r>
          </w:p>
          <w:p w14:paraId="2C56EFF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10、电梯控制</w:t>
            </w:r>
          </w:p>
          <w:p w14:paraId="0945B02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11、气压控制移动装置</w:t>
            </w:r>
          </w:p>
          <w:p w14:paraId="1D9C5E0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12、工业机器人控制</w:t>
            </w:r>
          </w:p>
          <w:p w14:paraId="2809796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13、带式传送带实习装置</w:t>
            </w:r>
          </w:p>
          <w:p w14:paraId="0DB12B8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14、气压传动流水线实验装置</w:t>
            </w:r>
          </w:p>
          <w:p w14:paraId="0FBC2E1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二十四、工业机器人恒力打磨课程资源课件一套，ppt格式，图文结合，包含以下内容</w:t>
            </w:r>
          </w:p>
          <w:p w14:paraId="4E22287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（1）工业机器人的概述：工业机器人的定义、发展与应用、基本组成及技术参数、工业机器人的分类；</w:t>
            </w:r>
          </w:p>
          <w:p w14:paraId="3959360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工业机器人的机械系统：工业机器人的1轴结构、工业机器人的2轴结构、工业机器人的3轴结构、工业机器人的4轴结构、工业机器人的5轴结构、工业机器人的6轴结构、工业机器人的机身结构、工业机器人的行走结构、工业机器人的驱动装置和传动单元；</w:t>
            </w:r>
          </w:p>
          <w:p w14:paraId="109554D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（3）工业打磨的痛点分析；</w:t>
            </w:r>
          </w:p>
          <w:p w14:paraId="2ECCF46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（4）恒力打磨系统的硬件组成；</w:t>
            </w:r>
          </w:p>
          <w:p w14:paraId="14483D7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工业机器人的编程：工业机器人的编程方式、工业机器人的示教编程、工业机器人的编程语言、工业机器人的语言系统结构和基本功能、常用工业机器人编程语言、工业机器人的离线编程、工业机器人的离线编程仿真软件及编程示例；</w:t>
            </w:r>
          </w:p>
          <w:p w14:paraId="21516D0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（6）打磨工艺的核心参数、不同材质工件的打磨工艺差异、恒力打磨的路径规划原则、打磨过程中的参数优化；</w:t>
            </w:r>
          </w:p>
          <w:p w14:paraId="3C33F13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（7）行业应用案例：分享汽车发动机缸体去毛刺案例、3C 手机中框恒力抛光案例</w:t>
            </w:r>
          </w:p>
          <w:p w14:paraId="3B4E93D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二十五、PLC编程进阶课程课件一套，ppt格式，图文结合，包含以下内容：</w:t>
            </w:r>
          </w:p>
          <w:p w14:paraId="64C291D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1、结构化编程，组织块（OB）、功能块（FB）、功能（FC）、数据块（DB）的使用</w:t>
            </w:r>
          </w:p>
          <w:p w14:paraId="4B68C1D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2、常见指令的应用、HMI的应用</w:t>
            </w:r>
          </w:p>
          <w:p w14:paraId="0805EF8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3、PLC的Modbus通信、USS通信、S7通信Profinet通讯</w:t>
            </w:r>
          </w:p>
          <w:p w14:paraId="5E84E43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4、PLC控制变频器、步进电机、伺服驱动、工艺运动轴、PID的配置</w:t>
            </w:r>
          </w:p>
          <w:p w14:paraId="3C83FCF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（4）中型自动化生产线的设计</w:t>
            </w:r>
          </w:p>
        </w:tc>
        <w:tc>
          <w:tcPr>
            <w:tcW w:w="184" w:type="pct"/>
            <w:tcBorders>
              <w:top w:val="single" w:color="auto" w:sz="4" w:space="0"/>
              <w:left w:val="nil"/>
              <w:bottom w:val="single" w:color="auto" w:sz="4" w:space="0"/>
              <w:right w:val="single" w:color="auto" w:sz="4" w:space="0"/>
            </w:tcBorders>
            <w:vAlign w:val="center"/>
          </w:tcPr>
          <w:p w14:paraId="66FEDDE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w:t>
            </w:r>
          </w:p>
        </w:tc>
        <w:tc>
          <w:tcPr>
            <w:tcW w:w="184" w:type="pct"/>
            <w:tcBorders>
              <w:top w:val="single" w:color="auto" w:sz="4" w:space="0"/>
              <w:left w:val="nil"/>
              <w:bottom w:val="single" w:color="auto" w:sz="4" w:space="0"/>
              <w:right w:val="single" w:color="auto" w:sz="4" w:space="0"/>
            </w:tcBorders>
            <w:vAlign w:val="center"/>
          </w:tcPr>
          <w:p w14:paraId="2B1875F9">
            <w:pPr>
              <w:widowControl/>
              <w:snapToGrid w:val="0"/>
              <w:spacing w:line="360" w:lineRule="auto"/>
              <w:rPr>
                <w:rFonts w:hint="eastAsia" w:ascii="宋体" w:hAnsi="宋体" w:cs="宋体"/>
                <w:color w:val="000000" w:themeColor="text1"/>
                <w:sz w:val="24"/>
                <w:szCs w:val="24"/>
                <w14:textFill>
                  <w14:solidFill>
                    <w14:schemeClr w14:val="tx1"/>
                  </w14:solidFill>
                </w14:textFill>
              </w:rPr>
            </w:pPr>
          </w:p>
        </w:tc>
      </w:tr>
      <w:tr w14:paraId="1837B141">
        <w:tblPrEx>
          <w:tblCellMar>
            <w:top w:w="0" w:type="dxa"/>
            <w:left w:w="108" w:type="dxa"/>
            <w:bottom w:w="0" w:type="dxa"/>
            <w:right w:w="108" w:type="dxa"/>
          </w:tblCellMar>
        </w:tblPrEx>
        <w:trPr>
          <w:trHeight w:val="288" w:hRule="atLeast"/>
        </w:trPr>
        <w:tc>
          <w:tcPr>
            <w:tcW w:w="181" w:type="pct"/>
            <w:tcBorders>
              <w:top w:val="single" w:color="auto" w:sz="4" w:space="0"/>
              <w:left w:val="single" w:color="auto" w:sz="4" w:space="0"/>
              <w:bottom w:val="single" w:color="auto" w:sz="4" w:space="0"/>
              <w:right w:val="single" w:color="auto" w:sz="4" w:space="0"/>
            </w:tcBorders>
            <w:vAlign w:val="center"/>
          </w:tcPr>
          <w:p w14:paraId="4D3A39C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w:t>
            </w:r>
          </w:p>
        </w:tc>
        <w:tc>
          <w:tcPr>
            <w:tcW w:w="2033" w:type="dxa"/>
            <w:tcBorders>
              <w:top w:val="single" w:color="auto" w:sz="4" w:space="0"/>
              <w:left w:val="nil"/>
              <w:bottom w:val="single" w:color="auto" w:sz="4" w:space="0"/>
              <w:right w:val="single" w:color="auto" w:sz="4" w:space="0"/>
            </w:tcBorders>
            <w:vAlign w:val="center"/>
          </w:tcPr>
          <w:p w14:paraId="6C65D5A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机器视觉基础实训台</w:t>
            </w:r>
          </w:p>
        </w:tc>
        <w:tc>
          <w:tcPr>
            <w:tcW w:w="3732" w:type="pct"/>
            <w:tcBorders>
              <w:top w:val="single" w:color="auto" w:sz="4" w:space="0"/>
              <w:left w:val="single" w:color="auto" w:sz="4" w:space="0"/>
              <w:bottom w:val="single" w:color="auto" w:sz="4" w:space="0"/>
              <w:right w:val="single" w:color="auto" w:sz="4" w:space="0"/>
            </w:tcBorders>
            <w:vAlign w:val="center"/>
          </w:tcPr>
          <w:p w14:paraId="192C961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基本描述：由机器视觉采集前端、图形化机器视觉软件、检测样品与相关教学资源组成。需便于携带，适用于机器视觉通识课程教学和练习，可以让学生掌握机器视觉基本硬件的原理、使用场景、使用方法、调试方法，进行基本的图像处理。配置图形化软件集成开发环境，快速搭建实训体系，零基础入门机器视觉。</w:t>
            </w:r>
          </w:p>
          <w:p w14:paraId="6404073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1.工业相机</w:t>
            </w:r>
          </w:p>
          <w:p w14:paraId="3A1684C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（1）分辨率：≥1280*1024。</w:t>
            </w:r>
          </w:p>
          <w:p w14:paraId="78178E5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（2）帧率：≥60fps。</w:t>
            </w:r>
          </w:p>
          <w:p w14:paraId="701D872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（3）靶面：≥1/2”。</w:t>
            </w:r>
          </w:p>
          <w:p w14:paraId="3415CEF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（4）像元：≥4.8μm。</w:t>
            </w:r>
          </w:p>
          <w:p w14:paraId="1D77AB2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（5）供电方式：12V，支持PoE供电。</w:t>
            </w:r>
          </w:p>
          <w:p w14:paraId="70DFC08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（6）支持自动或手动调节增益、曝光时间、Gamma校正、LUT等。</w:t>
            </w:r>
          </w:p>
          <w:p w14:paraId="3061406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（7）具备镜像输出，支持Binning模式，提升相机灵敏度。</w:t>
            </w:r>
          </w:p>
          <w:p w14:paraId="33C08CB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（8）6-pin P7接头提供电源和I/O，包含1路光隔输入、1路光隔输出、1路双向可配置非隔离IO。</w:t>
            </w:r>
          </w:p>
          <w:p w14:paraId="27C6966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（9）协议/标准：支持GigE Vision V2.0、GenICam。</w:t>
            </w:r>
          </w:p>
          <w:p w14:paraId="68BCE0B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2.工业镜头</w:t>
            </w:r>
          </w:p>
          <w:p w14:paraId="3427602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（1）焦距：不小于12mm。</w:t>
            </w:r>
          </w:p>
          <w:p w14:paraId="1C13B3B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（2）光圈：F2.8-F16.0。</w:t>
            </w:r>
          </w:p>
          <w:p w14:paraId="23276FF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（3）像面尺寸：≥9.5mm。</w:t>
            </w:r>
          </w:p>
          <w:p w14:paraId="6F0F9AC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（4）分辨率：≥500万。</w:t>
            </w:r>
          </w:p>
          <w:p w14:paraId="326617A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3.光源</w:t>
            </w:r>
          </w:p>
          <w:p w14:paraId="18A5D5A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（1）发光尺寸：不小于Φ73mm。</w:t>
            </w:r>
          </w:p>
          <w:p w14:paraId="5B94497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（2）颜色：白色。</w:t>
            </w:r>
          </w:p>
          <w:p w14:paraId="098A467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（3）供电：24VDC。</w:t>
            </w:r>
          </w:p>
          <w:p w14:paraId="6A313B7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4.设备与实验架</w:t>
            </w:r>
          </w:p>
          <w:p w14:paraId="014CC9F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（1）设备尺寸：400*300*160mm±20mm，内部海绵填充。</w:t>
            </w:r>
          </w:p>
          <w:p w14:paraId="3D82F43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（2）视觉实验架：高度可调范围：0-150mm。</w:t>
            </w:r>
          </w:p>
          <w:p w14:paraId="7411407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（3）内置光源控制器。</w:t>
            </w:r>
          </w:p>
          <w:p w14:paraId="0A77BD4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（4）电源输入：220V。</w:t>
            </w:r>
          </w:p>
          <w:p w14:paraId="4EA46F8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（5）快拆快装设计，1分钟内完成拆卸装箱。</w:t>
            </w:r>
          </w:p>
          <w:p w14:paraId="43C20E2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5.视觉软件</w:t>
            </w:r>
          </w:p>
          <w:p w14:paraId="0F36F08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■（1）图形化拖拽式编程软件开发环境，可通过零代码编程完成所有教学方案。多线程底层机制，无需用户设置，系统自动识别运行可并行的流程、作业和模块，高效运行。</w:t>
            </w:r>
          </w:p>
          <w:p w14:paraId="42AC772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（2）用户可自定义配置视觉任务流程，实现从信号触发到采集、标定、算法处理、结果分析、结果显示、通讯发送、人机交互整个过程。</w:t>
            </w:r>
          </w:p>
          <w:p w14:paraId="4E13B46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（3）各工具模块运行时，输入输出结果可实时监控，易于调试和维护。</w:t>
            </w:r>
          </w:p>
          <w:p w14:paraId="55DA3A6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（4）具备生产运行模式和程序设计模式的一键切换，无需切换程序。具备在运行模式下，支持打开算法工具进行参数调整；支持在算法工具参数调整时日志自动记录，并自动录屏，以便于追溯确认。</w:t>
            </w:r>
          </w:p>
          <w:p w14:paraId="75AA62A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（5）支持网口和USB口标准接口相机，同时支持外触发控制工业相机取像，支持不低于5个主流厂家的相机。</w:t>
            </w:r>
          </w:p>
          <w:p w14:paraId="4DACF09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■（6）具备液态镜头调焦，支持不少于5个市场主流厂家的3D相机。</w:t>
            </w:r>
          </w:p>
          <w:p w14:paraId="6288391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（7）支持不低于5个品牌光源控制器接入以及亮度自由调节。</w:t>
            </w:r>
          </w:p>
          <w:p w14:paraId="7DA5FF7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（8）支持以太网、串口通讯、管道通讯，支持10路以上串口和以太网并发通讯；支持不低于5个品牌IO卡的控制。</w:t>
            </w:r>
          </w:p>
          <w:p w14:paraId="47C4418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（9）支持连接不低于7种常见品牌PLC；支持PLC寄存器地址批量读写；支持OPCUA协议；支持Profinet通讯。</w:t>
            </w:r>
          </w:p>
          <w:p w14:paraId="05C65F2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（10）软件具备信号源侦测，包括定时器触发、计划时间触发、内部触发、网络设备监听、PLC与IO卡扫描等。</w:t>
            </w:r>
          </w:p>
          <w:p w14:paraId="49CB67C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（11）CPU监控、内存监控、内存回收、文件与文件夹删除等系统管理功能。</w:t>
            </w:r>
          </w:p>
          <w:p w14:paraId="46DBC9E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（12）具备分支、循环、合并、流程选择等逻辑控制功能。</w:t>
            </w:r>
          </w:p>
          <w:p w14:paraId="55549CD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（13）具有80个以上功能的Idoc，方便进行硬件操作、数据分析。</w:t>
            </w:r>
          </w:p>
          <w:p w14:paraId="755964E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■（14）软件具备动态调用算法库，实现图像的输入与检测结果输出的自动同步。包含模板匹配、卡尺工具、斑点工具、字符识别工具、条码识别工具、颜色识别工具、灰度检测工具等50个以上的算法工具。</w:t>
            </w:r>
          </w:p>
          <w:p w14:paraId="6CA7A27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（15）具备3D平面拟合、平面夹角、高度测量、3D图像拼接。</w:t>
            </w:r>
          </w:p>
          <w:p w14:paraId="6030A53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■（16）具备扩展连接器分析模块，具备连接器位置度检测工具，数据分析功能，支持深度学习找PIN功能；具有位置度处理模块，非线性补偿模块等专用检测模块；具备交互式的HMI数据图表显示。</w:t>
            </w:r>
          </w:p>
          <w:p w14:paraId="3EB84C3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（17）具备变量统一管理、配方统一管理、硬件设备统一管理等功能，并支持将分析得到的字符串、数值、布尔量等各类数据采集到数据库统一管理。</w:t>
            </w:r>
          </w:p>
          <w:p w14:paraId="6FFE5C1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（18）具有HMI设计器（提供不少于25种控件），并且提供了不少于4个模板，能快速定制化生产界面。</w:t>
            </w:r>
          </w:p>
          <w:p w14:paraId="5B16763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（19）具有良好的扩展性，软件支持C#脚本和表达式，支持C#二次开发并免费提供原厂SDK；支持Atom工具、Device和HMI控件的插件式二次开发；支持HMI界面嵌入到第三方WPF与WinForm界面。</w:t>
            </w:r>
          </w:p>
          <w:p w14:paraId="56A69AF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（20）支持对OpenCV与Matlab算法的调用，提供Python/C++/C#多语言开发示例库。</w:t>
            </w:r>
          </w:p>
          <w:p w14:paraId="7EB8EB2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■（21）支持不少于3个相机自动融合标定校准算法，可以5分钟内完成所有相机的自动手眼标定。</w:t>
            </w:r>
          </w:p>
          <w:p w14:paraId="0C2BCAF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■（22）具备扩展引导应用模块，支持以流程化的配置方式，快速完成多相机多场景机器视觉引导标定和计算；支持运动分析、引导数据图形化分析。</w:t>
            </w:r>
          </w:p>
          <w:p w14:paraId="21603F7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（23）具备扩展测量应用模块，支持结合标准值、上公差、下公差批量对测量结果进行分析，支持对测量结果进行线性补偿，支持对多组分析结果进行合并判断，并支持测量结果的自动导出。</w:t>
            </w:r>
          </w:p>
          <w:p w14:paraId="58E6A83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（24）具备扩展点胶应用模块，支持自动寻找胶路以快速部署点胶应用。</w:t>
            </w:r>
          </w:p>
          <w:p w14:paraId="78505C7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（25）内置深度学习算法，实现深度学习产品分类、深度学习字符识别、深度学习缺陷检测，深度学习缺陷分割，支持CPU计算以及GPU计算两种模式。支持与其他算法工具进行动态数据链。</w:t>
            </w:r>
          </w:p>
          <w:p w14:paraId="0D61CB7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（26）软件具备同时打开多个项目程序；支持中英文的切换；支持管理员、工程师、操作员三级用户权限管理设置。</w:t>
            </w:r>
          </w:p>
          <w:p w14:paraId="78FCE5A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（27）集成了TCP/IP工具、网络测试工具、串口调试工具、PLC调试工具、虚拟键盘等调试和测试工具以便于项目调试。</w:t>
            </w:r>
          </w:p>
          <w:p w14:paraId="034A05F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28）提供多种类数据操作工具，便于软件平台输入数据与分析结果数据的处理，包括拼接、分割、替换、大小写转换、去空格、特定条件截取等字符串操作，数值比较、字符串比较、与、或、异或等逻辑判断操作，数值的加、减、乘、除、最大值、最小值以及sin、cos等三角函数计算，String、Boolean、Double、Int等数据类型间的转换。</w:t>
            </w:r>
          </w:p>
          <w:p w14:paraId="6A06820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29）具备采集的图像或者检测的结果图像进行保存，图像类型包括2D图像与3D图像，具备保存图像的名称根据时间等信息自动命名，支持根据逻辑判断结果分类保存图片，或者只保存NG品图片。2D图像保存还支持保存成IDB数据组，支持保存成jpg或者bmp等格式。</w:t>
            </w:r>
          </w:p>
          <w:p w14:paraId="4C34702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（30）具备软件操作日志记录；支持将各工具模块的输出自定义为日志输出，以便于系统的调试和维护。</w:t>
            </w:r>
          </w:p>
          <w:p w14:paraId="4E7891C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（31）软件入口中具有检测、测量、引导等应用的案例程序模板，并保存最近打开的程序的快捷方式，便于程序的使用。</w:t>
            </w:r>
          </w:p>
          <w:p w14:paraId="06F2EE6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■（32）提供不低于150点（满足3个班学生使用需要）的软件永久动态授权，并可持续使用及免费版本升级，便于师生个人电脑安装软件学习使用。</w:t>
            </w:r>
          </w:p>
          <w:p w14:paraId="2A7415C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6.视觉控制系统</w:t>
            </w:r>
          </w:p>
          <w:p w14:paraId="5D13FF4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（1）</w:t>
            </w:r>
            <w:r>
              <w:rPr>
                <w:rFonts w:hint="eastAsia" w:ascii="宋体" w:hAnsi="宋体" w:cs="宋体"/>
                <w:b/>
                <w:bCs/>
                <w:sz w:val="24"/>
                <w:szCs w:val="24"/>
              </w:rPr>
              <w:t>★</w:t>
            </w:r>
            <w:r>
              <w:rPr>
                <w:rFonts w:hint="eastAsia" w:ascii="宋体" w:hAnsi="宋体" w:cs="宋体"/>
                <w:b/>
                <w:bCs/>
                <w:color w:val="000000" w:themeColor="text1"/>
                <w:sz w:val="24"/>
                <w:szCs w:val="24"/>
                <w14:textFill>
                  <w14:solidFill>
                    <w14:schemeClr w14:val="tx1"/>
                  </w14:solidFill>
                </w14:textFill>
              </w:rPr>
              <w:t>主板：不低于I7-12700。</w:t>
            </w:r>
          </w:p>
          <w:p w14:paraId="6485698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（2）内存：不低于16G。</w:t>
            </w:r>
          </w:p>
          <w:p w14:paraId="0B5ED28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（3）硬盘：不低于1TB。</w:t>
            </w:r>
          </w:p>
          <w:p w14:paraId="1B4BEFD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（4）千兆网口6个，传输速度1Gbps，其中支持PoE网口不少于4个。</w:t>
            </w:r>
          </w:p>
          <w:p w14:paraId="652BF89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（5）PCI总线不少于2个，PCIE总线插槽不少于3个。</w:t>
            </w:r>
          </w:p>
          <w:p w14:paraId="4CEA6B0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（6）串口不少于2个。</w:t>
            </w:r>
          </w:p>
          <w:p w14:paraId="7050505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w:t>
            </w:r>
            <w:r>
              <w:rPr>
                <w:rFonts w:ascii="宋体" w:hAnsi="宋体" w:cs="宋体"/>
                <w:color w:val="000000" w:themeColor="text1"/>
                <w:sz w:val="24"/>
                <w:szCs w:val="24"/>
                <w14:textFill>
                  <w14:solidFill>
                    <w14:schemeClr w14:val="tx1"/>
                  </w14:solidFill>
                </w14:textFill>
              </w:rPr>
              <w:t>7</w:t>
            </w:r>
            <w:r>
              <w:rPr>
                <w:rFonts w:hint="eastAsia" w:ascii="宋体" w:hAnsi="宋体" w:cs="宋体"/>
                <w:color w:val="000000" w:themeColor="text1"/>
                <w:sz w:val="24"/>
                <w:szCs w:val="24"/>
                <w14:textFill>
                  <w14:solidFill>
                    <w14:schemeClr w14:val="tx1"/>
                  </w14:solidFill>
                </w14:textFill>
              </w:rPr>
              <w:t>）显示终端1个，不小于19.5英寸，支持挂壁，LED背光；包含键盘、鼠标。</w:t>
            </w:r>
          </w:p>
        </w:tc>
        <w:tc>
          <w:tcPr>
            <w:tcW w:w="184" w:type="pct"/>
            <w:tcBorders>
              <w:top w:val="single" w:color="auto" w:sz="4" w:space="0"/>
              <w:left w:val="nil"/>
              <w:bottom w:val="single" w:color="auto" w:sz="4" w:space="0"/>
              <w:right w:val="single" w:color="auto" w:sz="4" w:space="0"/>
            </w:tcBorders>
            <w:vAlign w:val="center"/>
          </w:tcPr>
          <w:p w14:paraId="01F6BBF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w:t>
            </w:r>
          </w:p>
        </w:tc>
        <w:tc>
          <w:tcPr>
            <w:tcW w:w="184" w:type="pct"/>
            <w:tcBorders>
              <w:top w:val="single" w:color="auto" w:sz="4" w:space="0"/>
              <w:left w:val="nil"/>
              <w:bottom w:val="single" w:color="auto" w:sz="4" w:space="0"/>
              <w:right w:val="single" w:color="auto" w:sz="4" w:space="0"/>
            </w:tcBorders>
            <w:vAlign w:val="center"/>
          </w:tcPr>
          <w:p w14:paraId="4FA95FA3">
            <w:pPr>
              <w:widowControl/>
              <w:snapToGrid w:val="0"/>
              <w:spacing w:line="360" w:lineRule="auto"/>
              <w:rPr>
                <w:rFonts w:hint="eastAsia" w:ascii="宋体" w:hAnsi="宋体" w:cs="宋体"/>
                <w:color w:val="000000" w:themeColor="text1"/>
                <w:sz w:val="24"/>
                <w:szCs w:val="24"/>
                <w14:textFill>
                  <w14:solidFill>
                    <w14:schemeClr w14:val="tx1"/>
                  </w14:solidFill>
                </w14:textFill>
              </w:rPr>
            </w:pPr>
          </w:p>
        </w:tc>
      </w:tr>
      <w:tr w14:paraId="34597764">
        <w:tblPrEx>
          <w:tblCellMar>
            <w:top w:w="0" w:type="dxa"/>
            <w:left w:w="108" w:type="dxa"/>
            <w:bottom w:w="0" w:type="dxa"/>
            <w:right w:w="108" w:type="dxa"/>
          </w:tblCellMar>
        </w:tblPrEx>
        <w:trPr>
          <w:trHeight w:val="288" w:hRule="atLeast"/>
        </w:trPr>
        <w:tc>
          <w:tcPr>
            <w:tcW w:w="181" w:type="pct"/>
            <w:tcBorders>
              <w:top w:val="single" w:color="auto" w:sz="4" w:space="0"/>
              <w:left w:val="single" w:color="auto" w:sz="4" w:space="0"/>
              <w:bottom w:val="single" w:color="auto" w:sz="4" w:space="0"/>
              <w:right w:val="single" w:color="auto" w:sz="4" w:space="0"/>
            </w:tcBorders>
            <w:vAlign w:val="center"/>
          </w:tcPr>
          <w:p w14:paraId="51DE418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w:t>
            </w:r>
          </w:p>
        </w:tc>
        <w:tc>
          <w:tcPr>
            <w:tcW w:w="2033" w:type="dxa"/>
            <w:tcBorders>
              <w:top w:val="single" w:color="auto" w:sz="4" w:space="0"/>
              <w:left w:val="nil"/>
              <w:bottom w:val="single" w:color="auto" w:sz="4" w:space="0"/>
              <w:right w:val="single" w:color="auto" w:sz="4" w:space="0"/>
            </w:tcBorders>
            <w:vAlign w:val="center"/>
          </w:tcPr>
          <w:p w14:paraId="110EF40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机器视觉实训扩展套件</w:t>
            </w:r>
          </w:p>
        </w:tc>
        <w:tc>
          <w:tcPr>
            <w:tcW w:w="3732" w:type="pct"/>
            <w:tcBorders>
              <w:top w:val="single" w:color="auto" w:sz="4" w:space="0"/>
              <w:left w:val="single" w:color="auto" w:sz="4" w:space="0"/>
              <w:bottom w:val="single" w:color="auto" w:sz="4" w:space="0"/>
              <w:right w:val="single" w:color="auto" w:sz="4" w:space="0"/>
            </w:tcBorders>
            <w:vAlign w:val="center"/>
          </w:tcPr>
          <w:p w14:paraId="668A55A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基本描述：配合机器视觉套件使用，满足更多不同场景下的图像采集需要。</w:t>
            </w:r>
          </w:p>
          <w:p w14:paraId="0A810D3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1.远心镜头</w:t>
            </w:r>
          </w:p>
          <w:p w14:paraId="1F73070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（1）光学结构：物方远心。</w:t>
            </w:r>
          </w:p>
          <w:p w14:paraId="763044F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（2）倍率：0.3。</w:t>
            </w:r>
          </w:p>
          <w:p w14:paraId="24731B8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（3）光圈：F15。</w:t>
            </w:r>
          </w:p>
          <w:p w14:paraId="06881D2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（4）光学畸变：≤0.31%。</w:t>
            </w:r>
          </w:p>
          <w:p w14:paraId="25E926D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（5）物方视野Φ：≥25mm。</w:t>
            </w:r>
          </w:p>
          <w:p w14:paraId="2C3E919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（6）像方视野Φ：≥6mm。</w:t>
            </w:r>
          </w:p>
          <w:p w14:paraId="3BF1FC1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（7）工作距离：110mm±3%。</w:t>
            </w:r>
          </w:p>
          <w:p w14:paraId="5A69C74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2.12mm定焦镜头</w:t>
            </w:r>
          </w:p>
          <w:p w14:paraId="7B3358A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（1）焦距：12mm。</w:t>
            </w:r>
          </w:p>
          <w:p w14:paraId="10CD9BF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（2）光圈范围：F2.8-16。</w:t>
            </w:r>
          </w:p>
          <w:p w14:paraId="23D4A7D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（3）分辨率：≥600万像素。</w:t>
            </w:r>
          </w:p>
          <w:p w14:paraId="5429F39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（4）接口：C口。</w:t>
            </w:r>
          </w:p>
          <w:p w14:paraId="63B0829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3.35mm定焦镜头</w:t>
            </w:r>
          </w:p>
          <w:p w14:paraId="2CCE181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（1）焦距：35mm。</w:t>
            </w:r>
          </w:p>
          <w:p w14:paraId="7963C3A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（2）光圈范围：F2.8-16。</w:t>
            </w:r>
          </w:p>
          <w:p w14:paraId="2BF1C87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（3）分辨率：≥600万像素。</w:t>
            </w:r>
          </w:p>
          <w:p w14:paraId="2B7FFE4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（4）接口：C口。</w:t>
            </w:r>
          </w:p>
          <w:p w14:paraId="4EDCEBE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4.面光源</w:t>
            </w:r>
          </w:p>
          <w:p w14:paraId="6C2405A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（1）发光尺寸：≥100mm*100mm。</w:t>
            </w:r>
          </w:p>
          <w:p w14:paraId="378B0A1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（2）颜色：白色。</w:t>
            </w:r>
          </w:p>
          <w:p w14:paraId="384F41A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（3）电源：24VDC。</w:t>
            </w:r>
          </w:p>
          <w:p w14:paraId="315E061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5.0度环型光源</w:t>
            </w:r>
          </w:p>
          <w:p w14:paraId="458EA9A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（1）发光尺寸：外径≥Φ95mm，内径≥Φ60mm。</w:t>
            </w:r>
          </w:p>
          <w:p w14:paraId="51DD3F5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（2）颜色：白色。</w:t>
            </w:r>
          </w:p>
          <w:p w14:paraId="3E3AB0E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（3）电源：24VDC。</w:t>
            </w:r>
          </w:p>
          <w:p w14:paraId="0FBCBC2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（4）发光角度：0度。</w:t>
            </w:r>
          </w:p>
          <w:p w14:paraId="240453F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6.45度环型光源</w:t>
            </w:r>
          </w:p>
          <w:p w14:paraId="260A6A7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（1）发光尺寸：外径≥Φ90mm，内径≥Φ50mm。</w:t>
            </w:r>
          </w:p>
          <w:p w14:paraId="723A059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（2）颜色：白色。</w:t>
            </w:r>
          </w:p>
          <w:p w14:paraId="29FE216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（3）电源：24VDC。</w:t>
            </w:r>
          </w:p>
          <w:p w14:paraId="6D900FC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（4）发光角度：45度。</w:t>
            </w:r>
          </w:p>
          <w:p w14:paraId="5601A4A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7.90度偏振环形光源</w:t>
            </w:r>
          </w:p>
          <w:p w14:paraId="4B8E1F9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（1）发光尺寸：外径≥Φ73mm，内径≥Φ35mm。</w:t>
            </w:r>
          </w:p>
          <w:p w14:paraId="33656F5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（2）颜色：白色。</w:t>
            </w:r>
          </w:p>
          <w:p w14:paraId="6136B7F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（3）电源：24VDC。</w:t>
            </w:r>
          </w:p>
          <w:p w14:paraId="7C6FE32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（4）发光角度：90度。</w:t>
            </w:r>
          </w:p>
          <w:p w14:paraId="66DE093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（5）自带偏振片。</w:t>
            </w:r>
          </w:p>
          <w:p w14:paraId="563CE79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8.同轴光源</w:t>
            </w:r>
          </w:p>
          <w:p w14:paraId="011E7E9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（1）发光面：≥60mm*60mm。</w:t>
            </w:r>
          </w:p>
          <w:p w14:paraId="438CF43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（2）颜色：白色。</w:t>
            </w:r>
          </w:p>
          <w:p w14:paraId="0C70545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（3）电源：24VDC。</w:t>
            </w:r>
          </w:p>
          <w:p w14:paraId="431CAE9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9.白色条形光源</w:t>
            </w:r>
          </w:p>
          <w:p w14:paraId="730FD4B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（1）发光尺寸：≥145mm*25mm。</w:t>
            </w:r>
          </w:p>
          <w:p w14:paraId="79D99F2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（2）颜色：白色。</w:t>
            </w:r>
          </w:p>
          <w:p w14:paraId="0F37D18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（3）电源：24VDC。</w:t>
            </w:r>
          </w:p>
          <w:p w14:paraId="5CF2AE6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10.红色条形光源</w:t>
            </w:r>
          </w:p>
          <w:p w14:paraId="245187D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（1）发光尺寸：≥145mm*25mm。</w:t>
            </w:r>
          </w:p>
          <w:p w14:paraId="703BDEA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（2）颜色：红色。</w:t>
            </w:r>
          </w:p>
          <w:p w14:paraId="31F6865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（3）电源：24VDC。</w:t>
            </w:r>
          </w:p>
          <w:p w14:paraId="0D5E3F6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11.绿色条形光源</w:t>
            </w:r>
          </w:p>
          <w:p w14:paraId="21C97C6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（1）发光尺寸：≥145mm*25mm。</w:t>
            </w:r>
          </w:p>
          <w:p w14:paraId="37DE229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（2）颜色：绿色。</w:t>
            </w:r>
          </w:p>
          <w:p w14:paraId="761C09E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（3）电源：24VDC。</w:t>
            </w:r>
          </w:p>
          <w:p w14:paraId="6B1A4A7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12.蓝色条形光源</w:t>
            </w:r>
          </w:p>
          <w:p w14:paraId="0C0E97B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（1）发光尺寸：≥145mm*25mm。</w:t>
            </w:r>
          </w:p>
          <w:p w14:paraId="1929F0D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（2）颜色：蓝色。</w:t>
            </w:r>
          </w:p>
          <w:p w14:paraId="3C39BA3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（3）电源：24VDC。</w:t>
            </w:r>
          </w:p>
          <w:p w14:paraId="386C0AB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13.红外条形光源</w:t>
            </w:r>
          </w:p>
          <w:p w14:paraId="10F1118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（1）发光尺寸：≥55mm*25mm。</w:t>
            </w:r>
          </w:p>
          <w:p w14:paraId="2EF6B92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（2）类别：红外线。</w:t>
            </w:r>
          </w:p>
          <w:p w14:paraId="0D67334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（3）中心波长：940nm。</w:t>
            </w:r>
          </w:p>
          <w:p w14:paraId="74D2711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（4）电源：24VDC。</w:t>
            </w:r>
          </w:p>
          <w:p w14:paraId="2C0F7EF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14.紫外条形光源</w:t>
            </w:r>
          </w:p>
          <w:p w14:paraId="2D61B47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（1）发光尺寸：≥55mm*25mm。</w:t>
            </w:r>
          </w:p>
          <w:p w14:paraId="5AE0835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（2）类别：紫外线。</w:t>
            </w:r>
          </w:p>
          <w:p w14:paraId="40C8B9B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（3）中心波长：365nm。</w:t>
            </w:r>
          </w:p>
          <w:p w14:paraId="18B4BAE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（4）电源：24VDC。</w:t>
            </w:r>
          </w:p>
          <w:p w14:paraId="64F4D89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15.弧顶光源</w:t>
            </w:r>
          </w:p>
          <w:p w14:paraId="7BB0CBD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（1）光源大小：直径≥Φ115mm，高度≥55mm。</w:t>
            </w:r>
          </w:p>
          <w:p w14:paraId="384C1E4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（2）颜色：白色。</w:t>
            </w:r>
          </w:p>
          <w:p w14:paraId="3534ABA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（3）电源：24VDC。</w:t>
            </w:r>
          </w:p>
          <w:p w14:paraId="11856AD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16.滤镜：</w:t>
            </w:r>
          </w:p>
          <w:p w14:paraId="59E0689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（1）螺纹尺寸：与镜头匹配。</w:t>
            </w:r>
          </w:p>
          <w:p w14:paraId="68E0C6E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（2）带宽：35-45nm。</w:t>
            </w:r>
          </w:p>
          <w:p w14:paraId="0515B19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（3）中心波长：940nm、470nm、365nm、525nm、630nm五种规格。</w:t>
            </w:r>
          </w:p>
          <w:p w14:paraId="7D26F9D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17.接圈：厚度分别为0.5mm、1mm、2mm、5mm四种规格。</w:t>
            </w:r>
          </w:p>
          <w:p w14:paraId="309FADF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18.三棱镜：等腰直角斜面镀膜棱镜，直角边尺寸≥50mm*50mm，宽≥50mm。</w:t>
            </w:r>
          </w:p>
          <w:p w14:paraId="3C3EE8B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19.1200万像素工业相机</w:t>
            </w:r>
          </w:p>
          <w:p w14:paraId="3E3B571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（1）分辨率：≥4024×3036。</w:t>
            </w:r>
          </w:p>
          <w:p w14:paraId="237A66F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（2）帧率：≥9帧。</w:t>
            </w:r>
          </w:p>
          <w:p w14:paraId="488E697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（3）靶面：≥1/1.7”。</w:t>
            </w:r>
          </w:p>
          <w:p w14:paraId="46D107C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（4）像元：≥1.8μm。</w:t>
            </w:r>
          </w:p>
          <w:p w14:paraId="0B21452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（5）数据接口：GigE。</w:t>
            </w:r>
          </w:p>
          <w:p w14:paraId="10CC3A8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（6）镜头接口：C-Mount。</w:t>
            </w:r>
          </w:p>
          <w:p w14:paraId="49DC078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（7）像素格式：Bayer RG 8/10/10Packed/12/12Packed。</w:t>
            </w:r>
          </w:p>
          <w:p w14:paraId="323A536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■20.专用器件箱：长宽高尺寸480*380*200±50mm，带提手，便于收纳上述各视觉前端部件，并按部件形状特征定制了分隔的保护设施。</w:t>
            </w:r>
          </w:p>
        </w:tc>
        <w:tc>
          <w:tcPr>
            <w:tcW w:w="184" w:type="pct"/>
            <w:tcBorders>
              <w:top w:val="single" w:color="auto" w:sz="4" w:space="0"/>
              <w:left w:val="nil"/>
              <w:bottom w:val="single" w:color="auto" w:sz="4" w:space="0"/>
              <w:right w:val="single" w:color="auto" w:sz="4" w:space="0"/>
            </w:tcBorders>
            <w:vAlign w:val="center"/>
          </w:tcPr>
          <w:p w14:paraId="369095C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p>
        </w:tc>
        <w:tc>
          <w:tcPr>
            <w:tcW w:w="184" w:type="pct"/>
            <w:tcBorders>
              <w:top w:val="single" w:color="auto" w:sz="4" w:space="0"/>
              <w:left w:val="nil"/>
              <w:bottom w:val="single" w:color="auto" w:sz="4" w:space="0"/>
              <w:right w:val="single" w:color="auto" w:sz="4" w:space="0"/>
            </w:tcBorders>
            <w:vAlign w:val="center"/>
          </w:tcPr>
          <w:p w14:paraId="07430278">
            <w:pPr>
              <w:widowControl/>
              <w:snapToGrid w:val="0"/>
              <w:spacing w:line="360" w:lineRule="auto"/>
              <w:rPr>
                <w:rFonts w:hint="eastAsia" w:ascii="宋体" w:hAnsi="宋体" w:cs="宋体"/>
                <w:color w:val="000000" w:themeColor="text1"/>
                <w:sz w:val="24"/>
                <w:szCs w:val="24"/>
                <w14:textFill>
                  <w14:solidFill>
                    <w14:schemeClr w14:val="tx1"/>
                  </w14:solidFill>
                </w14:textFill>
              </w:rPr>
            </w:pPr>
          </w:p>
        </w:tc>
      </w:tr>
      <w:tr w14:paraId="30B772FC">
        <w:tblPrEx>
          <w:tblCellMar>
            <w:top w:w="0" w:type="dxa"/>
            <w:left w:w="108" w:type="dxa"/>
            <w:bottom w:w="0" w:type="dxa"/>
            <w:right w:w="108" w:type="dxa"/>
          </w:tblCellMar>
        </w:tblPrEx>
        <w:trPr>
          <w:trHeight w:val="288" w:hRule="atLeast"/>
        </w:trPr>
        <w:tc>
          <w:tcPr>
            <w:tcW w:w="181" w:type="pct"/>
            <w:tcBorders>
              <w:top w:val="single" w:color="auto" w:sz="4" w:space="0"/>
              <w:left w:val="single" w:color="auto" w:sz="4" w:space="0"/>
              <w:bottom w:val="single" w:color="auto" w:sz="4" w:space="0"/>
              <w:right w:val="single" w:color="auto" w:sz="4" w:space="0"/>
            </w:tcBorders>
            <w:vAlign w:val="center"/>
          </w:tcPr>
          <w:p w14:paraId="2F4CFC6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w:t>
            </w:r>
          </w:p>
        </w:tc>
        <w:tc>
          <w:tcPr>
            <w:tcW w:w="2033" w:type="dxa"/>
            <w:tcBorders>
              <w:top w:val="single" w:color="auto" w:sz="4" w:space="0"/>
              <w:left w:val="nil"/>
              <w:bottom w:val="single" w:color="auto" w:sz="4" w:space="0"/>
              <w:right w:val="single" w:color="auto" w:sz="4" w:space="0"/>
            </w:tcBorders>
            <w:vAlign w:val="center"/>
          </w:tcPr>
          <w:p w14:paraId="2B21503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▲机器视觉创新实训平台</w:t>
            </w:r>
          </w:p>
        </w:tc>
        <w:tc>
          <w:tcPr>
            <w:tcW w:w="3732" w:type="pct"/>
            <w:tcBorders>
              <w:top w:val="single" w:color="auto" w:sz="4" w:space="0"/>
              <w:left w:val="single" w:color="auto" w:sz="4" w:space="0"/>
              <w:bottom w:val="single" w:color="auto" w:sz="4" w:space="0"/>
              <w:right w:val="single" w:color="auto" w:sz="4" w:space="0"/>
            </w:tcBorders>
            <w:vAlign w:val="center"/>
          </w:tcPr>
          <w:p w14:paraId="5589AC6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基本描述：作为机器视觉进阶学习的桌面型设备，由2套视觉采集前端、视觉控制器、PLC、触摸屏等多个工业组件组成，采用伺服和步进电机构成的工业四轴模组作为执行机构，为机器视觉引导定位场景打造，这是智能制造领域应用最为广泛的场景，同时也可以开展视觉检测、测量、识别应用，满足工业视觉系统运维员S国家标准中中级工、高级工相关技能要求。</w:t>
            </w:r>
          </w:p>
          <w:p w14:paraId="612B5B2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1.彩色工业相机</w:t>
            </w:r>
          </w:p>
          <w:p w14:paraId="755AD0D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（1）</w:t>
            </w:r>
            <w:r>
              <w:rPr>
                <w:rFonts w:hint="eastAsia" w:ascii="宋体" w:hAnsi="宋体" w:cs="宋体"/>
                <w:b/>
                <w:bCs/>
                <w:sz w:val="24"/>
                <w:szCs w:val="24"/>
              </w:rPr>
              <w:t>★</w:t>
            </w:r>
            <w:r>
              <w:rPr>
                <w:rFonts w:hint="eastAsia" w:ascii="宋体" w:hAnsi="宋体" w:cs="宋体"/>
                <w:b/>
                <w:bCs/>
                <w:color w:val="000000" w:themeColor="text1"/>
                <w:sz w:val="24"/>
                <w:szCs w:val="24"/>
                <w14:textFill>
                  <w14:solidFill>
                    <w14:schemeClr w14:val="tx1"/>
                  </w14:solidFill>
                </w14:textFill>
              </w:rPr>
              <w:t>分辨率：≥2592*1944。</w:t>
            </w:r>
          </w:p>
          <w:p w14:paraId="700D122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（2）帧率：≥24帧。</w:t>
            </w:r>
          </w:p>
          <w:p w14:paraId="1AFD0C0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（3）靶面：≥1/2.5”。</w:t>
            </w:r>
          </w:p>
          <w:p w14:paraId="7E787AF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（4）像元：≥2.2μm。</w:t>
            </w:r>
          </w:p>
          <w:p w14:paraId="7420DD3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（5）供电方式：9~24V，支持PoE供电。</w:t>
            </w:r>
          </w:p>
          <w:p w14:paraId="26DADDF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（6）具备自动或手动调节增益、曝光时间、白平衡、Gamma校正、LUT等。</w:t>
            </w:r>
          </w:p>
          <w:p w14:paraId="3931232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（7）具备自定义ROI，通过降低分辨率提高帧率，支持镜像输出，支持Binning模式，提升相机灵敏度。</w:t>
            </w:r>
          </w:p>
          <w:p w14:paraId="3EF2AE4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（8）6-pin接头提供电源和I/O，包含1路光隔输入、1路光隔输出、1路双向可配置非隔离IO。</w:t>
            </w:r>
          </w:p>
          <w:p w14:paraId="5BD30A9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（9）协议/标准：支持GigE Vision V2.0、GenICam。</w:t>
            </w:r>
          </w:p>
          <w:p w14:paraId="67520E3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2.黑白工业相机</w:t>
            </w:r>
          </w:p>
          <w:p w14:paraId="0E57D3C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（1）分辨率：≥2592*1944。</w:t>
            </w:r>
          </w:p>
          <w:p w14:paraId="3E0A660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（2）帧率：≥24帧。</w:t>
            </w:r>
          </w:p>
          <w:p w14:paraId="077E4CB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（3）靶面：≥1/2.5”。</w:t>
            </w:r>
          </w:p>
          <w:p w14:paraId="31E7026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（4）像元：≥2.2μm。</w:t>
            </w:r>
          </w:p>
          <w:p w14:paraId="43BB8C5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（5）供电方式：9~24V，支持PoE供电。</w:t>
            </w:r>
          </w:p>
          <w:p w14:paraId="6916DF3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（6）具备自动或手动调节增益、曝光时间、白平衡、Gamma校正、LUT等。</w:t>
            </w:r>
          </w:p>
          <w:p w14:paraId="3D4C917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（7）具备自定义ROI，通过降低分辨率提高帧率，支持镜像输出，支持Binning模式，提升相机灵敏度。</w:t>
            </w:r>
          </w:p>
          <w:p w14:paraId="2406377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（8）6-pin接头提供电源和I/O，包含1路光隔输入、1路光隔输出、1路双向可配置非隔离IO。</w:t>
            </w:r>
          </w:p>
          <w:p w14:paraId="0A91D20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（9）协议/标准：支持GigE Vision V2.0、GenICam。</w:t>
            </w:r>
          </w:p>
          <w:p w14:paraId="00B23B2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3.8mm工业镜头</w:t>
            </w:r>
          </w:p>
          <w:p w14:paraId="4446E50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（1）焦距：8mm。</w:t>
            </w:r>
          </w:p>
          <w:p w14:paraId="7805F69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（2）光圈：F2.8-F16.0。</w:t>
            </w:r>
          </w:p>
          <w:p w14:paraId="1F6B1D8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（3）像面尺寸：≥2/3”。</w:t>
            </w:r>
          </w:p>
          <w:p w14:paraId="7425C63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（4）分辨率：≥500万。</w:t>
            </w:r>
          </w:p>
          <w:p w14:paraId="4F9624B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4.12mm工业镜头</w:t>
            </w:r>
          </w:p>
          <w:p w14:paraId="40D321A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（1）焦距：12mm。</w:t>
            </w:r>
          </w:p>
          <w:p w14:paraId="67D4920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（2）光圈：F2.8-F16.0。</w:t>
            </w:r>
          </w:p>
          <w:p w14:paraId="6525A56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（3）像面尺寸：≥2/3”。</w:t>
            </w:r>
          </w:p>
          <w:p w14:paraId="6467946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（4）分辨率：≥500万。</w:t>
            </w:r>
          </w:p>
          <w:p w14:paraId="49B4498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5.面光源</w:t>
            </w:r>
          </w:p>
          <w:p w14:paraId="14B2276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（1）发光尺寸：不小于150*150mm。</w:t>
            </w:r>
          </w:p>
          <w:p w14:paraId="72CDB96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（2）颜色：白色。</w:t>
            </w:r>
          </w:p>
          <w:p w14:paraId="696948A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（3）电源：24VDC。</w:t>
            </w:r>
          </w:p>
          <w:p w14:paraId="4CA9A01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6.环形光源</w:t>
            </w:r>
          </w:p>
          <w:p w14:paraId="26A4B74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（1）发光尺寸：不小于Φ90mm。</w:t>
            </w:r>
          </w:p>
          <w:p w14:paraId="678807C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（2）颜色：白色。</w:t>
            </w:r>
          </w:p>
          <w:p w14:paraId="5A72FC0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（3）电源：24VDC。</w:t>
            </w:r>
          </w:p>
          <w:p w14:paraId="2817C8C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7.电气控制系统</w:t>
            </w:r>
          </w:p>
          <w:p w14:paraId="53AF506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1）板载数字I/O：不少于14点输入/10点输出。</w:t>
            </w:r>
          </w:p>
          <w:p w14:paraId="6582A1D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2）板载模拟I/O：不少于2点输入。</w:t>
            </w:r>
          </w:p>
          <w:p w14:paraId="2C00B9E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3）网络通信：以太网，100/10Mb/s。</w:t>
            </w:r>
          </w:p>
          <w:p w14:paraId="4039E18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4）串口：支持RS-485（带MODBUS功能）。</w:t>
            </w:r>
          </w:p>
          <w:p w14:paraId="79F4400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5）相关配置不低于S7-1200。</w:t>
            </w:r>
          </w:p>
          <w:p w14:paraId="001ED5B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6）触摸屏：不小于4.3寸。</w:t>
            </w:r>
          </w:p>
          <w:p w14:paraId="26496E4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7）包括启动、停止、复位按钮，包括OK\NG状态显示灯。</w:t>
            </w:r>
          </w:p>
          <w:p w14:paraId="65F00ED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8.视觉控制系统</w:t>
            </w:r>
          </w:p>
          <w:p w14:paraId="1D9AF67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（1）主板：不低于I7-12700。</w:t>
            </w:r>
          </w:p>
          <w:p w14:paraId="2FE5575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（2）内存：不低于16G。</w:t>
            </w:r>
          </w:p>
          <w:p w14:paraId="337419C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（3）硬盘：不低于1TB。</w:t>
            </w:r>
          </w:p>
          <w:p w14:paraId="7AC7F9B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（4）千兆网口6个，传输速度1Gbps，其中支持PoE网口不少于4个。</w:t>
            </w:r>
          </w:p>
          <w:p w14:paraId="3951BBA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（5）PCI总线不少于2个，PCIE总线插槽不少于3个。</w:t>
            </w:r>
          </w:p>
          <w:p w14:paraId="1A8E42B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（6）串口不少于2个。</w:t>
            </w:r>
          </w:p>
          <w:p w14:paraId="5803B45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w:t>
            </w:r>
            <w:r>
              <w:rPr>
                <w:rFonts w:ascii="宋体" w:hAnsi="宋体" w:cs="宋体"/>
                <w:color w:val="000000" w:themeColor="text1"/>
                <w:sz w:val="24"/>
                <w:szCs w:val="24"/>
                <w14:textFill>
                  <w14:solidFill>
                    <w14:schemeClr w14:val="tx1"/>
                  </w14:solidFill>
                </w14:textFill>
              </w:rPr>
              <w:t>7</w:t>
            </w:r>
            <w:r>
              <w:rPr>
                <w:rFonts w:hint="eastAsia" w:ascii="宋体" w:hAnsi="宋体" w:cs="宋体"/>
                <w:color w:val="000000" w:themeColor="text1"/>
                <w:sz w:val="24"/>
                <w:szCs w:val="24"/>
                <w14:textFill>
                  <w14:solidFill>
                    <w14:schemeClr w14:val="tx1"/>
                  </w14:solidFill>
                </w14:textFill>
              </w:rPr>
              <w:t>）显示终端1个，不小于19.5英寸，支持挂壁，LED背光；包含键盘、鼠标。</w:t>
            </w:r>
          </w:p>
          <w:p w14:paraId="05B4F97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9.实验装置</w:t>
            </w:r>
          </w:p>
          <w:p w14:paraId="334A258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（1）桌面型设备，长*宽*高整体尺寸</w:t>
            </w:r>
            <w:r>
              <w:rPr>
                <w:rFonts w:ascii="宋体" w:hAnsi="宋体" w:cs="宋体"/>
                <w:color w:val="000000" w:themeColor="text1"/>
                <w:sz w:val="24"/>
                <w:szCs w:val="24"/>
                <w14:textFill>
                  <w14:solidFill>
                    <w14:schemeClr w14:val="tx1"/>
                  </w14:solidFill>
                </w14:textFill>
              </w:rPr>
              <w:t>60</w:t>
            </w:r>
            <w:r>
              <w:rPr>
                <w:rFonts w:hint="eastAsia" w:ascii="宋体" w:hAnsi="宋体" w:cs="宋体"/>
                <w:color w:val="000000" w:themeColor="text1"/>
                <w:sz w:val="24"/>
                <w:szCs w:val="24"/>
                <w14:textFill>
                  <w14:solidFill>
                    <w14:schemeClr w14:val="tx1"/>
                  </w14:solidFill>
                </w14:textFill>
              </w:rPr>
              <w:t>0*</w:t>
            </w:r>
            <w:r>
              <w:rPr>
                <w:rFonts w:ascii="宋体" w:hAnsi="宋体" w:cs="宋体"/>
                <w:color w:val="000000" w:themeColor="text1"/>
                <w:sz w:val="24"/>
                <w:szCs w:val="24"/>
                <w14:textFill>
                  <w14:solidFill>
                    <w14:schemeClr w14:val="tx1"/>
                  </w14:solidFill>
                </w14:textFill>
              </w:rPr>
              <w:t>560</w:t>
            </w:r>
            <w:r>
              <w:rPr>
                <w:rFonts w:hint="eastAsia" w:ascii="宋体" w:hAnsi="宋体" w:cs="宋体"/>
                <w:color w:val="000000" w:themeColor="text1"/>
                <w:sz w:val="24"/>
                <w:szCs w:val="24"/>
                <w14:textFill>
                  <w14:solidFill>
                    <w14:schemeClr w14:val="tx1"/>
                  </w14:solidFill>
                </w14:textFill>
              </w:rPr>
              <w:t>*650±20mm。</w:t>
            </w:r>
          </w:p>
          <w:p w14:paraId="352DC09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（2）工业四轴模组，X轴最大行程：不小于250mm；Y轴最大行程：不小于200mm；Z轴最大行程：不小于100mm；旋转轴θ：+/-180°。</w:t>
            </w:r>
          </w:p>
          <w:p w14:paraId="28FEB0E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（3）2通道数字式光源控制器，支持手动按键/RS232串行通信方式控制亮度。</w:t>
            </w:r>
          </w:p>
          <w:p w14:paraId="25B7242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■（4）工业模组、光源控制器与前述电气控制系统、视觉控制系统的机箱（不含显示终端和键盘鼠标）等模块进行集约化装配部署实现一体化集成。</w:t>
            </w:r>
          </w:p>
          <w:p w14:paraId="3FB4515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10.图形化机器视觉软件</w:t>
            </w:r>
          </w:p>
          <w:p w14:paraId="6158F7E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■（1）图形化拖拽式编程软件开发环境，可通过零代码编程完成所有教学方案。多线程底层机制，无需用户设置，系统自动识别运行可并行的流程、作业和模块，高效运行。</w:t>
            </w:r>
          </w:p>
          <w:p w14:paraId="2775F5D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（2）用户可自定义配置视觉任务流程，实现从信号触发到采集、标定、算法处理、结果分析、结果显示、通讯发送、人机交互整个过程。</w:t>
            </w:r>
          </w:p>
          <w:p w14:paraId="72C1E0E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（3）各工具模块运行时，输入输出结果可实时监控，易于调试和维护。</w:t>
            </w:r>
          </w:p>
          <w:p w14:paraId="0A9F2B3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（4）具备生产运行模式和程序设计模式的一键切换，无需切换程序。具备在运行模式下，支持打开算法工具进行参数调整；支持在算法工具参数调整时日志自动记录，并自动录屏，以便于追溯确认。</w:t>
            </w:r>
          </w:p>
          <w:p w14:paraId="21A71DA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（5）支持网口和USB口标准接口相机，同时支持外触发控制工业相机取像，支持不低于5个主流厂家的相机。</w:t>
            </w:r>
          </w:p>
          <w:p w14:paraId="5BF0F92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■（6）具备液态镜头调焦，支持不少于5个市场主流厂家的3D相机。</w:t>
            </w:r>
          </w:p>
          <w:p w14:paraId="2F2FFEF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（7）支持不低于5个品牌光源控制器接入以及亮度自由调节。</w:t>
            </w:r>
          </w:p>
          <w:p w14:paraId="15CA308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（8）支持以太网、串口通讯、管道通讯，支持10路以上串口和以太网并发通讯；支持不低于5个品牌IO卡的控制。</w:t>
            </w:r>
          </w:p>
          <w:p w14:paraId="3D16838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（9）支持连接不低于7种常见品牌PLC；支持PLC寄存器地址批量读写；支持OPCUA协议；支持Profinet通讯。</w:t>
            </w:r>
          </w:p>
          <w:p w14:paraId="5920CC2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（10）软件具备信号源侦测，包括定时器触发、计划时间触发、内部触发、网络设备监听、PLC与IO卡扫描等。</w:t>
            </w:r>
          </w:p>
          <w:p w14:paraId="55CD872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（11）CPU监控、内存监控、内存回收、文件与文件夹删除等系统管理功能。</w:t>
            </w:r>
          </w:p>
          <w:p w14:paraId="3FA92A9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（12）具备分支、循环、合并、流程选择等逻辑控制功能。</w:t>
            </w:r>
          </w:p>
          <w:p w14:paraId="049D34B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（13）具有80个以上功能的Idoc，方便进行硬件操作、数据分析。</w:t>
            </w:r>
          </w:p>
          <w:p w14:paraId="04D53F0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■（14）软件具备动态调用算法库，实现图像的输入与检测结果输出的自动同步。包含模板匹配、卡尺工具、斑点工具、字符识别工具、条码识别工具、颜色识别工具、灰度检测工具等50个以上的算法工具。</w:t>
            </w:r>
          </w:p>
          <w:p w14:paraId="335A7B1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（15）具备3D平面拟合、平面夹角、高度测量、3D图像拼接。</w:t>
            </w:r>
          </w:p>
          <w:p w14:paraId="12D1FB3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■（16）具备扩展连接器分析模块，具备连接器位置度检测工具，数据分析功能，支持深度学习找PIN功能；具有位置度处理模块，非线性补偿模块等专用检测模块；具备交互式的HMI数据图表显示。</w:t>
            </w:r>
          </w:p>
          <w:p w14:paraId="4EF6738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（17）具备变量统一管理、配方统一管理、硬件设备统一管理等功能，并支持将分析得到的字符串、数值、布尔量等各类数据采集到数据库统一管理。</w:t>
            </w:r>
          </w:p>
          <w:p w14:paraId="18FA378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（18）具有HMI设计器（提供不少于25种控件），并且提供了不少于4个模板，能快速定制化生产界面。</w:t>
            </w:r>
          </w:p>
          <w:p w14:paraId="6140495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（19）具有良好的扩展性，软件支持C#脚本和表达式，支持C#二次开发并免费提供原厂SDK；支持Atom工具、Device和HMI控件的插件式二次开发；支持HMI界面嵌入到第三方WPF与WinForm界面。</w:t>
            </w:r>
          </w:p>
          <w:p w14:paraId="67E4758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（20）支持对OpenCV与Matlab算法的调用，提供Python/C++/C#多语言开发示例库。</w:t>
            </w:r>
          </w:p>
          <w:p w14:paraId="6B5EA01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■（21）支持不少于3个相机自动融合标定校准算法，可以5分钟内完成所有相机的自动手眼标定。</w:t>
            </w:r>
          </w:p>
          <w:p w14:paraId="4270481A">
            <w:pPr>
              <w:widowControl/>
              <w:snapToGrid w:val="0"/>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■（22）具备扩展引导应用模块，支持以流程化的配置方式，快速完成多相机多场景机器视觉引导标定和计算；支持运动分析、引导数据图形化分析。</w:t>
            </w:r>
          </w:p>
          <w:p w14:paraId="785E9C7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■（23）具备扩展测量应用模块，支持结合标准值、上公差、下公差批量对测量结果进行分析，支持对测量结果进行线性补偿，支持对多组分析结果进行合并判断，并支持测量结果的自动导出。</w:t>
            </w:r>
          </w:p>
          <w:p w14:paraId="0EE8EB5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（24）具备扩展点胶应用模块，支持自动寻找胶路以快速部署点胶应用。</w:t>
            </w:r>
          </w:p>
          <w:p w14:paraId="661F9B1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（25）内置深度学习算法，实现深度学习产品分类、深度学习字符识别、深度学习缺陷检测，深度学习缺陷分割，支持CPU计算以及GPU计算两种模式。支持与其他算法工具进行动态数据链。</w:t>
            </w:r>
          </w:p>
          <w:p w14:paraId="308149A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（26）软件具备同时打开多个项目程序；支持中英文的切换；支持管理员、工程师、操作员三级用户权限管理设置。</w:t>
            </w:r>
          </w:p>
          <w:p w14:paraId="19D76C1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（27）集成了TCP/IP工具、网络测试工具、串口调试工具、PLC调试工具、虚拟键盘等调试和测试工具以便于项目调试。</w:t>
            </w:r>
          </w:p>
          <w:p w14:paraId="64F16BE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28）提供多种类数据操作工具，便于软件平台输入数据与分析结果数据的处理，包括拼接、分割、替换、大小写转换、去空格、特定条件截取等字符串操作，数值比较、字符串比较、与、或、异或等逻辑判断操作，数值的加、减、乘、除、最大值、最小值以及sin、cos等三角函数计算，String、Boolean、Double、Int等数据类型间的转换。</w:t>
            </w:r>
          </w:p>
          <w:p w14:paraId="7DCB9DB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29）具备采集的图像或者检测的结果图像进行保存，图像类型包括2D图像与3D图像，具备保存图像的名称根据时间等信息自动命名，支持根据逻辑判断结果分类保存图片，或者只保存NG品图片。2D图像保存还支持保存成IDB数据组，支持保存成jpg或者bmp等格式。</w:t>
            </w:r>
          </w:p>
          <w:p w14:paraId="3B648D8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（30）具备软件操作日志记录；支持将各工具模块的输出自定义为日志输出，以便于系统的调试和维护。</w:t>
            </w:r>
          </w:p>
          <w:p w14:paraId="185002F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（31）软件入口中具有检测、测量、引导等应用的案例程序模板，并保存最近打开的程序的快捷方式，便于程序的使用。</w:t>
            </w:r>
          </w:p>
          <w:p w14:paraId="547E406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■（32）提供不低于150点（满足3个班学生使用需要）的软件永久动态授权，并可持续使用及免费版本升级，便于师生个人电脑安装软件学习使用。</w:t>
            </w:r>
          </w:p>
          <w:p w14:paraId="6947E1D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11.配套教学资源</w:t>
            </w:r>
          </w:p>
          <w:p w14:paraId="727CA94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（1）根据教学大纲配套完整PPT不少于48课时、教学视频不少于64课时。</w:t>
            </w:r>
          </w:p>
          <w:p w14:paraId="1207B8E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（2）线上学习平台。提供机器视觉线上学习课程供师生学习，所提供课时不低于48课时。</w:t>
            </w:r>
          </w:p>
          <w:p w14:paraId="41B887E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（3）提供不少于5种检测样品，涵盖汽车零部件、机加工件、PCB等类别，配套检测要求、案例程序、图片素材、实训指导书等，覆盖测量、检测、识别等场景。</w:t>
            </w:r>
          </w:p>
          <w:p w14:paraId="5EADB70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工业应用案例集。提供不少于100个工业案例供行业认知，包括检测要求、项目背景、检测方案、产品图、效果图等内容，覆盖3C电子、汽车、半导体、医疗、食品等不少于6个行业，交付时提供胶装版案例集3份。</w:t>
            </w:r>
          </w:p>
          <w:p w14:paraId="6B2D98B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（5）配套考核体系题库不少于500道。</w:t>
            </w:r>
          </w:p>
          <w:p w14:paraId="7F15284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■（6）配套教材。提供基于所提供的机器视觉软件的，不低于3本不同ISBN编号的已出版视觉教材供学校选用，能提供相关教材文本、范例配套图片、教材课件、教材配套视频等材料。</w:t>
            </w:r>
          </w:p>
          <w:p w14:paraId="2A7C74C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（7）配套教案。提供机器视觉课程参考教案，满足不低于32课时教学需要，包括课程的教学目标、完整教学流程介绍、总结与拓展、任务实施记录等内容，交付时提供胶装版的3份。</w:t>
            </w:r>
          </w:p>
          <w:p w14:paraId="1647F2A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8）投标所用的图形化机器视觉平台软件内嵌机器视觉大模型知识库，该知识库需具备机器视觉项目开发全流程的智能支持能力，包括但不限于基本原理介绍、视觉软件相关工具使用智能支持、编程逻辑错误提示与优化建议、硬件适配性分析、常见故障解决方案智能匹配等功能。</w:t>
            </w:r>
          </w:p>
        </w:tc>
        <w:tc>
          <w:tcPr>
            <w:tcW w:w="184" w:type="pct"/>
            <w:tcBorders>
              <w:top w:val="single" w:color="auto" w:sz="4" w:space="0"/>
              <w:left w:val="nil"/>
              <w:bottom w:val="single" w:color="auto" w:sz="4" w:space="0"/>
              <w:right w:val="single" w:color="auto" w:sz="4" w:space="0"/>
            </w:tcBorders>
            <w:vAlign w:val="center"/>
          </w:tcPr>
          <w:p w14:paraId="264A6A4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w:t>
            </w:r>
          </w:p>
        </w:tc>
        <w:tc>
          <w:tcPr>
            <w:tcW w:w="184" w:type="pct"/>
            <w:tcBorders>
              <w:top w:val="single" w:color="auto" w:sz="4" w:space="0"/>
              <w:left w:val="nil"/>
              <w:bottom w:val="single" w:color="auto" w:sz="4" w:space="0"/>
              <w:right w:val="single" w:color="auto" w:sz="4" w:space="0"/>
            </w:tcBorders>
            <w:vAlign w:val="center"/>
          </w:tcPr>
          <w:p w14:paraId="60F61FFC">
            <w:pPr>
              <w:widowControl/>
              <w:snapToGrid w:val="0"/>
              <w:spacing w:line="360" w:lineRule="auto"/>
              <w:rPr>
                <w:rFonts w:hint="eastAsia" w:ascii="宋体" w:hAnsi="宋体" w:cs="宋体"/>
                <w:color w:val="000000" w:themeColor="text1"/>
                <w:sz w:val="24"/>
                <w:szCs w:val="24"/>
                <w14:textFill>
                  <w14:solidFill>
                    <w14:schemeClr w14:val="tx1"/>
                  </w14:solidFill>
                </w14:textFill>
              </w:rPr>
            </w:pPr>
          </w:p>
        </w:tc>
      </w:tr>
      <w:tr w14:paraId="5C2B30A3">
        <w:tblPrEx>
          <w:tblCellMar>
            <w:top w:w="0" w:type="dxa"/>
            <w:left w:w="108" w:type="dxa"/>
            <w:bottom w:w="0" w:type="dxa"/>
            <w:right w:w="108" w:type="dxa"/>
          </w:tblCellMar>
        </w:tblPrEx>
        <w:trPr>
          <w:trHeight w:val="288" w:hRule="atLeast"/>
        </w:trPr>
        <w:tc>
          <w:tcPr>
            <w:tcW w:w="181" w:type="pct"/>
            <w:tcBorders>
              <w:top w:val="single" w:color="auto" w:sz="4" w:space="0"/>
              <w:left w:val="single" w:color="auto" w:sz="4" w:space="0"/>
              <w:bottom w:val="single" w:color="auto" w:sz="4" w:space="0"/>
              <w:right w:val="single" w:color="auto" w:sz="4" w:space="0"/>
            </w:tcBorders>
            <w:vAlign w:val="center"/>
          </w:tcPr>
          <w:p w14:paraId="36C535B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w:t>
            </w:r>
          </w:p>
        </w:tc>
        <w:tc>
          <w:tcPr>
            <w:tcW w:w="2033" w:type="dxa"/>
            <w:tcBorders>
              <w:top w:val="single" w:color="auto" w:sz="4" w:space="0"/>
              <w:left w:val="nil"/>
              <w:bottom w:val="single" w:color="auto" w:sz="4" w:space="0"/>
              <w:right w:val="single" w:color="auto" w:sz="4" w:space="0"/>
            </w:tcBorders>
            <w:vAlign w:val="center"/>
          </w:tcPr>
          <w:p w14:paraId="5DC68D2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机器视觉及电气综合实训平台</w:t>
            </w:r>
          </w:p>
        </w:tc>
        <w:tc>
          <w:tcPr>
            <w:tcW w:w="3732" w:type="pct"/>
            <w:tcBorders>
              <w:top w:val="single" w:color="auto" w:sz="4" w:space="0"/>
              <w:left w:val="single" w:color="auto" w:sz="4" w:space="0"/>
              <w:bottom w:val="single" w:color="auto" w:sz="4" w:space="0"/>
              <w:right w:val="single" w:color="auto" w:sz="4" w:space="0"/>
            </w:tcBorders>
            <w:vAlign w:val="center"/>
          </w:tcPr>
          <w:p w14:paraId="49EC797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基本描述：模拟工业生产中常见的PLC与机器视觉联动场景，主要由上料单元、检测单元、装配单元、电气实训台、4轴工业级运动模组、桌面型流水线、图形化机器视觉软件平台、深度学习算法等组成，配套案例程序、教学视频、考核题库等相关教学资源，满足识别、检测、测量、引导四大机器视觉典型应用实训需要。</w:t>
            </w:r>
          </w:p>
          <w:p w14:paraId="2B74CF2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（一）上料单元视觉配置</w:t>
            </w:r>
          </w:p>
          <w:p w14:paraId="3215FB0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1.工业2D相机</w:t>
            </w:r>
          </w:p>
          <w:p w14:paraId="6D6E6DF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（1）分辨率：≥2592*1944。</w:t>
            </w:r>
          </w:p>
          <w:p w14:paraId="608631E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（2）帧率：≥20帧。</w:t>
            </w:r>
          </w:p>
          <w:p w14:paraId="1185D7A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（3）靶面：≥1/2.5”。</w:t>
            </w:r>
          </w:p>
          <w:p w14:paraId="5D8F05F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（4）像元：≥2.2μm。</w:t>
            </w:r>
          </w:p>
          <w:p w14:paraId="468B59B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（5）供电方式：9~24V，支持PoE供电。</w:t>
            </w:r>
          </w:p>
          <w:p w14:paraId="1EB7BA9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（6）具备自动或手动调节增益、曝光时间、Gamma校正、LUT等。</w:t>
            </w:r>
          </w:p>
          <w:p w14:paraId="1423D83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（7）具备镜像输出，支持Binning模式，可提升相机灵敏度。</w:t>
            </w:r>
          </w:p>
          <w:p w14:paraId="4C975FA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（8）6-pin接头提供电源和I/O，包含1路光隔输入、1路光隔输出、1路双向可配置非隔离IO。</w:t>
            </w:r>
          </w:p>
          <w:p w14:paraId="3C07B80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（9）协议/标准：支持GigE Vision V2.0、GenICam。</w:t>
            </w:r>
          </w:p>
          <w:p w14:paraId="015CA7A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2.工业镜头</w:t>
            </w:r>
          </w:p>
          <w:p w14:paraId="54EC5EF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（1）焦距：不低于16mm。</w:t>
            </w:r>
          </w:p>
          <w:p w14:paraId="2595B9F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（2）光圈：F2.8-F16.0。</w:t>
            </w:r>
          </w:p>
          <w:p w14:paraId="743078F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（3）支持靶面：≥1/2.5”。</w:t>
            </w:r>
          </w:p>
          <w:p w14:paraId="0B1B148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（4）分辨率：≥500万。</w:t>
            </w:r>
          </w:p>
          <w:p w14:paraId="05059B2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3.光源A</w:t>
            </w:r>
          </w:p>
          <w:p w14:paraId="5A817B1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（1）发光尺寸：≥Φ70mm。</w:t>
            </w:r>
          </w:p>
          <w:p w14:paraId="474F13B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（2）电源：24VDC。</w:t>
            </w:r>
          </w:p>
          <w:p w14:paraId="07A7D90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（3）数量：3。</w:t>
            </w:r>
          </w:p>
          <w:p w14:paraId="7A12F89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4.光源B</w:t>
            </w:r>
          </w:p>
          <w:p w14:paraId="26874C1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（1）发光尺寸：≥150mm*150mm。</w:t>
            </w:r>
          </w:p>
          <w:p w14:paraId="7F8AC8E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（2）颜色：白色。</w:t>
            </w:r>
          </w:p>
          <w:p w14:paraId="7E44C8B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（3）电源：24VDC。</w:t>
            </w:r>
          </w:p>
          <w:p w14:paraId="26C34C3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（5）支持3D点云输出。</w:t>
            </w:r>
          </w:p>
          <w:p w14:paraId="66852CB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（二）装配单元视觉配置</w:t>
            </w:r>
          </w:p>
          <w:p w14:paraId="2B739D4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1.工业相机</w:t>
            </w:r>
          </w:p>
          <w:p w14:paraId="1875D4A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（1）分辨率：≥2592*1944。</w:t>
            </w:r>
          </w:p>
          <w:p w14:paraId="2EB110C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（2）帧率：≥20帧。</w:t>
            </w:r>
          </w:p>
          <w:p w14:paraId="6F52E21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（3）靶面：≥1/2.5”。</w:t>
            </w:r>
          </w:p>
          <w:p w14:paraId="4FA34D7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（4）像元：≥2.2μm。</w:t>
            </w:r>
          </w:p>
          <w:p w14:paraId="03C5564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（5）供电方式：9~24V，支持PoE供电。</w:t>
            </w:r>
          </w:p>
          <w:p w14:paraId="2E615EE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（6）具备自动或手动调节增益、曝光时间、Gamma校正、LUT等。</w:t>
            </w:r>
          </w:p>
          <w:p w14:paraId="3A12A3D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（7）具备镜像输出，支持Binning模式，可提升相机灵敏度。</w:t>
            </w:r>
          </w:p>
          <w:p w14:paraId="43B32BD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（8）6-pin接头提供电源和I/O，包含1路光隔输入、1路光隔输出、1路双向可配置非隔离IO。</w:t>
            </w:r>
          </w:p>
          <w:p w14:paraId="7A35B98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（9）协议/标准：支持GigE Vision V2.0、GenICam。</w:t>
            </w:r>
          </w:p>
          <w:p w14:paraId="10BFE42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2.工业镜头</w:t>
            </w:r>
          </w:p>
          <w:p w14:paraId="259F71D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（1）焦距：不低于16mm。</w:t>
            </w:r>
          </w:p>
          <w:p w14:paraId="33AB651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（2）光圈：F2.8-F16.0。</w:t>
            </w:r>
          </w:p>
          <w:p w14:paraId="5F03800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（3）支持靶面：≥1/2.5”。</w:t>
            </w:r>
          </w:p>
          <w:p w14:paraId="3AC91AA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（4）分辨率：≥500万。</w:t>
            </w:r>
          </w:p>
          <w:p w14:paraId="1CC0263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3.光源A</w:t>
            </w:r>
          </w:p>
          <w:p w14:paraId="2C79CE9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（1）发光尺寸：≥225mm*35mm。</w:t>
            </w:r>
          </w:p>
          <w:p w14:paraId="2D9A6DA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（2）颜色：白色。</w:t>
            </w:r>
          </w:p>
          <w:p w14:paraId="13A64B0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（3）电源：24VDC。</w:t>
            </w:r>
          </w:p>
          <w:p w14:paraId="40F681C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（4）数量：2。</w:t>
            </w:r>
          </w:p>
          <w:p w14:paraId="383248D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4.光源B</w:t>
            </w:r>
          </w:p>
          <w:p w14:paraId="3102F95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（1）发光尺寸：≥150mm*150mm。</w:t>
            </w:r>
          </w:p>
          <w:p w14:paraId="6B6A068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（2）颜色：白色。</w:t>
            </w:r>
          </w:p>
          <w:p w14:paraId="12594EA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（3）电源：24VDC。</w:t>
            </w:r>
          </w:p>
          <w:p w14:paraId="6B81C01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（三）动态搬运单元视觉配置</w:t>
            </w:r>
          </w:p>
          <w:p w14:paraId="25ECEEF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1.工业相机</w:t>
            </w:r>
          </w:p>
          <w:p w14:paraId="2E684E1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（1）分辨率：≥2592*1944。</w:t>
            </w:r>
          </w:p>
          <w:p w14:paraId="05BEC2D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（2）帧率：≥20帧。</w:t>
            </w:r>
          </w:p>
          <w:p w14:paraId="688F8D8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（3）靶面：≥1/2.5”。</w:t>
            </w:r>
          </w:p>
          <w:p w14:paraId="51F3817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（4）像元：≥2.2μm。</w:t>
            </w:r>
          </w:p>
          <w:p w14:paraId="1C4E22B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（5）供电方式：9~24V，支持PoE供电。</w:t>
            </w:r>
          </w:p>
          <w:p w14:paraId="70BE50D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（6）具备自动或手动调节增益、曝光时间、Gamma校正、LUT等。</w:t>
            </w:r>
          </w:p>
          <w:p w14:paraId="087AD5E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（7）具备镜像输出，支持Binning模式，可提升相机灵敏度。</w:t>
            </w:r>
          </w:p>
          <w:p w14:paraId="4E58756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（8）6-pin接头提供电源和I/O，包含1路光隔输入、1路光隔输出、1路双向可配置非隔离IO。</w:t>
            </w:r>
          </w:p>
          <w:p w14:paraId="7A7668E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（9）协议/标准：支持GigE Vision V2.0、GenICam。</w:t>
            </w:r>
          </w:p>
          <w:p w14:paraId="0B29771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2.工业镜头</w:t>
            </w:r>
          </w:p>
          <w:p w14:paraId="1DDEF25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（1）焦距：不低于16mm。</w:t>
            </w:r>
          </w:p>
          <w:p w14:paraId="291A3B2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（2）光圈：F2.8-F16.0。</w:t>
            </w:r>
          </w:p>
          <w:p w14:paraId="12C0A2F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（3）支持靶面：≥1/2.5”。</w:t>
            </w:r>
          </w:p>
          <w:p w14:paraId="2136469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（4）分辨率：≥500万。</w:t>
            </w:r>
          </w:p>
          <w:p w14:paraId="4B8804A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3.光源</w:t>
            </w:r>
          </w:p>
          <w:p w14:paraId="2349ECA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（1）发光尺寸：≥100mm*15mm。</w:t>
            </w:r>
          </w:p>
          <w:p w14:paraId="0DBC0F4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（2）颜色：白色。</w:t>
            </w:r>
          </w:p>
          <w:p w14:paraId="2C5DDA9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（3）电源：24VDC。</w:t>
            </w:r>
          </w:p>
          <w:p w14:paraId="2741F49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（四）视觉控制系统</w:t>
            </w:r>
          </w:p>
          <w:p w14:paraId="09A0696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（1）主板：不低于I7-12700。</w:t>
            </w:r>
          </w:p>
          <w:p w14:paraId="4D81C83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（2）内存：不低于16G。</w:t>
            </w:r>
          </w:p>
          <w:p w14:paraId="2565963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（3）硬盘：不低于1TB。</w:t>
            </w:r>
          </w:p>
          <w:p w14:paraId="3EBB622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（4）千兆网口6个，传输速度1Gbps，其中支持PoE网口不少于4个。</w:t>
            </w:r>
          </w:p>
          <w:p w14:paraId="2D0D5E3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（5）PCI总线不少于2个，PCIE总线插槽不少于3个。</w:t>
            </w:r>
          </w:p>
          <w:p w14:paraId="455C383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（6）串口不少于2个。</w:t>
            </w:r>
          </w:p>
          <w:p w14:paraId="76459D8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（7）显示终端1个，不小于19.5英寸，支持挂壁，LED背光；包含键盘、鼠标。</w:t>
            </w:r>
          </w:p>
          <w:p w14:paraId="28E758F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（五）整体结构与取置料区域</w:t>
            </w:r>
          </w:p>
          <w:p w14:paraId="28168E2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1.整体尺寸：高×长×宽为1600mm×1200mm×800mm±50mm。</w:t>
            </w:r>
          </w:p>
          <w:p w14:paraId="0936A60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2.主体材质铝合金，全方位安全防护，含安全门开关、光栅防护、急停开关。</w:t>
            </w:r>
          </w:p>
          <w:p w14:paraId="530CA22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3.取料及装配料盘尺寸：≥160mm×190mm。</w:t>
            </w:r>
          </w:p>
          <w:p w14:paraId="0FA1AD4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4.小型桌面流水线，最大负载≥2kg。</w:t>
            </w:r>
          </w:p>
          <w:p w14:paraId="37A3376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5.传送带的宽度不小于80mm。</w:t>
            </w:r>
          </w:p>
          <w:p w14:paraId="461F1C2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6.传送带的最大运行速度不低于500mm/s。</w:t>
            </w:r>
          </w:p>
          <w:p w14:paraId="26B07A0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（六）运动模组技术参数</w:t>
            </w:r>
          </w:p>
          <w:p w14:paraId="60FBC9D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1.</w:t>
            </w:r>
            <w:r>
              <w:rPr>
                <w:rFonts w:hint="eastAsia" w:ascii="宋体" w:hAnsi="宋体" w:cs="宋体"/>
                <w:b/>
                <w:bCs/>
                <w:sz w:val="24"/>
                <w:szCs w:val="24"/>
              </w:rPr>
              <w:t>★</w:t>
            </w:r>
            <w:r>
              <w:rPr>
                <w:rFonts w:hint="eastAsia" w:ascii="宋体" w:hAnsi="宋体" w:cs="宋体"/>
                <w:b/>
                <w:bCs/>
                <w:color w:val="000000" w:themeColor="text1"/>
                <w:sz w:val="24"/>
                <w:szCs w:val="24"/>
                <w14:textFill>
                  <w14:solidFill>
                    <w14:schemeClr w14:val="tx1"/>
                  </w14:solidFill>
                </w14:textFill>
              </w:rPr>
              <w:t>运动轴数量：4轴。</w:t>
            </w:r>
          </w:p>
          <w:p w14:paraId="4AD6C90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2.X轴行程：≥300mm。</w:t>
            </w:r>
          </w:p>
          <w:p w14:paraId="68EDB76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3.Y轴行程：≥300mm。</w:t>
            </w:r>
          </w:p>
          <w:p w14:paraId="4E87178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4.Z轴行程：≥100mm。</w:t>
            </w:r>
          </w:p>
          <w:p w14:paraId="1332F4D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5.旋转轴θ：+/-180°。</w:t>
            </w:r>
          </w:p>
          <w:p w14:paraId="7F8F18E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6.重复精度：≤0.02mm。</w:t>
            </w:r>
          </w:p>
          <w:p w14:paraId="7E872E8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7.最大负载：≥2Kg。</w:t>
            </w:r>
          </w:p>
          <w:p w14:paraId="4684CC3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8.最大运行速度：≥500mm/s。</w:t>
            </w:r>
          </w:p>
          <w:p w14:paraId="2B27F01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9.控制方式</w:t>
            </w:r>
          </w:p>
          <w:p w14:paraId="2DD3A90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（1）X轴、Y轴、Z轴采用高精度伺服电机控制，额定输出不小于0.2KW，额定转矩不小于0.64N.m，顺时最大转矩不小于2.24N.m，额定转速不小于3000rpm，最高转速不小于6000rpm，采用EtherCAT通信。</w:t>
            </w:r>
          </w:p>
          <w:p w14:paraId="0B3DED0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（2）θ轴采用42步进电机，步进角≤1.8°，保持力矩≥0.28N。</w:t>
            </w:r>
          </w:p>
          <w:p w14:paraId="09AA0E6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（七）PLC控制系统</w:t>
            </w:r>
          </w:p>
          <w:p w14:paraId="5BD4C7F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1.CPU特征用户存储：不小于100K/4MB。</w:t>
            </w:r>
          </w:p>
          <w:p w14:paraId="0A2BAC3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2.板载数字I/O：不少于16点输入/10点输出。</w:t>
            </w:r>
          </w:p>
          <w:p w14:paraId="5CF076E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3.板载模拟I/O：不少于2点输入。</w:t>
            </w:r>
          </w:p>
          <w:p w14:paraId="73D7EBB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4.编程语言：支持梯形图示意图（LD）、结构图文本（ST）、功能模块图/梯形图语言（FBD/LD）。</w:t>
            </w:r>
          </w:p>
          <w:p w14:paraId="27F979C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5.持续扫描：0.2～2000ms（可设定0.1ms为单位）。</w:t>
            </w:r>
          </w:p>
          <w:p w14:paraId="1D7BBFA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6.指令处理速度：32ns。</w:t>
            </w:r>
          </w:p>
          <w:p w14:paraId="0E32808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7.网络通信：以太网，100/10Mb/s。</w:t>
            </w:r>
          </w:p>
          <w:p w14:paraId="236044B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8.串口：支持RS-485（带MODBUS功能）。</w:t>
            </w:r>
          </w:p>
          <w:p w14:paraId="493EEC2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9.PLC型号版本不低于S7-1200。</w:t>
            </w:r>
          </w:p>
          <w:p w14:paraId="21835DE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（八）电气实训台</w:t>
            </w:r>
          </w:p>
          <w:p w14:paraId="7353CDD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1.包括PLC实训区、开关量操作区、模拟量实训区。</w:t>
            </w:r>
          </w:p>
          <w:p w14:paraId="5BCDE77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2.实时监测Y轴的具体位置。</w:t>
            </w:r>
          </w:p>
          <w:p w14:paraId="4BD5575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3.在PID控制器和触摸屏上实时显示Y轴具体位置的数值。</w:t>
            </w:r>
          </w:p>
          <w:p w14:paraId="052D072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4.PID控制器功能</w:t>
            </w:r>
          </w:p>
          <w:p w14:paraId="6509B41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（1）显示距离的实时数据。</w:t>
            </w:r>
          </w:p>
          <w:p w14:paraId="4A18D01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（2）调节传感器的检测距离。</w:t>
            </w:r>
          </w:p>
          <w:p w14:paraId="7C0867B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（3）接通和屏蔽传感器。</w:t>
            </w:r>
          </w:p>
          <w:p w14:paraId="5A4BE1C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5.开关按钮≥3个，指示灯≥8个，拨动开关≥10个。</w:t>
            </w:r>
          </w:p>
          <w:p w14:paraId="6E3DF69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6.触摸屏尺寸≥7寸，分辨率≥800x480。</w:t>
            </w:r>
          </w:p>
          <w:p w14:paraId="617B673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（九）光源控制器</w:t>
            </w:r>
          </w:p>
          <w:p w14:paraId="3EB7B42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1.提供手动按键/RS232串行通信方式控制亮度。</w:t>
            </w:r>
          </w:p>
          <w:p w14:paraId="3EC4C7D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2.单通道带负载额定输出电流不小于3A。</w:t>
            </w:r>
          </w:p>
          <w:p w14:paraId="7B23EE4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3.提供多种工作模式：常亮/触发/频闪。</w:t>
            </w:r>
          </w:p>
          <w:p w14:paraId="68326BD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4.具有断电记忆功能、短路保护功能。</w:t>
            </w:r>
          </w:p>
          <w:p w14:paraId="6D2496E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5.提供外部IO触发端口，兼容NPN/PNP方式触发。</w:t>
            </w:r>
          </w:p>
          <w:p w14:paraId="5F2B29D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6.输出接口定义：SMP-03V，1：输出+；2：NC；3：输出-。</w:t>
            </w:r>
          </w:p>
          <w:p w14:paraId="15FC603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7.输出功率：≥75W。</w:t>
            </w:r>
          </w:p>
          <w:p w14:paraId="7D06632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（十）机器视觉软件</w:t>
            </w:r>
          </w:p>
          <w:p w14:paraId="174D678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■（1）图形化拖拽式编程软件开发环境，可通过零代码编程完成所有教学方案。多线程底层机制，无需用户设置，系统自动识别运行可并行的流程、作业和模块，高效运行。</w:t>
            </w:r>
          </w:p>
          <w:p w14:paraId="5FE458A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（2）用户可自定义配置视觉任务流程，实现从信号触发到采集、标定、算法处理、结果分析、结果显示、通讯发送、人机交互整个过程。</w:t>
            </w:r>
          </w:p>
          <w:p w14:paraId="2F4BBD3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（3）各工具模块运行时，输入输出结果可实时监控，易于调试和维护。</w:t>
            </w:r>
          </w:p>
          <w:p w14:paraId="07843BF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（4）具备生产运行模式和程序设计模式的一键切换，无需切换程序。具备在运行模式下，支持打开算法工具进行参数调整；支持在算法工具参数调整时日志自动记录，并自动录屏，以便于追溯确认。</w:t>
            </w:r>
          </w:p>
          <w:p w14:paraId="7577BAB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（5）支持网口和USB口标准接口相机，同时支持外触发控制工业相机取像，支持不低于5个主流厂家的相机。</w:t>
            </w:r>
          </w:p>
          <w:p w14:paraId="7D8EAC4A">
            <w:pPr>
              <w:widowControl/>
              <w:snapToGrid w:val="0"/>
              <w:spacing w:line="360" w:lineRule="auto"/>
              <w:rPr>
                <w:rFonts w:hint="eastAsia" w:ascii="宋体" w:hAnsi="宋体" w:cs="宋体"/>
                <w:strike/>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■（6）具备液态镜头调焦，支持不少于5个市场主流厂家的3D相机。</w:t>
            </w:r>
          </w:p>
          <w:p w14:paraId="73576AE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（7）支持不低于5个品牌光源控制器接入以及亮度自由调节。</w:t>
            </w:r>
          </w:p>
          <w:p w14:paraId="4F6A038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（8）支持以太网、串口通讯、管道通讯，支持10路以上串口和以太网并发通讯；支持不低于5个品牌IO卡的控制。</w:t>
            </w:r>
          </w:p>
          <w:p w14:paraId="42350E0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（9）支持连接不低于7种常见品牌PLC；支持PLC寄存器地址批量读写；支持OPCUA协议；支持Profinet通讯。</w:t>
            </w:r>
          </w:p>
          <w:p w14:paraId="2197AD0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（10）软件具备信号源侦测，包括定时器触发、计划时间触发、内部触发、网络设备监听、PLC与IO卡扫描等。</w:t>
            </w:r>
          </w:p>
          <w:p w14:paraId="4AD0AD6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（11）CPU监控、内存监控、内存回收、文件与文件夹删除等系统管理功能。</w:t>
            </w:r>
          </w:p>
          <w:p w14:paraId="79421FB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（12）具备分支、循环、合并、流程选择等逻辑控制功能。</w:t>
            </w:r>
          </w:p>
          <w:p w14:paraId="2D5927D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（13）具有80个以上功能的Idoc，方便进行硬件操作、数据分析。</w:t>
            </w:r>
          </w:p>
          <w:p w14:paraId="55C625E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■（14）软件具备动态调用算法库，实现图像的输入与检测结果输出的自动同步。包含模板匹配、卡尺工具、斑点工具、字符识别工具、条码识别工具、颜色识别工具、灰度检测工具等50个以上的算法工具。</w:t>
            </w:r>
          </w:p>
          <w:p w14:paraId="3A434A8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（15）具备3D平面拟合、平面夹角、高度测量、3D图像拼接。</w:t>
            </w:r>
          </w:p>
          <w:p w14:paraId="6D43125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■（16）具备扩展连接器分析模块，具备连接器位置度检测工具，数据分析功能，支持深度学习找PIN功能；具有位置度处理模块，非线性补偿模块等专用检测模块；具备交互式的HMI数据图表显示。</w:t>
            </w:r>
          </w:p>
          <w:p w14:paraId="534182F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（17）具备变量统一管理、配方统一管理、硬件设备统一管理等功能，并支持将分析得到的字符串、数值、布尔量等各类数据采集到数据库统一管理。</w:t>
            </w:r>
          </w:p>
          <w:p w14:paraId="583CA7E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（18）具有HMI设计器（提供不少于25种控件），并且提供了不少于4个模板，能快速定制化生产界面。</w:t>
            </w:r>
          </w:p>
          <w:p w14:paraId="226F2EC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（19）具有良好的扩展性，软件支持C#脚本和表达式，支持C#二次开发并免费提供原厂SDK；支持Atom工具、Device和HMI控件的插件式二次开发；支持HMI界面嵌入到第三方WPF与WinForm界面。</w:t>
            </w:r>
          </w:p>
          <w:p w14:paraId="784315E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（20）支持对OpenCV与Matlab算法的调用，提供Python/C++/C#多语言开发示例库。</w:t>
            </w:r>
          </w:p>
          <w:p w14:paraId="6F273706">
            <w:pPr>
              <w:widowControl/>
              <w:snapToGrid w:val="0"/>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■（21）支持不少于3个相机自动融合标定校准算法，可以5分钟内完成所有相机的自动手眼标定。</w:t>
            </w:r>
          </w:p>
          <w:p w14:paraId="693B0363">
            <w:pPr>
              <w:widowControl/>
              <w:snapToGrid w:val="0"/>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■（22）具备扩展引导应用模块，支持以流程化的配置方式，快速完成多相机多场景机器视觉引导标定和计算；支持运动分析、引导数据图形化分析。</w:t>
            </w:r>
          </w:p>
          <w:p w14:paraId="3F4CF94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■（23）具备扩展测量应用模块，支持结合标准值、上公差、下公差批量对测量结果进行分析，支持对测量结果进行线性补偿，支持对多组分析结果进行合并判断，并支持测量结果的自动导出。</w:t>
            </w:r>
          </w:p>
          <w:p w14:paraId="70F8F3F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（24）具备扩展点胶应用模块，支持自动寻找胶路以快速部署点胶应用。</w:t>
            </w:r>
          </w:p>
          <w:p w14:paraId="5D31009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（25）内置深度学习算法，实现深度学习产品分类、深度学习字符识别、深度学习缺陷检测，深度学习缺陷分割，支持CPU计算以及GPU计算两种模式。支持与其他算法工具进行动态数据链。</w:t>
            </w:r>
          </w:p>
          <w:p w14:paraId="38A3951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（26）软件具备同时打开多个项目程序；支持中英文的切换；支持管理员、工程师、操作员三级用户权限管理设置。</w:t>
            </w:r>
          </w:p>
          <w:p w14:paraId="1685701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（27）集成了TCP/IP工具、网络测试工具、串口调试工具、PLC调试工具、虚拟键盘等调试和测试工具以便于项目调试。</w:t>
            </w:r>
          </w:p>
          <w:p w14:paraId="045CCFF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28）提供多种类数据操作工具，便于软件平台输入数据与分析结果数据的处理，包括拼接、分割、替换、大小写转换、去空格、特定条件截取等字符串操作，数值比较、字符串比较、与、或、异或等逻辑判断操作，数值的加、减、乘、除、最大值、最小值以及sin、cos等三角函数计算，String、Boolean、Double、Int等数据类型间的转换。</w:t>
            </w:r>
          </w:p>
          <w:p w14:paraId="19D17B8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29）具备采集的图像或者检测的结果图像进行保存，图像类型包括2D图像与3D图像，具备保存图像的名称根据时间等信息自动命名，支持根据逻辑判断结果分类保存图片，或者只保存NG品图片。2D图像保存还支持保存成IDB数据组，支持保存成jpg或者bmp等格式。</w:t>
            </w:r>
          </w:p>
          <w:p w14:paraId="5C18550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（30）具备软件操作日志记录；支持将各工具模块的输出自定义为日志输出，以便于系统的调试和维护。</w:t>
            </w:r>
          </w:p>
          <w:p w14:paraId="5094323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（31）软件入口中具有检测、测量、引导等应用的案例程序模板，并保存最近打开的程序的快捷方式，便于程序的使用。</w:t>
            </w:r>
          </w:p>
          <w:p w14:paraId="75E4CB2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■（32）提供不低于150点（满足3个班学生使用需要）的软件永久动态授权，并可持续使用及免费版本升级，便于师生个人电脑安装软件学习使用。</w:t>
            </w:r>
          </w:p>
          <w:p w14:paraId="28F4E87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（十一）视觉方案设计软件</w:t>
            </w:r>
          </w:p>
          <w:p w14:paraId="34F3DE3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（1）软件需支持硬件素材库管理、型号筛选、智能选型计算三大核心功能，聚焦相机、镜头、光源等视觉系统核心硬件的选型与方案设计支持。</w:t>
            </w:r>
          </w:p>
          <w:p w14:paraId="340284C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软件内置硬件素材库需满足以下要求：1）相机素材：涵盖不少于8个主流厂家的主流型号，包含2D线扫相机、3D相机、智能相机等类型。2）光源素材：包含环形光、条光、同轴光、面光、弧顶光、点光等不低于8种类型。3）镜头素材：包含定焦镜头、远心镜头、定倍镜头等类型。</w:t>
            </w:r>
          </w:p>
          <w:p w14:paraId="433311C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（3）具备对素材库中的相机、镜头、光源等硬件进行选择，选择后可自动将该硬件的示意图复制到剪切板，便于方案制作。</w:t>
            </w:r>
          </w:p>
          <w:p w14:paraId="01793A8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（4）软件需支持相机、镜头、光源3大类硬件的型号筛选，且具备模糊搜索功能，可快速定位目标硬件类型。</w:t>
            </w:r>
          </w:p>
          <w:p w14:paraId="3A2D4CC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（5）选中素材库中某硬件后，软件需支持直接查看该硬件的2D图纸，并能自动复制其3D图纸到剪切板，以提高解决方案文档的撰写效率。</w:t>
            </w:r>
          </w:p>
          <w:p w14:paraId="05ADE9BC">
            <w:pPr>
              <w:widowControl/>
              <w:snapToGrid w:val="0"/>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6）软件支持快速镜头选型功能：在完成相机基本参数选择、视野范围和工作距离选择后，自动推荐不同厂家不同类型的可用镜头，并列出镜头的型号、品牌、视野、工作距离、景深、接口类型、前端直径等参数。</w:t>
            </w:r>
          </w:p>
          <w:p w14:paraId="693922C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■（7）软件支持快速光源选型功能：在完成工作距离和视野范围相关要求输入后，自动推荐合适的光源大小，确保方案可行性。</w:t>
            </w:r>
          </w:p>
          <w:p w14:paraId="28C6668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（8）软件对硬件型号的模糊搜索响应时间需≤2秒。</w:t>
            </w:r>
          </w:p>
          <w:p w14:paraId="00B0904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（9）镜头选型推荐结果需确保与所选相机参数匹配，满足视野范围、工作距离等核心指标要求。</w:t>
            </w:r>
          </w:p>
          <w:p w14:paraId="6EB2587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（10）光源选型推荐结果需符合工作距离和视野范围的相关要求，保障方案在实际应用中的可行性。</w:t>
            </w:r>
          </w:p>
          <w:p w14:paraId="7424CFE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（十二）配套教学资源</w:t>
            </w:r>
          </w:p>
          <w:p w14:paraId="49FBC7F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必须包括设备配套的实验指导书、案例程序、操作视频。</w:t>
            </w:r>
          </w:p>
        </w:tc>
        <w:tc>
          <w:tcPr>
            <w:tcW w:w="184" w:type="pct"/>
            <w:tcBorders>
              <w:top w:val="single" w:color="auto" w:sz="4" w:space="0"/>
              <w:left w:val="nil"/>
              <w:bottom w:val="single" w:color="auto" w:sz="4" w:space="0"/>
              <w:right w:val="single" w:color="auto" w:sz="4" w:space="0"/>
            </w:tcBorders>
            <w:vAlign w:val="center"/>
          </w:tcPr>
          <w:p w14:paraId="1F9C6D1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p>
        </w:tc>
        <w:tc>
          <w:tcPr>
            <w:tcW w:w="184" w:type="pct"/>
            <w:tcBorders>
              <w:top w:val="single" w:color="auto" w:sz="4" w:space="0"/>
              <w:left w:val="nil"/>
              <w:bottom w:val="single" w:color="auto" w:sz="4" w:space="0"/>
              <w:right w:val="single" w:color="auto" w:sz="4" w:space="0"/>
            </w:tcBorders>
            <w:vAlign w:val="center"/>
          </w:tcPr>
          <w:p w14:paraId="17B98CEE">
            <w:pPr>
              <w:widowControl/>
              <w:snapToGrid w:val="0"/>
              <w:spacing w:line="360" w:lineRule="auto"/>
              <w:rPr>
                <w:rFonts w:hint="eastAsia" w:ascii="宋体" w:hAnsi="宋体" w:cs="宋体"/>
                <w:color w:val="000000" w:themeColor="text1"/>
                <w:sz w:val="24"/>
                <w:szCs w:val="24"/>
                <w14:textFill>
                  <w14:solidFill>
                    <w14:schemeClr w14:val="tx1"/>
                  </w14:solidFill>
                </w14:textFill>
              </w:rPr>
            </w:pPr>
          </w:p>
        </w:tc>
      </w:tr>
      <w:tr w14:paraId="6EE275CE">
        <w:tblPrEx>
          <w:tblCellMar>
            <w:top w:w="0" w:type="dxa"/>
            <w:left w:w="108" w:type="dxa"/>
            <w:bottom w:w="0" w:type="dxa"/>
            <w:right w:w="108" w:type="dxa"/>
          </w:tblCellMar>
        </w:tblPrEx>
        <w:trPr>
          <w:trHeight w:val="288" w:hRule="atLeast"/>
        </w:trPr>
        <w:tc>
          <w:tcPr>
            <w:tcW w:w="181" w:type="pct"/>
            <w:tcBorders>
              <w:top w:val="single" w:color="auto" w:sz="4" w:space="0"/>
              <w:left w:val="single" w:color="auto" w:sz="4" w:space="0"/>
              <w:bottom w:val="single" w:color="auto" w:sz="4" w:space="0"/>
              <w:right w:val="single" w:color="auto" w:sz="4" w:space="0"/>
            </w:tcBorders>
            <w:vAlign w:val="center"/>
          </w:tcPr>
          <w:p w14:paraId="3180683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w:t>
            </w:r>
          </w:p>
        </w:tc>
        <w:tc>
          <w:tcPr>
            <w:tcW w:w="2033" w:type="dxa"/>
            <w:tcBorders>
              <w:top w:val="single" w:color="auto" w:sz="4" w:space="0"/>
              <w:left w:val="nil"/>
              <w:bottom w:val="single" w:color="auto" w:sz="4" w:space="0"/>
              <w:right w:val="single" w:color="auto" w:sz="4" w:space="0"/>
            </w:tcBorders>
            <w:vAlign w:val="center"/>
          </w:tcPr>
          <w:p w14:paraId="037327D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rPr>
              <w:t>▲</w:t>
            </w:r>
            <w:r>
              <w:rPr>
                <w:rFonts w:hint="eastAsia" w:ascii="宋体" w:hAnsi="宋体" w:cs="宋体"/>
                <w:color w:val="000000" w:themeColor="text1"/>
                <w:sz w:val="24"/>
                <w:szCs w:val="24"/>
                <w14:textFill>
                  <w14:solidFill>
                    <w14:schemeClr w14:val="tx1"/>
                  </w14:solidFill>
                </w14:textFill>
              </w:rPr>
              <w:t>机器视觉智能综合实训平台</w:t>
            </w:r>
          </w:p>
        </w:tc>
        <w:tc>
          <w:tcPr>
            <w:tcW w:w="3732" w:type="pct"/>
            <w:tcBorders>
              <w:top w:val="single" w:color="auto" w:sz="4" w:space="0"/>
              <w:left w:val="single" w:color="auto" w:sz="4" w:space="0"/>
              <w:bottom w:val="single" w:color="auto" w:sz="4" w:space="0"/>
              <w:right w:val="single" w:color="auto" w:sz="4" w:space="0"/>
            </w:tcBorders>
            <w:vAlign w:val="center"/>
          </w:tcPr>
          <w:p w14:paraId="38DA8FC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基本描述：机器视觉智能综合实训平台设备由上料单元、测量单元、装配单元、检测单元以及工业机器人、环型流水线、PLC与人机交互相关模块构成，配置工业级的图形化机器视觉软件开发环境，配置教学视频、案例程序与案例素材等教学辅助资料。通过机器视觉系统与工业机器人联动，真实模拟块状锂电池加工生产场景，可以进行机器视觉引导定位抓取、智能装配、测量分检、读码识别、瑕疵检测等项目化实训，培养多技能融合的机器视觉工程技术人才。</w:t>
            </w:r>
          </w:p>
          <w:p w14:paraId="62A3BA2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（一）上料单元视觉配置</w:t>
            </w:r>
          </w:p>
          <w:p w14:paraId="4CC686A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1.工业2D相机</w:t>
            </w:r>
          </w:p>
          <w:p w14:paraId="014A8B2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（1）分辨率：≥2448*2048</w:t>
            </w:r>
          </w:p>
          <w:p w14:paraId="7F88E6D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（2）帧率：≥24帧</w:t>
            </w:r>
          </w:p>
          <w:p w14:paraId="6A4B00D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（3）靶面：≥2/3”</w:t>
            </w:r>
          </w:p>
          <w:p w14:paraId="674238D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（4）像元：≥3.45μm</w:t>
            </w:r>
          </w:p>
          <w:p w14:paraId="0D6BC6C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（5）供电方式：9~24V，支持PoE供电</w:t>
            </w:r>
          </w:p>
          <w:p w14:paraId="6016E66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（6）支持自动或手动调节增益、曝光时间、Gamma校正、LUT等</w:t>
            </w:r>
          </w:p>
          <w:p w14:paraId="52C149A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（7）支持镜像输出，支持Binning模式，可提升相机灵敏度</w:t>
            </w:r>
          </w:p>
          <w:p w14:paraId="2942A97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（8）6-pin接头提供电源和I/O，包含1路光隔输入、1路光隔输出、1路双向可配置非隔离IO</w:t>
            </w:r>
          </w:p>
          <w:p w14:paraId="3FB3D70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（9）协议/标准：支持GigE Vision V2.0、GenICam</w:t>
            </w:r>
          </w:p>
          <w:p w14:paraId="3367A1F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（10）数量：2</w:t>
            </w:r>
          </w:p>
          <w:p w14:paraId="78BF647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2.16工业镜头</w:t>
            </w:r>
          </w:p>
          <w:p w14:paraId="34376A6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（1）焦距：16mm</w:t>
            </w:r>
          </w:p>
          <w:p w14:paraId="5053688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（2）光圈：F2.8-F16.0</w:t>
            </w:r>
          </w:p>
          <w:p w14:paraId="6AA4D1F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（3）像面尺寸Φ：≥9.5mm</w:t>
            </w:r>
          </w:p>
          <w:p w14:paraId="49330D5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（4）分辨率：≥500万</w:t>
            </w:r>
          </w:p>
          <w:p w14:paraId="4485966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3.30工业镜头</w:t>
            </w:r>
          </w:p>
          <w:p w14:paraId="6865DAD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（1）焦距：30mm</w:t>
            </w:r>
          </w:p>
          <w:p w14:paraId="701D4E5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（2）光圈：F2.8-F16.0</w:t>
            </w:r>
          </w:p>
          <w:p w14:paraId="553E4BE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（3）像面尺寸Φ：≥9.5mm</w:t>
            </w:r>
          </w:p>
          <w:p w14:paraId="001EDDB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（4）分辨率：≥600万</w:t>
            </w:r>
          </w:p>
          <w:p w14:paraId="62F59CE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4.光源A</w:t>
            </w:r>
          </w:p>
          <w:p w14:paraId="4CC440F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（1）发光尺寸：≥145mm×35mm</w:t>
            </w:r>
          </w:p>
          <w:p w14:paraId="4BAFE11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（2）颜色：白色</w:t>
            </w:r>
          </w:p>
          <w:p w14:paraId="1C02B44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（3）电源：24VDC</w:t>
            </w:r>
          </w:p>
          <w:p w14:paraId="51E29C9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（4）数量：2</w:t>
            </w:r>
          </w:p>
          <w:p w14:paraId="38C00BA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5.光源B</w:t>
            </w:r>
          </w:p>
          <w:p w14:paraId="366DA01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（1）发光尺寸：≥192mm×38mm</w:t>
            </w:r>
          </w:p>
          <w:p w14:paraId="6E74DB7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（2）颜色：白色</w:t>
            </w:r>
          </w:p>
          <w:p w14:paraId="034F488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（3）电源：24VDC</w:t>
            </w:r>
          </w:p>
          <w:p w14:paraId="608F1BE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（二）装配单元视觉配置</w:t>
            </w:r>
          </w:p>
          <w:p w14:paraId="6A904C3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1.工业相机</w:t>
            </w:r>
          </w:p>
          <w:p w14:paraId="3FE3626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（1）分辨率：≥2448*2048</w:t>
            </w:r>
          </w:p>
          <w:p w14:paraId="79ABC9B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（2）帧率：≥24帧</w:t>
            </w:r>
          </w:p>
          <w:p w14:paraId="1CB3422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（3）靶面：≥2/3”</w:t>
            </w:r>
          </w:p>
          <w:p w14:paraId="47A230F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（4）像元：≥3.45μm</w:t>
            </w:r>
          </w:p>
          <w:p w14:paraId="16DCFED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（5）供电方式：9~24V，支持PoE供电</w:t>
            </w:r>
          </w:p>
          <w:p w14:paraId="207E798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（6）支持自动或手动调节增益、曝光时间、Gamma校正、LUT等</w:t>
            </w:r>
          </w:p>
          <w:p w14:paraId="3A7FF71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（7）支持镜像输出，支持Binning模式，可提升相机灵敏度</w:t>
            </w:r>
          </w:p>
          <w:p w14:paraId="1B7473D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（8）6-pin接头提供电源和I/O，包含1路光隔输入、1路光隔输出、1路双向可配置非隔离IO</w:t>
            </w:r>
          </w:p>
          <w:p w14:paraId="62EE6A8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（9）协议/标准：支持GigE Vision V2.0、GenICam</w:t>
            </w:r>
          </w:p>
          <w:p w14:paraId="3860661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2.工业镜头</w:t>
            </w:r>
          </w:p>
          <w:p w14:paraId="2FC96D2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（1）焦距：30mm</w:t>
            </w:r>
          </w:p>
          <w:p w14:paraId="732593D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（2）光圈：F2.8-F16.0</w:t>
            </w:r>
          </w:p>
          <w:p w14:paraId="63CE009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（3）像面尺寸Φ：≥9.5mm</w:t>
            </w:r>
          </w:p>
          <w:p w14:paraId="557945E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（4）分辨率：≥600万</w:t>
            </w:r>
          </w:p>
          <w:p w14:paraId="7542BFC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3.光源</w:t>
            </w:r>
          </w:p>
          <w:p w14:paraId="2FA51A1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（1）发光尺寸：≥80mm×74mm</w:t>
            </w:r>
          </w:p>
          <w:p w14:paraId="13954DD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（2）整体尺寸：≤149mm×90mm×85mm</w:t>
            </w:r>
          </w:p>
          <w:p w14:paraId="3D32AB4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（3）颜色：白色</w:t>
            </w:r>
          </w:p>
          <w:p w14:paraId="6D9FA28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（4）类型：同轴光</w:t>
            </w:r>
          </w:p>
          <w:p w14:paraId="1F3D6C7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（三）测量单元视觉配置</w:t>
            </w:r>
          </w:p>
          <w:p w14:paraId="65849EE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1.工业相机</w:t>
            </w:r>
          </w:p>
          <w:p w14:paraId="11BD386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（1）分辨率：≥2448*2048</w:t>
            </w:r>
          </w:p>
          <w:p w14:paraId="4C48A24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（2）帧率：≥24帧</w:t>
            </w:r>
          </w:p>
          <w:p w14:paraId="2DF9BEC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（3）靶面：≥2/3”</w:t>
            </w:r>
          </w:p>
          <w:p w14:paraId="2656F1D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（4）像元：≥3.45μm</w:t>
            </w:r>
          </w:p>
          <w:p w14:paraId="658D200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（5）供电方式：9~24V，支持PoE供电</w:t>
            </w:r>
          </w:p>
          <w:p w14:paraId="7E3DA6E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（6）支持自动或手动调节增益、曝光时间、Gamma校正、LUT等</w:t>
            </w:r>
          </w:p>
          <w:p w14:paraId="2DC907E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（7）支持镜像输出，支持Binning模式，可提升相机灵敏度</w:t>
            </w:r>
          </w:p>
          <w:p w14:paraId="18F6AFD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（8）6-pin接头提供电源和I/O，包含1路光隔输入、1路光隔输出、1路双向可配置非隔离IO</w:t>
            </w:r>
          </w:p>
          <w:p w14:paraId="642E2C2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（9）协议/标准：支持GigE Vision V2.0、GenICam</w:t>
            </w:r>
          </w:p>
          <w:p w14:paraId="7573CD4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2.工业镜头</w:t>
            </w:r>
          </w:p>
          <w:p w14:paraId="3D6C451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（1）焦距：50mm</w:t>
            </w:r>
          </w:p>
          <w:p w14:paraId="3AC2D5A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（2）光圈：F2.8-F16.0</w:t>
            </w:r>
          </w:p>
          <w:p w14:paraId="6D33FE7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（3）像面尺寸Φ：≥9.5mm</w:t>
            </w:r>
          </w:p>
          <w:p w14:paraId="269F3A0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（4）分辨率：≥600万</w:t>
            </w:r>
          </w:p>
          <w:p w14:paraId="679BD01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3.光源</w:t>
            </w:r>
          </w:p>
          <w:p w14:paraId="3EDDDE0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（1）发光尺寸：≥70mm×70mm</w:t>
            </w:r>
          </w:p>
          <w:p w14:paraId="7401D3A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（2）颜色：白色</w:t>
            </w:r>
          </w:p>
          <w:p w14:paraId="349E78C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（3）电源：24VDC</w:t>
            </w:r>
          </w:p>
          <w:p w14:paraId="5A2A6C5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（四）检测单元视觉配置</w:t>
            </w:r>
          </w:p>
          <w:p w14:paraId="5B7C9B4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1.工业相机</w:t>
            </w:r>
          </w:p>
          <w:p w14:paraId="3C83A39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（1）分辨率：≥2448*2048</w:t>
            </w:r>
          </w:p>
          <w:p w14:paraId="23340DE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（2）帧率：≥20帧</w:t>
            </w:r>
          </w:p>
          <w:p w14:paraId="1B34B6A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（3）靶面：≥2/3”</w:t>
            </w:r>
          </w:p>
          <w:p w14:paraId="0C4B9A9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（4）像元：≥3.45μm</w:t>
            </w:r>
          </w:p>
          <w:p w14:paraId="054379A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（5）供电方式：9~24V，支持PoE供电</w:t>
            </w:r>
          </w:p>
          <w:p w14:paraId="4FCD4B4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（6）支持自动或手动调节增益、曝光时间、Gamma校正、LUT等</w:t>
            </w:r>
          </w:p>
          <w:p w14:paraId="12ED4AA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（7）支持镜像输出，支持Binning模式，可提升相机灵敏度</w:t>
            </w:r>
          </w:p>
          <w:p w14:paraId="6BB3E4E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（8）6-pin接头提供电源和I/O，包含1路光隔输入、1路光隔输出、1路双向可配置非隔离IO</w:t>
            </w:r>
          </w:p>
          <w:p w14:paraId="144BED9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（9）协议/标准：支持GigE Vision V2.0、GenICam</w:t>
            </w:r>
          </w:p>
          <w:p w14:paraId="589F4BD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2.工业镜头</w:t>
            </w:r>
          </w:p>
          <w:p w14:paraId="784C43F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（1）焦距：30mm</w:t>
            </w:r>
          </w:p>
          <w:p w14:paraId="7AF4817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（2）光圈：F2.8-F16.0</w:t>
            </w:r>
          </w:p>
          <w:p w14:paraId="70C7D16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（3）像面尺寸Φ：≥9.5mm</w:t>
            </w:r>
          </w:p>
          <w:p w14:paraId="78F0108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（4）分辨率：≥600万</w:t>
            </w:r>
          </w:p>
          <w:p w14:paraId="31F6A66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3.光源</w:t>
            </w:r>
          </w:p>
          <w:p w14:paraId="13E8A79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（1）发光尺寸：≥147mm×18mm</w:t>
            </w:r>
          </w:p>
          <w:p w14:paraId="765F885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（2）颜色：白色</w:t>
            </w:r>
          </w:p>
          <w:p w14:paraId="4F9260A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（3）电源：24VDC</w:t>
            </w:r>
          </w:p>
          <w:p w14:paraId="43B4704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（4）数量：2</w:t>
            </w:r>
          </w:p>
          <w:p w14:paraId="6D8ECE6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（五）设备整体结构</w:t>
            </w:r>
          </w:p>
          <w:p w14:paraId="1C6D1E0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1.落地设备，整体尺寸：高×长×宽为1800mm×1000mm×800mm±50mm</w:t>
            </w:r>
          </w:p>
          <w:p w14:paraId="5DB6F2D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2.皮带输送机：输送机为铝合金型材框架，规整美观</w:t>
            </w:r>
          </w:p>
          <w:p w14:paraId="7F91894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（1）有效工作宽度：≥80mm</w:t>
            </w:r>
          </w:p>
          <w:p w14:paraId="3D6F4AB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（2）工作高度：≥100mm</w:t>
            </w:r>
          </w:p>
          <w:p w14:paraId="18605D4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（3）工作长度：≥500mm</w:t>
            </w:r>
          </w:p>
          <w:p w14:paraId="0160E9E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（4）运行速度：3～6m/min</w:t>
            </w:r>
          </w:p>
          <w:p w14:paraId="0A291C6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（5）承载能力：≥5kg</w:t>
            </w:r>
          </w:p>
          <w:p w14:paraId="1F7C550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（5）驱动电机：单相交流电机电子调速</w:t>
            </w:r>
          </w:p>
          <w:p w14:paraId="7A9438C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3.主体材质铝合金，全方位安全防护，含安全门开关、光栅防护</w:t>
            </w:r>
          </w:p>
          <w:p w14:paraId="0E3BD3A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4.模拟新能源行业相关产品生产工艺流程，自动无限循环流水线设计</w:t>
            </w:r>
          </w:p>
          <w:p w14:paraId="3B6EC90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（六）工业机器人</w:t>
            </w:r>
          </w:p>
          <w:p w14:paraId="28884CC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1.控制轴：4轴</w:t>
            </w:r>
          </w:p>
          <w:p w14:paraId="4527C44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2.负载：≥3kg</w:t>
            </w:r>
          </w:p>
          <w:p w14:paraId="60E442D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3.重复精度：±0.01mm</w:t>
            </w:r>
          </w:p>
          <w:p w14:paraId="796FDAF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4.臂展范围：≥400mm</w:t>
            </w:r>
          </w:p>
          <w:p w14:paraId="68B03B6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5.最大速度动作范围：J1轴：±132°，J2轴：±141°，J3轴：180mm，J4轴：±360°</w:t>
            </w:r>
          </w:p>
          <w:p w14:paraId="20517C1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6.本体质量：≤14kg</w:t>
            </w:r>
          </w:p>
          <w:p w14:paraId="6B6E779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7.供电：交流220V，50HZ</w:t>
            </w:r>
          </w:p>
          <w:p w14:paraId="72423B5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8.串行I/F：RS-232C</w:t>
            </w:r>
          </w:p>
          <w:p w14:paraId="4C4BE7E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9.控制方式：伺服软件。支持网口、USB连接方式。支持离线仿真，可以模拟多种本体型号</w:t>
            </w:r>
          </w:p>
          <w:p w14:paraId="463F04C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（七）PLC控制系统及人机交互</w:t>
            </w:r>
          </w:p>
          <w:p w14:paraId="438E477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1.PLC</w:t>
            </w:r>
          </w:p>
          <w:p w14:paraId="6CFB0D3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（1）CPU特征用户存储：不小于100K/4MB</w:t>
            </w:r>
          </w:p>
          <w:p w14:paraId="3AC5293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（2）板载数字I/O：不少于14点输入/10点输出</w:t>
            </w:r>
          </w:p>
          <w:p w14:paraId="3BD645B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（3）板载模拟I/O：不少于2点输入</w:t>
            </w:r>
          </w:p>
          <w:p w14:paraId="7364AF4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（4）位存储器：不少于8192个字节</w:t>
            </w:r>
          </w:p>
          <w:p w14:paraId="4266B9A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（5）布尔运算执行速度：0.08us/指令</w:t>
            </w:r>
          </w:p>
          <w:p w14:paraId="2989DB2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（6）移动字执行速度：1.us/指令</w:t>
            </w:r>
          </w:p>
          <w:p w14:paraId="6C353A7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（7）实数数学运算执行速度：不少于2.3us/指令</w:t>
            </w:r>
          </w:p>
          <w:p w14:paraId="7BEC623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（8）端口数：不少于2个</w:t>
            </w:r>
          </w:p>
          <w:p w14:paraId="558A59F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（9）类型：以太网</w:t>
            </w:r>
          </w:p>
          <w:p w14:paraId="567D447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（10）数据传输率：10/100Mb/s</w:t>
            </w:r>
          </w:p>
          <w:p w14:paraId="30E1A53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（11）模拟输入范围：0-10V</w:t>
            </w:r>
          </w:p>
          <w:p w14:paraId="4B31866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（12）要求不低于s7-1200</w:t>
            </w:r>
          </w:p>
          <w:p w14:paraId="11117E4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2.触摸屏</w:t>
            </w:r>
          </w:p>
          <w:p w14:paraId="284E8BF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（1）显示：</w:t>
            </w:r>
            <w:r>
              <w:rPr>
                <w:rFonts w:hint="eastAsia" w:ascii="宋体" w:hAnsi="宋体" w:cs="宋体"/>
                <w:color w:val="000000" w:themeColor="text1"/>
                <w:sz w:val="24"/>
                <w:szCs w:val="24"/>
                <w:lang w:val="en-US" w:eastAsia="zh-CN"/>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7英寸TFT真彩显示屏</w:t>
            </w:r>
            <w:r>
              <w:rPr>
                <w:rFonts w:hint="eastAsia" w:ascii="宋体" w:hAnsi="宋体" w:cs="宋体"/>
                <w:color w:val="000000" w:themeColor="text1"/>
                <w:sz w:val="24"/>
                <w:szCs w:val="24"/>
                <w:lang w:val="en-US" w:eastAsia="zh-CN"/>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64K色</w:t>
            </w:r>
          </w:p>
          <w:p w14:paraId="2320EB4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（2）分辨率：≥800×480像素</w:t>
            </w:r>
          </w:p>
          <w:p w14:paraId="28AE40F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（3）屏幕尺寸：154mm×86mm</w:t>
            </w:r>
          </w:p>
          <w:p w14:paraId="0424978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（4）操作方式：触摸屏和覆膜按键</w:t>
            </w:r>
          </w:p>
          <w:p w14:paraId="5F4EF0D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（5）可编程功能按键：≥8个</w:t>
            </w:r>
          </w:p>
          <w:p w14:paraId="23071B0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（6）用户内存：10MB</w:t>
            </w:r>
          </w:p>
          <w:p w14:paraId="42AB4F0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（7）USB口：不少于1个</w:t>
            </w:r>
          </w:p>
          <w:p w14:paraId="169BBB8B">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（八）视觉控制系统</w:t>
            </w:r>
          </w:p>
          <w:p w14:paraId="1BF0357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1.主板：不低于I7-12700</w:t>
            </w:r>
          </w:p>
          <w:p w14:paraId="5C6BA27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2.内存：不低于16G</w:t>
            </w:r>
          </w:p>
          <w:p w14:paraId="0B108DA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3.硬盘：不低于1TB</w:t>
            </w:r>
          </w:p>
          <w:p w14:paraId="49C0546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4.千兆网口6个，传输速度1Gbps，其中支持PoE网口不少于4个</w:t>
            </w:r>
          </w:p>
          <w:p w14:paraId="024C8C1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5.PCI总线不少于2个，PCIE总线插槽不少于3个</w:t>
            </w:r>
          </w:p>
          <w:p w14:paraId="3F61F2A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6.串口不少于2个</w:t>
            </w:r>
          </w:p>
          <w:p w14:paraId="01B4AE0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7.显示终端1个，不小于19.5英寸，支持挂壁，LED背光；包含键盘、鼠标</w:t>
            </w:r>
          </w:p>
          <w:p w14:paraId="1EF77E4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（九）光源控制器</w:t>
            </w:r>
          </w:p>
          <w:p w14:paraId="46935A9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1.提供手动按键/RS232串行通信方式控制亮度</w:t>
            </w:r>
          </w:p>
          <w:p w14:paraId="59390EC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2.单通道带负载额定输出电流不小于3A</w:t>
            </w:r>
          </w:p>
          <w:p w14:paraId="42D4F91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3.提供多种工作模式：常亮/触发/频闪</w:t>
            </w:r>
          </w:p>
          <w:p w14:paraId="1CEA0AB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4.具有断电记忆功能、短路保护功能</w:t>
            </w:r>
          </w:p>
          <w:p w14:paraId="1249168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5.提供外部IO触发端口，兼容NPN/PNP方式触发</w:t>
            </w:r>
          </w:p>
          <w:p w14:paraId="1E311A1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6.输出功率：≥75W</w:t>
            </w:r>
          </w:p>
          <w:p w14:paraId="0590A22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（十）视觉软件：</w:t>
            </w:r>
          </w:p>
          <w:p w14:paraId="2D9E712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1）图形化拖拽式编程软件开发环境，可通过零代码编程完成所有教学方案。多线程底层机制，无需用户设置，系统自动识别运行可并行的流程、作业和模块，高效运行。（提供图形化视觉软件相关软件著作权复印件，要求体现“视觉”、“图形化”，并加盖投标人公章附在技术标内）</w:t>
            </w:r>
          </w:p>
          <w:p w14:paraId="638F2BD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（2）用户可自定义配置视觉任务流程，实现从信号触发到采集、标定、算法处理、结果分析、结果显示、通讯发送、人机交互整个过程</w:t>
            </w:r>
          </w:p>
          <w:p w14:paraId="79A30FD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（3）各工具模块运行时，输入输出结果可实时监控，易于调试和维护</w:t>
            </w:r>
          </w:p>
          <w:p w14:paraId="704DAAE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（4）具备生产运行模式和程序设计模式的一键切换，无需切换程序。具备在运行模式下，支持打开算法工具进行参数调整；支持在算法工具参数调整时日志自动记录，并自动录屏，以便于追溯确认。</w:t>
            </w:r>
          </w:p>
          <w:p w14:paraId="29EF798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（5）支持网口和USB口标准接口相机，同时支持外触发控制工业相机取像，支持不低于5个主流厂家的相机</w:t>
            </w:r>
          </w:p>
          <w:p w14:paraId="38E580E5">
            <w:pPr>
              <w:widowControl/>
              <w:snapToGrid w:val="0"/>
              <w:spacing w:line="360" w:lineRule="auto"/>
              <w:rPr>
                <w:rFonts w:hint="eastAsia" w:ascii="宋体" w:hAnsi="宋体" w:cs="宋体"/>
                <w:strike/>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■（6）具备液态镜头调焦，支持不少于5个市场主流厂家的3D相机。</w:t>
            </w:r>
          </w:p>
          <w:p w14:paraId="0CFE65B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（7）支持不低于5个品牌光源控制器接入以及亮度自由调节</w:t>
            </w:r>
          </w:p>
          <w:p w14:paraId="2C81E58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（8）支持以太网、串口通讯、管道通讯，支持10路以上串口和以太网并发通讯；支持不低于5个品牌IO卡的控制</w:t>
            </w:r>
          </w:p>
          <w:p w14:paraId="08D89D2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（9）支持连接不低于7种常见品牌PLC；支持PLC寄存器地址批量读写；支持OPCUA协议；支持Profinet通讯</w:t>
            </w:r>
          </w:p>
          <w:p w14:paraId="4C6DB9B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（10）软件具备信号源侦测，包括定时器触发、计划时间触发、内部触发、网络设备监听、PLC与IO卡扫描等</w:t>
            </w:r>
          </w:p>
          <w:p w14:paraId="24688193">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（11）CPU监控、内存监控、内存回收、文件与文件夹删除等系统管理功能</w:t>
            </w:r>
          </w:p>
          <w:p w14:paraId="02A68B4C">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（12）具备分支、循环、合并、流程选择等逻辑控制功能</w:t>
            </w:r>
          </w:p>
          <w:p w14:paraId="67036A19">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（13）具有80个以上功能的Idoc，方便进行硬件操作、数据分析</w:t>
            </w:r>
          </w:p>
          <w:p w14:paraId="1C821BF0">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■（14）软件具备动态调用算法库，实现图像的输入与检测结果输出的自动同步。包含模板匹配、卡尺工具、斑点工具、字符识别工具、条码识别工具、颜色识别工具、灰度检测工具等50个以上的算法工具。</w:t>
            </w:r>
          </w:p>
          <w:p w14:paraId="13E496D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（15）具备3D平面拟合、平面夹角、高度测量、3D图像拼接。</w:t>
            </w:r>
          </w:p>
          <w:p w14:paraId="655E145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16）具备扩展连接器分析模块，具备连接器位置度检测工具，数据分析功能，支持深度学习找PIN功能；具有位置度处理模块，非线性补偿模块等专用检测模块；具备交互式的HMI数据图表显示。（需提供连接器分析检测相关软件著作权复印件，要求体现“连接器分析”或“连接器检测”，并加盖投标人公章附在技术标内）</w:t>
            </w:r>
          </w:p>
          <w:p w14:paraId="1538A59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（17）具备变量统一管理、配方统一管理、硬件设备统一管理等功能，并支持将分析得到的字符串、数值、布尔量等各类数据采集到数据库统一管理。</w:t>
            </w:r>
          </w:p>
          <w:p w14:paraId="32966E5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（18）具有HMI设计器（提供不少于25种控件），并且提供了不少于4个模板，能快速定制化生产界面。</w:t>
            </w:r>
          </w:p>
          <w:p w14:paraId="1E178496">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（19）具有良好的扩展性，软件支持C#脚本和表达式，支持C#二次开发并免费提供原厂SDK；支持Atom工具、Device和HMI控件的插件式二次开发；支持HMI界面嵌入到第三方WPF与WinForm界面。</w:t>
            </w:r>
          </w:p>
          <w:p w14:paraId="70765544">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（20）支持对OpenCV与Matlab算法的调用，提供Python/C++/C#多语言开发示例库。</w:t>
            </w:r>
          </w:p>
          <w:p w14:paraId="28D086D1">
            <w:pPr>
              <w:widowControl/>
              <w:snapToGrid w:val="0"/>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21）支持不少于3个相机自动融合标定校准算法，可以5分钟内完成所有相机的自动手眼标定。（需提供标定校准相关算法软件著作权复印件，要求体现“视觉标定”或“视觉校准”，并加盖投标人公章附在技术标内）</w:t>
            </w:r>
          </w:p>
          <w:p w14:paraId="759338F7">
            <w:pPr>
              <w:widowControl/>
              <w:snapToGrid w:val="0"/>
              <w:spacing w:line="360" w:lineRule="auto"/>
              <w:rPr>
                <w:rFonts w:hint="eastAsia"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22）具备扩展引导应用模块，支持以流程化的配置方式，快速完成多相机多场景机器视觉引导标定和计算；支持运动分析、引导数据图形化分析。（需提供引导对位相关软件著作权复印件，要求体现“视觉引导”或“视觉定位”，并加盖投标人公章附在技术标内）</w:t>
            </w:r>
          </w:p>
          <w:p w14:paraId="50040D2F">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23）具备扩展测量应用模块，支持结合标准值、上公差、下公差批量对测量结果进行分析，支持对测量结果进行线性补偿，支持对多组分析结果进行合并判断，并支持测量结果的自动导出。（需提供测量系统软件相关著作权复印件，要求体现“视觉测量”，并加盖投标人公章附在技术标内）</w:t>
            </w:r>
          </w:p>
          <w:p w14:paraId="029E16F2">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（24）具备扩展点胶应用模块，支持自动寻找胶路以快速部署点胶应用。</w:t>
            </w:r>
          </w:p>
          <w:p w14:paraId="5886B108">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（25）内置深度学习算法，实现深度学习产品分类、深度学习字符识别、深度学习缺陷检测，深度学习缺陷分割，支持CPU计算以及GPU计算两种模式。支持与其他算法工具进行动态数据链。</w:t>
            </w:r>
          </w:p>
          <w:p w14:paraId="54DCE99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（26）软件具备同时打开多个项目程序；支持中英文的切换；支持管理员、工程师、操作员三级用户权限管理设置。</w:t>
            </w:r>
          </w:p>
          <w:p w14:paraId="1C642721">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（27）集成了TCP/IP工具、网络测试工具、串口调试工具、PLC调试工具、虚拟键盘等调试和测试工具以便于项目调试。</w:t>
            </w:r>
          </w:p>
          <w:p w14:paraId="155E9F2E">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28）提供多种类数据操作工具，便于软件平台输入数据与分析结果数据的处理，包括拼接、分割、替换、大小写转换、去空格、特定条件截取等字符串操作，数值比较、字符串比较、与、或、异或等逻辑判断操作，数值的加、减、乘、除、最大值、最小值以及sin、cos等三角函数计算，String、Boolean、Double、Int等数据类型间的转换。</w:t>
            </w:r>
          </w:p>
          <w:p w14:paraId="72C732A7">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29）具备采集的图像或者检测的结果图像进行保存，图像类型包括2D图像与3D图像，具备保存图像的名称根据时间等信息自动命名，支持根据逻辑判断结果分类保存图片，或者只保存NG品图片。2D图像保存还支持保存成IDB数据组，支持保存成jpg或者bmp等格式。</w:t>
            </w:r>
          </w:p>
          <w:p w14:paraId="083C241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（30）具备软件操作日志记录；支持将各工具模块的输出自定义为日志输出，以便于系统的调试和维护。</w:t>
            </w:r>
          </w:p>
          <w:p w14:paraId="03971F5A">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（31）软件入口中具有检测、测量、引导等应用的案例程序模板，并保存最近打开的程序的快捷方式，便于程序的使用。</w:t>
            </w:r>
          </w:p>
          <w:p w14:paraId="149F5F35">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■（32）提供不低于150点（满足3个班学生使用需要）的软件永久动态授权，并可持续使用及免费版本升级，便于师生个人电脑安装软件学习使用。</w:t>
            </w:r>
          </w:p>
        </w:tc>
        <w:tc>
          <w:tcPr>
            <w:tcW w:w="184" w:type="pct"/>
            <w:tcBorders>
              <w:top w:val="single" w:color="auto" w:sz="4" w:space="0"/>
              <w:left w:val="nil"/>
              <w:bottom w:val="single" w:color="auto" w:sz="4" w:space="0"/>
              <w:right w:val="single" w:color="auto" w:sz="4" w:space="0"/>
            </w:tcBorders>
            <w:vAlign w:val="center"/>
          </w:tcPr>
          <w:p w14:paraId="07BD32AD">
            <w:pPr>
              <w:widowControl/>
              <w:snapToGrid w:val="0"/>
              <w:spacing w:line="360" w:lineRule="auto"/>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p>
        </w:tc>
        <w:tc>
          <w:tcPr>
            <w:tcW w:w="184" w:type="pct"/>
            <w:tcBorders>
              <w:top w:val="single" w:color="auto" w:sz="4" w:space="0"/>
              <w:left w:val="nil"/>
              <w:bottom w:val="single" w:color="auto" w:sz="4" w:space="0"/>
              <w:right w:val="single" w:color="auto" w:sz="4" w:space="0"/>
            </w:tcBorders>
            <w:vAlign w:val="center"/>
          </w:tcPr>
          <w:p w14:paraId="0A7C66F0">
            <w:pPr>
              <w:widowControl/>
              <w:snapToGrid w:val="0"/>
              <w:spacing w:line="360" w:lineRule="auto"/>
              <w:rPr>
                <w:rFonts w:hint="eastAsia" w:ascii="宋体" w:hAnsi="宋体" w:cs="宋体"/>
                <w:color w:val="000000" w:themeColor="text1"/>
                <w:sz w:val="24"/>
                <w:szCs w:val="24"/>
                <w14:textFill>
                  <w14:solidFill>
                    <w14:schemeClr w14:val="tx1"/>
                  </w14:solidFill>
                </w14:textFill>
              </w:rPr>
            </w:pPr>
          </w:p>
        </w:tc>
      </w:tr>
    </w:tbl>
    <w:p w14:paraId="76C49220"/>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
    <w:altName w:val="Courier New"/>
    <w:panose1 w:val="00000000000000000000"/>
    <w:charset w:val="00"/>
    <w:family w:val="auto"/>
    <w:pitch w:val="default"/>
    <w:sig w:usb0="00000000" w:usb1="00000000" w:usb2="00000000" w:usb3="00000000" w:csb0="0000019F" w:csb1="00000000"/>
  </w:font>
  <w:font w:name="MS PGothic">
    <w:panose1 w:val="020B0600070205080204"/>
    <w:charset w:val="80"/>
    <w:family w:val="auto"/>
    <w:pitch w:val="default"/>
    <w:sig w:usb0="E00002FF" w:usb1="6AC7FDFB" w:usb2="08000012" w:usb3="00000000" w:csb0="4002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49CBA">
    <w:pPr>
      <w:pStyle w:val="3"/>
      <w:jc w:val="center"/>
    </w:pPr>
    <w:r>
      <w:rPr>
        <w:rFonts w:ascii="宋体" w:hAnsi="宋体" w:cs="宋体"/>
        <w:b/>
        <w:bCs/>
        <w:kern w:val="0"/>
        <w:sz w:val="36"/>
        <w:szCs w:val="36"/>
        <w:lang w:bidi="ar"/>
      </w:rPr>
      <w:drawing>
        <wp:inline distT="0" distB="0" distL="114300" distR="114300">
          <wp:extent cx="452120" cy="321945"/>
          <wp:effectExtent l="0" t="0" r="5080" b="8255"/>
          <wp:docPr id="24" name="图片 19" descr="C:\Users\12085\Desktop\1dced6682b01846ece05dbfcd5aeb07.jpg1dced6682b01846ece05dbfcd5aeb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9" descr="C:\Users\12085\Desktop\1dced6682b01846ece05dbfcd5aeb07.jpg1dced6682b01846ece05dbfcd5aeb07"/>
                  <pic:cNvPicPr>
                    <a:picLocks noChangeAspect="1"/>
                  </pic:cNvPicPr>
                </pic:nvPicPr>
                <pic:blipFill>
                  <a:blip r:embed="rId1"/>
                  <a:stretch>
                    <a:fillRect/>
                  </a:stretch>
                </pic:blipFill>
                <pic:spPr>
                  <a:xfrm>
                    <a:off x="0" y="0"/>
                    <a:ext cx="452120" cy="321945"/>
                  </a:xfrm>
                  <a:prstGeom prst="rect">
                    <a:avLst/>
                  </a:prstGeom>
                  <a:noFill/>
                  <a:ln>
                    <a:noFill/>
                  </a:ln>
                </pic:spPr>
              </pic:pic>
            </a:graphicData>
          </a:graphic>
        </wp:inline>
      </w:drawing>
    </w:r>
    <w:r>
      <w:rPr>
        <w:rFonts w:hint="eastAsia"/>
      </w:rPr>
      <w:t xml:space="preserve">天津滨海经建工程项目管理有限公司            </w:t>
    </w:r>
    <w:r>
      <w:rPr>
        <w:rFonts w:hint="eastAsia"/>
        <w:lang w:val="en-US" w:eastAsia="zh-CN"/>
      </w:rPr>
      <w:t xml:space="preserve">                                         </w:t>
    </w:r>
    <w:r>
      <w:rPr>
        <w:rFonts w:hint="eastAsia"/>
      </w:rPr>
      <w:t xml:space="preserve">     公开、公平、公正、诚实信用</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A757E">
    <w:pPr>
      <w:pStyle w:val="3"/>
      <w:jc w:val="center"/>
    </w:pPr>
    <w:r>
      <w:rPr>
        <w:rFonts w:ascii="宋体" w:hAnsi="宋体" w:cs="宋体"/>
        <w:b/>
        <w:bCs/>
        <w:kern w:val="0"/>
        <w:sz w:val="36"/>
        <w:szCs w:val="36"/>
        <w:lang w:bidi="ar"/>
      </w:rPr>
      <w:drawing>
        <wp:inline distT="0" distB="0" distL="114300" distR="114300">
          <wp:extent cx="452120" cy="321945"/>
          <wp:effectExtent l="0" t="0" r="5080" b="8255"/>
          <wp:docPr id="23" name="图片 19" descr="C:\Users\12085\Desktop\1dced6682b01846ece05dbfcd5aeb07.jpg1dced6682b01846ece05dbfcd5aeb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9" descr="C:\Users\12085\Desktop\1dced6682b01846ece05dbfcd5aeb07.jpg1dced6682b01846ece05dbfcd5aeb07"/>
                  <pic:cNvPicPr>
                    <a:picLocks noChangeAspect="1"/>
                  </pic:cNvPicPr>
                </pic:nvPicPr>
                <pic:blipFill>
                  <a:blip r:embed="rId1"/>
                  <a:stretch>
                    <a:fillRect/>
                  </a:stretch>
                </pic:blipFill>
                <pic:spPr>
                  <a:xfrm>
                    <a:off x="0" y="0"/>
                    <a:ext cx="452120" cy="321945"/>
                  </a:xfrm>
                  <a:prstGeom prst="rect">
                    <a:avLst/>
                  </a:prstGeom>
                  <a:noFill/>
                  <a:ln>
                    <a:noFill/>
                  </a:ln>
                </pic:spPr>
              </pic:pic>
            </a:graphicData>
          </a:graphic>
        </wp:inline>
      </w:drawing>
    </w:r>
    <w:r>
      <w:rPr>
        <w:rFonts w:hint="eastAsia"/>
      </w:rPr>
      <w:t>天津滨海经建工程项目管理有限公司                 公开、公平、公正、诚实信用</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B09CB">
    <w:pPr>
      <w:pStyle w:val="3"/>
      <w:jc w:val="center"/>
    </w:pPr>
    <w:r>
      <w:rPr>
        <w:rFonts w:ascii="宋体" w:hAnsi="宋体" w:cs="宋体"/>
        <w:b/>
        <w:bCs/>
        <w:kern w:val="0"/>
        <w:sz w:val="36"/>
        <w:szCs w:val="36"/>
        <w:lang w:bidi="ar"/>
      </w:rPr>
      <w:drawing>
        <wp:inline distT="0" distB="0" distL="114300" distR="114300">
          <wp:extent cx="452120" cy="321945"/>
          <wp:effectExtent l="0" t="0" r="5080" b="8255"/>
          <wp:docPr id="22" name="图片 19" descr="C:\Users\12085\Desktop\1dced6682b01846ece05dbfcd5aeb07.jpg1dced6682b01846ece05dbfcd5aeb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9" descr="C:\Users\12085\Desktop\1dced6682b01846ece05dbfcd5aeb07.jpg1dced6682b01846ece05dbfcd5aeb07"/>
                  <pic:cNvPicPr>
                    <a:picLocks noChangeAspect="1"/>
                  </pic:cNvPicPr>
                </pic:nvPicPr>
                <pic:blipFill>
                  <a:blip r:embed="rId1"/>
                  <a:stretch>
                    <a:fillRect/>
                  </a:stretch>
                </pic:blipFill>
                <pic:spPr>
                  <a:xfrm>
                    <a:off x="0" y="0"/>
                    <a:ext cx="452120" cy="321945"/>
                  </a:xfrm>
                  <a:prstGeom prst="rect">
                    <a:avLst/>
                  </a:prstGeom>
                  <a:noFill/>
                  <a:ln>
                    <a:noFill/>
                  </a:ln>
                </pic:spPr>
              </pic:pic>
            </a:graphicData>
          </a:graphic>
        </wp:inline>
      </w:drawing>
    </w:r>
    <w:r>
      <w:rPr>
        <w:rFonts w:hint="eastAsia"/>
      </w:rPr>
      <w:t xml:space="preserve">天津滨海经建工程项目管理有限公司        </w:t>
    </w:r>
    <w:r>
      <w:rPr>
        <w:rFonts w:hint="eastAsia"/>
        <w:lang w:val="en-US" w:eastAsia="zh-CN"/>
      </w:rPr>
      <w:t xml:space="preserve">                                          </w:t>
    </w:r>
    <w:r>
      <w:rPr>
        <w:rFonts w:hint="eastAsia"/>
      </w:rPr>
      <w:t xml:space="preserve">         公开、公平、公正、诚实信用</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B10D8">
    <w:pPr>
      <w:pStyle w:val="3"/>
      <w:jc w:val="center"/>
    </w:pPr>
    <w:r>
      <w:rPr>
        <w:rFonts w:ascii="宋体" w:hAnsi="宋体" w:cs="宋体"/>
        <w:b/>
        <w:bCs/>
        <w:kern w:val="0"/>
        <w:sz w:val="36"/>
        <w:szCs w:val="36"/>
        <w:lang w:bidi="ar"/>
      </w:rPr>
      <w:drawing>
        <wp:inline distT="0" distB="0" distL="114300" distR="114300">
          <wp:extent cx="452120" cy="321945"/>
          <wp:effectExtent l="0" t="0" r="5080" b="8255"/>
          <wp:docPr id="21" name="图片 19" descr="C:\Users\12085\Desktop\1dced6682b01846ece05dbfcd5aeb07.jpg1dced6682b01846ece05dbfcd5aeb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9" descr="C:\Users\12085\Desktop\1dced6682b01846ece05dbfcd5aeb07.jpg1dced6682b01846ece05dbfcd5aeb07"/>
                  <pic:cNvPicPr>
                    <a:picLocks noChangeAspect="1"/>
                  </pic:cNvPicPr>
                </pic:nvPicPr>
                <pic:blipFill>
                  <a:blip r:embed="rId1"/>
                  <a:stretch>
                    <a:fillRect/>
                  </a:stretch>
                </pic:blipFill>
                <pic:spPr>
                  <a:xfrm>
                    <a:off x="0" y="0"/>
                    <a:ext cx="452120" cy="321945"/>
                  </a:xfrm>
                  <a:prstGeom prst="rect">
                    <a:avLst/>
                  </a:prstGeom>
                  <a:noFill/>
                  <a:ln>
                    <a:noFill/>
                  </a:ln>
                </pic:spPr>
              </pic:pic>
            </a:graphicData>
          </a:graphic>
        </wp:inline>
      </w:drawing>
    </w:r>
    <w:r>
      <w:rPr>
        <w:rFonts w:hint="eastAsia"/>
      </w:rPr>
      <w:t>天津滨海经建工程项目管理有限公司                 公开、公平、公正、诚实信用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CB08B1"/>
    <w:rsid w:val="79CB08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jc w:val="both"/>
      <w:textAlignment w:val="baseline"/>
    </w:pPr>
    <w:rPr>
      <w:rFonts w:ascii="Times New Roman" w:hAnsi="Times New Roman" w:eastAsia="宋体" w:cs="Times New Roman"/>
      <w:kern w:val="2"/>
      <w:sz w:val="21"/>
      <w:szCs w:val="22"/>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adjustRightInd w:val="0"/>
      <w:snapToGrid w:val="0"/>
      <w:jc w:val="left"/>
    </w:pPr>
    <w:rPr>
      <w:sz w:val="18"/>
    </w:rPr>
  </w:style>
  <w:style w:type="paragraph" w:styleId="3">
    <w:name w:val="header"/>
    <w:basedOn w:val="1"/>
    <w:qFormat/>
    <w:uiPriority w:val="0"/>
    <w:pPr>
      <w:pBdr>
        <w:bottom w:val="single" w:color="auto" w:sz="6" w:space="1"/>
      </w:pBdr>
      <w:tabs>
        <w:tab w:val="center" w:pos="4153"/>
        <w:tab w:val="right" w:pos="8306"/>
      </w:tabs>
      <w:adjustRightInd w:val="0"/>
      <w:snapToGrid w:val="0"/>
      <w:jc w:val="center"/>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0"/>
    <w:pPr>
      <w:ind w:firstLine="200" w:firstLineChars="200"/>
    </w:pPr>
  </w:style>
  <w:style w:type="paragraph" w:customStyle="1" w:styleId="8">
    <w:name w:val="Default"/>
    <w:qFormat/>
    <w:uiPriority w:val="0"/>
    <w:pPr>
      <w:widowControl w:val="0"/>
      <w:autoSpaceDE w:val="0"/>
      <w:autoSpaceDN w:val="0"/>
      <w:adjustRightInd w:val="0"/>
    </w:pPr>
    <w:rPr>
      <w:rFonts w:ascii="......." w:hAnsi="......." w:eastAsia="......." w:cs="......."/>
      <w:color w:val="000000"/>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136</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2026-08-05T06:18:00Z</dcterms:created>
  <dc:creator>WPS_1694149034</dc:creator>
  <cp:lastModifiedBy>WPS_1694149034</cp:lastModifiedBy>
  <dcterms:modified xsi:type="dcterms:W3CDTF">2026-08-05T06:20:09Z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77CE8B19C79644E08B007ADF5D3E4F56_11</vt:lpwstr>
  </property>
  <property fmtid="{D5CDD505-2E9C-101B-9397-08002B2CF9AE}" pid="4" name="KSOTemplateDocerSaveRecord">
    <vt:lpwstr>eyJoZGlkIjoiOGMyYmI0MmMwZGU0Njc1Njc3YjY3OWRkNzI5NWE5NDkiLCJ1c2VySWQiOiIxNTI4NTY5NTgzIn0=</vt:lpwstr>
  </property>
</Properties>
</file>